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w:t>
      </w:r>
    </w:p>
    <w:p>
      <w:r>
        <w:rPr>
          <w:rFonts w:ascii="Arial" w:cs="Arial" w:eastAsia="Arial" w:hAnsi="Arial"/>
          <w:sz w:val="24"/>
          <w:szCs w:val="24"/>
        </w:rPr>
        <w:t xml:space="preserve">"Find clinically de-risked drugs for treatment-resistant depression using EP embedding rescue."</w:t>
      </w:r>
    </w:p>
    <w:p>
      <w:r>
        <w:rPr>
          <w:rFonts w:ascii="Arial" w:cs="Arial" w:eastAsia="Arial" w:hAnsi="Arial"/>
          <w:sz w:val="24"/>
          <w:szCs w:val="24"/>
        </w:rPr>
        <w:t xml:space="preserve">This document defines the complete Sapphire pipeline for compound discovery and validation, leveraging Quiver Bioscience's integrated electrophysiology (EP) CRISPR atlas, compound library, and functional validation workflows to systematically advance therapeutic candidates.</w:t>
      </w:r>
    </w:p>
    <w:p>
      <w:pPr>
        <w:pStyle w:val="Heading2"/>
      </w:pPr>
      <w:r>
        <w:rPr>
          <w:rFonts w:ascii="Arial" w:cs="Arial" w:eastAsia="Arial" w:hAnsi="Arial"/>
          <w:b/>
          <w:bCs/>
          <w:sz w:val="28"/>
          <w:szCs w:val="28"/>
        </w:rPr>
        <w:t xml:space="preserve">Pipeline Overview</w:t>
      </w:r>
    </w:p>
    <w:p>
      <w:r>
        <w:rPr>
          <w:rFonts w:ascii="Arial" w:cs="Arial" w:eastAsia="Arial" w:hAnsi="Arial"/>
          <w:sz w:val="24"/>
          <w:szCs w:val="24"/>
        </w:rPr>
        <w:t xml:space="preserve">This pipeline identifies compounds from Quiver's electrophysiology (EP) atlas that rescue dysfunctional neuronal signatures associated with treatment-resistant depression (TRD). Treatment-resistant depression affects approximately 30% of diagnosed patients and requires novel therapeutic approaches. The EP embedding rescue strategy leverages Quiver's CRISPR atlas (~18k gene perturbations) and compound atlas (~3,500 compounds) to identify drugs that restore healthy firing patterns and circuit-level activity in depression-relevant neural populations.</w:t>
      </w:r>
    </w:p>
    <w:p>
      <w:r>
        <w:rPr>
          <w:rFonts w:ascii="Arial" w:cs="Arial" w:eastAsia="Arial" w:hAnsi="Arial"/>
          <w:sz w:val="24"/>
          <w:szCs w:val="24"/>
        </w:rPr>
        <w:t xml:space="preserve">The workflow progresses from disease phenotyping to compound matching, clinical de-risking, and mechanistic validation. Each stage employs the Sapphire platform's multidimensional feature space (500+ electrophysiological features per neuron) to ensure that candidate compounds not only rescue disease signatures but also demonstrate safety profiles compatible with rapid clinical advancement.</w:t>
      </w:r>
    </w:p>
    <w:p>
      <w:pPr>
        <w:pStyle w:val="Heading2"/>
      </w:pPr>
      <w:r>
        <w:rPr>
          <w:rFonts w:ascii="Arial" w:cs="Arial" w:eastAsia="Arial" w:hAnsi="Arial"/>
          <w:b/>
          <w:bCs/>
          <w:sz w:val="28"/>
          <w:szCs w:val="28"/>
        </w:rPr>
        <w:t xml:space="preserve">Stage 1: Disease Phenotyping &amp; Reference State Definition</w:t>
      </w:r>
    </w:p>
    <w:p>
      <w:r>
        <w:rPr>
          <w:rFonts w:ascii="Arial" w:cs="Arial" w:eastAsia="Arial" w:hAnsi="Arial"/>
          <w:b/>
          <w:bCs/>
          <w:sz w:val="24"/>
          <w:szCs w:val="24"/>
        </w:rPr>
        <w:t xml:space="preserve">Purpose: </w:t>
      </w:r>
      <w:r>
        <w:rPr>
          <w:rFonts w:ascii="Arial" w:cs="Arial" w:eastAsia="Arial" w:hAnsi="Arial"/>
          <w:sz w:val="24"/>
          <w:szCs w:val="24"/>
        </w:rPr>
        <w:t xml:space="preserve">Establish the canonical TRD electrophysiological signature from patient-derived neurons, organoids, or disease-modeled cell lines, including alterations in burst firing, resting membrane potential, and synaptic plasticity markers.</w:t>
      </w:r>
    </w:p>
    <w:p>
      <w:r>
        <w:rPr>
          <w:rFonts w:ascii="Arial" w:cs="Arial" w:eastAsia="Arial" w:hAnsi="Arial"/>
          <w:b/>
          <w:bCs/>
          <w:sz w:val="24"/>
          <w:szCs w:val="24"/>
        </w:rPr>
        <w:t xml:space="preserve">Inputs:</w:t>
      </w:r>
    </w:p>
    <w:p>
      <w:r>
        <w:rPr>
          <w:rFonts w:ascii="Arial" w:cs="Arial" w:eastAsia="Arial" w:hAnsi="Arial"/>
          <w:sz w:val="24"/>
          <w:szCs w:val="24"/>
        </w:rPr>
        <w:t xml:space="preserve">Patient-derived iPSC-differentiated neurons or postmortem tissue samples from TRD cohorts</w:t>
      </w:r>
    </w:p>
    <w:p>
      <w:r>
        <w:rPr>
          <w:rFonts w:ascii="Arial" w:cs="Arial" w:eastAsia="Arial" w:hAnsi="Arial"/>
          <w:sz w:val="24"/>
          <w:szCs w:val="24"/>
        </w:rPr>
        <w:t xml:space="preserve">Baseline electrophysiology recordings under multiple stimulation protocols (current injection, optogenetic, chemical stimulation)</w:t>
      </w:r>
    </w:p>
    <w:p>
      <w:r>
        <w:rPr>
          <w:rFonts w:ascii="Arial" w:cs="Arial" w:eastAsia="Arial" w:hAnsi="Arial"/>
          <w:sz w:val="24"/>
          <w:szCs w:val="24"/>
        </w:rPr>
        <w:t xml:space="preserve">Clinical phenotype metadata (treatment history, symptom severity, biomarkers)</w:t>
      </w:r>
    </w:p>
    <w:p>
      <w:r>
        <w:rPr>
          <w:rFonts w:ascii="Arial" w:cs="Arial" w:eastAsia="Arial" w:hAnsi="Arial"/>
          <w:sz w:val="24"/>
          <w:szCs w:val="24"/>
        </w:rPr>
        <w:t xml:space="preserve">Reference electrophysiology from healthy controls and responders to standard antidepressants</w:t>
      </w:r>
    </w:p>
    <w:p>
      <w:r>
        <w:rPr>
          <w:rFonts w:ascii="Arial" w:cs="Arial" w:eastAsia="Arial" w:hAnsi="Arial"/>
          <w:sz w:val="24"/>
          <w:szCs w:val="24"/>
        </w:rPr>
        <w:t xml:space="preserve">Pathway annotation databases (KEGG, Reactome) for depression-relevant genes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Quiver EP CRISPR Atlas: feature extraction and dimensionality reduction</w:t>
      </w:r>
    </w:p>
    <w:p>
      <w:r>
        <w:rPr>
          <w:rFonts w:ascii="Arial" w:cs="Arial" w:eastAsia="Arial" w:hAnsi="Arial"/>
          <w:sz w:val="24"/>
          <w:szCs w:val="24"/>
        </w:rPr>
        <w:t xml:space="preserve">CellTypist / scVI: cell-type annotation and clustering</w:t>
      </w:r>
    </w:p>
    <w:p>
      <w:r>
        <w:rPr>
          <w:rFonts w:ascii="Arial" w:cs="Arial" w:eastAsia="Arial" w:hAnsi="Arial"/>
          <w:sz w:val="24"/>
          <w:szCs w:val="24"/>
        </w:rPr>
        <w:t xml:space="preserve">Scanpy: statistical testing for phenotype differences</w:t>
      </w:r>
    </w:p>
    <w:p>
      <w:r>
        <w:rPr>
          <w:rFonts w:ascii="Arial" w:cs="Arial" w:eastAsia="Arial" w:hAnsi="Arial"/>
          <w:sz w:val="24"/>
          <w:szCs w:val="24"/>
        </w:rPr>
        <w:t xml:space="preserve">UMAP / t-SNE: visualization of disease vs. healthy states</w:t>
      </w:r>
    </w:p>
    <w:p>
      <w:r>
        <w:rPr>
          <w:rFonts w:ascii="Arial" w:cs="Arial" w:eastAsia="Arial" w:hAnsi="Arial"/>
          <w:sz w:val="24"/>
          <w:szCs w:val="24"/>
        </w:rPr>
        <w:t xml:space="preserve">featuretools: automated feature engineering on raw EP traces</w:t>
      </w:r>
    </w:p>
    <w:p>
      <w:r>
        <w:rPr>
          <w:rFonts w:ascii="Arial" w:cs="Arial" w:eastAsia="Arial" w:hAnsi="Arial"/>
          <w:sz w:val="24"/>
          <w:szCs w:val="24"/>
        </w:rPr>
        <w:t xml:space="preserve">CellRanger / STARsolo: preprocessing of transcriptomics (if RNA-seq paired)</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electrophysiological parameters most reliably distinguish TRD-affected neurons from healthy controls?</w:t>
      </w:r>
    </w:p>
    <w:p>
      <w:r>
        <w:rPr>
          <w:rFonts w:ascii="Arial" w:cs="Arial" w:eastAsia="Arial" w:hAnsi="Arial"/>
          <w:sz w:val="24"/>
          <w:szCs w:val="24"/>
        </w:rPr>
        <w:t xml:space="preserve">Which functional circuits (prefrontal-limbic, reward, threat) show the most consistent EP dysregulation in TRD?</w:t>
      </w:r>
    </w:p>
    <w:p>
      <w:r>
        <w:rPr>
          <w:rFonts w:ascii="Arial" w:cs="Arial" w:eastAsia="Arial" w:hAnsi="Arial"/>
          <w:sz w:val="24"/>
          <w:szCs w:val="24"/>
        </w:rPr>
        <w:t xml:space="preserve">How do TRD signatures evolve across differentiation stages (immature vs. mature neurons)?</w:t>
      </w:r>
    </w:p>
    <w:p>
      <w:r>
        <w:rPr>
          <w:rFonts w:ascii="Arial" w:cs="Arial" w:eastAsia="Arial" w:hAnsi="Arial"/>
          <w:sz w:val="24"/>
          <w:szCs w:val="24"/>
        </w:rPr>
        <w:t xml:space="preserve">Which cell types (pyramidal, GABAergic interneurons, dopaminergic) exhibit the strongest disease phenotype?</w:t>
      </w:r>
    </w:p>
    <w:p>
      <w:r>
        <w:rPr>
          <w:rFonts w:ascii="Arial" w:cs="Arial" w:eastAsia="Arial" w:hAnsi="Arial"/>
          <w:sz w:val="24"/>
          <w:szCs w:val="24"/>
        </w:rPr>
        <w:t xml:space="preserve">Are there subclasses of TRD defined by distinct EP signatures (e.g., hyperexcitable vs. hypoexcitable)?</w:t>
      </w:r>
    </w:p>
    <w:p>
      <w:r>
        <w:rPr>
          <w:rFonts w:ascii="Arial" w:cs="Arial" w:eastAsia="Arial" w:hAnsi="Arial"/>
          <w:b/>
          <w:bCs/>
          <w:sz w:val="24"/>
          <w:szCs w:val="24"/>
        </w:rPr>
        <w:t xml:space="preserve">Expected Outputs:</w:t>
      </w:r>
    </w:p>
    <w:p>
      <w:r>
        <w:rPr>
          <w:rFonts w:ascii="Arial" w:cs="Arial" w:eastAsia="Arial" w:hAnsi="Arial"/>
          <w:sz w:val="24"/>
          <w:szCs w:val="24"/>
        </w:rPr>
        <w:t xml:space="preserve">High-dimensional TRD phenotype signature (vector of 50–100 key EP features)</w:t>
      </w:r>
    </w:p>
    <w:p>
      <w:r>
        <w:rPr>
          <w:rFonts w:ascii="Arial" w:cs="Arial" w:eastAsia="Arial" w:hAnsi="Arial"/>
          <w:sz w:val="24"/>
          <w:szCs w:val="24"/>
        </w:rPr>
        <w:t xml:space="preserve">Healthy control reference state in the same feature space</w:t>
      </w:r>
    </w:p>
    <w:p>
      <w:r>
        <w:rPr>
          <w:rFonts w:ascii="Arial" w:cs="Arial" w:eastAsia="Arial" w:hAnsi="Arial"/>
          <w:sz w:val="24"/>
          <w:szCs w:val="24"/>
        </w:rPr>
        <w:t xml:space="preserve">Statistical effect sizes and confidence intervals for each feature difference</w:t>
      </w:r>
    </w:p>
    <w:p>
      <w:r>
        <w:rPr>
          <w:rFonts w:ascii="Arial" w:cs="Arial" w:eastAsia="Arial" w:hAnsi="Arial"/>
          <w:sz w:val="24"/>
          <w:szCs w:val="24"/>
        </w:rPr>
        <w:t xml:space="preserve">Visualization plots (UMAP, heatmaps) showing clear separation of TRD and healthy states</w:t>
      </w:r>
    </w:p>
    <w:p>
      <w:r>
        <w:rPr>
          <w:rFonts w:ascii="Arial" w:cs="Arial" w:eastAsia="Arial" w:hAnsi="Arial"/>
          <w:sz w:val="24"/>
          <w:szCs w:val="24"/>
        </w:rPr>
        <w:t xml:space="preserve">Cell-type-specific phenotypes (if heterogeneity detected)</w:t>
      </w:r>
    </w:p>
    <w:p>
      <w:r>
        <w:rPr>
          <w:rFonts w:ascii="Arial" w:cs="Arial" w:eastAsia="Arial" w:hAnsi="Arial"/>
          <w:sz w:val="24"/>
          <w:szCs w:val="24"/>
        </w:rPr>
        <w:t xml:space="preserve">Reproducibility metrics (inter-dataset consistency, technical replicability)</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2: Compound Library Screening &amp; Embedding Rescue Detection</w:t>
      </w:r>
    </w:p>
    <w:p>
      <w:r>
        <w:rPr>
          <w:rFonts w:ascii="Arial" w:cs="Arial" w:eastAsia="Arial" w:hAnsi="Arial"/>
          <w:b/>
          <w:bCs/>
          <w:sz w:val="24"/>
          <w:szCs w:val="24"/>
        </w:rPr>
        <w:t xml:space="preserve">Purpose: </w:t>
      </w:r>
      <w:r>
        <w:rPr>
          <w:rFonts w:ascii="Arial" w:cs="Arial" w:eastAsia="Arial" w:hAnsi="Arial"/>
          <w:sz w:val="24"/>
          <w:szCs w:val="24"/>
        </w:rPr>
        <w:t xml:space="preserve">Query Quiver's compound atlas (~3,500 compounds tested on ~18k gene perturbations) to identify compounds whose EP signatures mathematically approach or rescue the healthy reference state when applied to TRD-phenotype neurons.</w:t>
      </w:r>
    </w:p>
    <w:p>
      <w:r>
        <w:rPr>
          <w:rFonts w:ascii="Arial" w:cs="Arial" w:eastAsia="Arial" w:hAnsi="Arial"/>
          <w:b/>
          <w:bCs/>
          <w:sz w:val="24"/>
          <w:szCs w:val="24"/>
        </w:rPr>
        <w:t xml:space="preserve">Inputs:</w:t>
      </w:r>
    </w:p>
    <w:p>
      <w:r>
        <w:rPr>
          <w:rFonts w:ascii="Arial" w:cs="Arial" w:eastAsia="Arial" w:hAnsi="Arial"/>
          <w:sz w:val="24"/>
          <w:szCs w:val="24"/>
        </w:rPr>
        <w:t xml:space="preserve">TRD EP phenotype signature (output from Stage 1)</w:t>
      </w:r>
    </w:p>
    <w:p>
      <w:r>
        <w:rPr>
          <w:rFonts w:ascii="Arial" w:cs="Arial" w:eastAsia="Arial" w:hAnsi="Arial"/>
          <w:sz w:val="24"/>
          <w:szCs w:val="24"/>
        </w:rPr>
        <w:t xml:space="preserve">Quiver compound atlas: ~3,500 small molecules + biologic perturbations with full EP readouts</w:t>
      </w:r>
    </w:p>
    <w:p>
      <w:r>
        <w:rPr>
          <w:rFonts w:ascii="Arial" w:cs="Arial" w:eastAsia="Arial" w:hAnsi="Arial"/>
          <w:sz w:val="24"/>
          <w:szCs w:val="24"/>
        </w:rPr>
        <w:t xml:space="preserve">Similarity metrics and distance functions (cosine, Euclidean, learned embeddings)</w:t>
      </w:r>
    </w:p>
    <w:p>
      <w:r>
        <w:rPr>
          <w:rFonts w:ascii="Arial" w:cs="Arial" w:eastAsia="Arial" w:hAnsi="Arial"/>
          <w:sz w:val="24"/>
          <w:szCs w:val="24"/>
        </w:rPr>
        <w:t xml:space="preserve">Known antidepressants (SSRIs, SNRIs, ketamine, psilocybin analogs) as positive controls</w:t>
      </w:r>
    </w:p>
    <w:p>
      <w:r>
        <w:rPr>
          <w:rFonts w:ascii="Arial" w:cs="Arial" w:eastAsia="Arial" w:hAnsi="Arial"/>
          <w:sz w:val="24"/>
          <w:szCs w:val="24"/>
        </w:rPr>
        <w:t xml:space="preserve">Toxicity and off-target liability databases (PubChem, ChEMBL)</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Embedding Engine: learns high-dimensional similarity space from EP profiles</w:t>
      </w:r>
    </w:p>
    <w:p>
      <w:r>
        <w:rPr>
          <w:rFonts w:ascii="Arial" w:cs="Arial" w:eastAsia="Arial" w:hAnsi="Arial"/>
          <w:sz w:val="24"/>
          <w:szCs w:val="24"/>
        </w:rPr>
        <w:t xml:space="preserve">Faiss / Annoy: fast nearest-neighbor search in feature space</w:t>
      </w:r>
    </w:p>
    <w:p>
      <w:r>
        <w:rPr>
          <w:rFonts w:ascii="Arial" w:cs="Arial" w:eastAsia="Arial" w:hAnsi="Arial"/>
          <w:sz w:val="24"/>
          <w:szCs w:val="24"/>
        </w:rPr>
        <w:t xml:space="preserve">scikit-learn RandomForest / XGBoost: rescue ranking by EP distance to healthy state</w:t>
      </w:r>
    </w:p>
    <w:p>
      <w:r>
        <w:rPr>
          <w:rFonts w:ascii="Arial" w:cs="Arial" w:eastAsia="Arial" w:hAnsi="Arial"/>
          <w:sz w:val="24"/>
          <w:szCs w:val="24"/>
        </w:rPr>
        <w:t xml:space="preserve">RDKit: molecular descriptor calculation and structural clustering</w:t>
      </w:r>
    </w:p>
    <w:p>
      <w:r>
        <w:rPr>
          <w:rFonts w:ascii="Arial" w:cs="Arial" w:eastAsia="Arial" w:hAnsi="Arial"/>
          <w:sz w:val="24"/>
          <w:szCs w:val="24"/>
        </w:rPr>
        <w:t xml:space="preserve">SHAP / LIME: feature importance for EP signatures driving rescue</w:t>
      </w:r>
    </w:p>
    <w:p>
      <w:r>
        <w:rPr>
          <w:rFonts w:ascii="Arial" w:cs="Arial" w:eastAsia="Arial" w:hAnsi="Arial"/>
          <w:sz w:val="24"/>
          <w:szCs w:val="24"/>
        </w:rPr>
        <w:t xml:space="preserve">Plotly / Matplotlib: interactive EP profile comparison visualizations</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compounds in the atlas exhibit EP signatures closest to the healthy reference?</w:t>
      </w:r>
    </w:p>
    <w:p>
      <w:r>
        <w:rPr>
          <w:rFonts w:ascii="Arial" w:cs="Arial" w:eastAsia="Arial" w:hAnsi="Arial"/>
          <w:sz w:val="24"/>
          <w:szCs w:val="24"/>
        </w:rPr>
        <w:t xml:space="preserve">Do known rapid-acting antidepressants (ketamine, esketamine) occupy expected positions in the embedding space?</w:t>
      </w:r>
    </w:p>
    <w:p>
      <w:r>
        <w:rPr>
          <w:rFonts w:ascii="Arial" w:cs="Arial" w:eastAsia="Arial" w:hAnsi="Arial"/>
          <w:sz w:val="24"/>
          <w:szCs w:val="24"/>
        </w:rPr>
        <w:t xml:space="preserve">Are there novel scaffolds outside traditional psychotropic classes that rescue TRD phenotypes?</w:t>
      </w:r>
    </w:p>
    <w:p>
      <w:r>
        <w:rPr>
          <w:rFonts w:ascii="Arial" w:cs="Arial" w:eastAsia="Arial" w:hAnsi="Arial"/>
          <w:sz w:val="24"/>
          <w:szCs w:val="24"/>
        </w:rPr>
        <w:t xml:space="preserve">What is the distribution of rescue effects across cell types and circuit modules?</w:t>
      </w:r>
    </w:p>
    <w:p>
      <w:r>
        <w:rPr>
          <w:rFonts w:ascii="Arial" w:cs="Arial" w:eastAsia="Arial" w:hAnsi="Arial"/>
          <w:sz w:val="24"/>
          <w:szCs w:val="24"/>
        </w:rPr>
        <w:t xml:space="preserve">Can we identify 'off-target' compounds that accidentally rescue TRD phenotypes despite unrelated intended targets?</w:t>
      </w:r>
    </w:p>
    <w:p>
      <w:r>
        <w:rPr>
          <w:rFonts w:ascii="Arial" w:cs="Arial" w:eastAsia="Arial" w:hAnsi="Arial"/>
          <w:b/>
          <w:bCs/>
          <w:sz w:val="24"/>
          <w:szCs w:val="24"/>
        </w:rPr>
        <w:t xml:space="preserve">Expected Outputs:</w:t>
      </w:r>
    </w:p>
    <w:p>
      <w:r>
        <w:rPr>
          <w:rFonts w:ascii="Arial" w:cs="Arial" w:eastAsia="Arial" w:hAnsi="Arial"/>
          <w:sz w:val="24"/>
          <w:szCs w:val="24"/>
        </w:rPr>
        <w:t xml:space="preserve">Ranked list of top 50–100 compounds by rescue score (distance to healthy reference)</w:t>
      </w:r>
    </w:p>
    <w:p>
      <w:r>
        <w:rPr>
          <w:rFonts w:ascii="Arial" w:cs="Arial" w:eastAsia="Arial" w:hAnsi="Arial"/>
          <w:sz w:val="24"/>
          <w:szCs w:val="24"/>
        </w:rPr>
        <w:t xml:space="preserve">Confidence/significance scores for each compound's rescue effect</w:t>
      </w:r>
    </w:p>
    <w:p>
      <w:r>
        <w:rPr>
          <w:rFonts w:ascii="Arial" w:cs="Arial" w:eastAsia="Arial" w:hAnsi="Arial"/>
          <w:sz w:val="24"/>
          <w:szCs w:val="24"/>
        </w:rPr>
        <w:t xml:space="preserve">Structural diversity analysis: chemotypes, scaffolds, mechanisms of rescue</w:t>
      </w:r>
    </w:p>
    <w:p>
      <w:r>
        <w:rPr>
          <w:rFonts w:ascii="Arial" w:cs="Arial" w:eastAsia="Arial" w:hAnsi="Arial"/>
          <w:sz w:val="24"/>
          <w:szCs w:val="24"/>
        </w:rPr>
        <w:t xml:space="preserve">Comparison plots: TRD phenotype vs. top compounds vs. healthy controls</w:t>
      </w:r>
    </w:p>
    <w:p>
      <w:r>
        <w:rPr>
          <w:rFonts w:ascii="Arial" w:cs="Arial" w:eastAsia="Arial" w:hAnsi="Arial"/>
          <w:sz w:val="24"/>
          <w:szCs w:val="24"/>
        </w:rPr>
        <w:t xml:space="preserve">Negative controls (compounds worsening TRD phenotype) for validation</w:t>
      </w:r>
    </w:p>
    <w:p>
      <w:r>
        <w:rPr>
          <w:rFonts w:ascii="Arial" w:cs="Arial" w:eastAsia="Arial" w:hAnsi="Arial"/>
          <w:sz w:val="24"/>
          <w:szCs w:val="24"/>
        </w:rPr>
        <w:t xml:space="preserve">Heatmaps of feature-by-compound matrices, highlighting rescued features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3: Clinical De-Risking &amp; Safety-in-Silico Assessment</w:t>
      </w:r>
    </w:p>
    <w:p>
      <w:r>
        <w:rPr>
          <w:rFonts w:ascii="Arial" w:cs="Arial" w:eastAsia="Arial" w:hAnsi="Arial"/>
          <w:b/>
          <w:bCs/>
          <w:sz w:val="24"/>
          <w:szCs w:val="24"/>
        </w:rPr>
        <w:t xml:space="preserve">Purpose: </w:t>
      </w:r>
      <w:r>
        <w:rPr>
          <w:rFonts w:ascii="Arial" w:cs="Arial" w:eastAsia="Arial" w:hAnsi="Arial"/>
          <w:sz w:val="24"/>
          <w:szCs w:val="24"/>
        </w:rPr>
        <w:t xml:space="preserve">Filter candidate compounds for clinical feasibility by evaluating pharmacokinetics, safety margins, on-target/off-target liabilities, and compatibility with rapid-onset antidepressant trials.</w:t>
      </w:r>
    </w:p>
    <w:p>
      <w:r>
        <w:rPr>
          <w:rFonts w:ascii="Arial" w:cs="Arial" w:eastAsia="Arial" w:hAnsi="Arial"/>
          <w:b/>
          <w:bCs/>
          <w:sz w:val="24"/>
          <w:szCs w:val="24"/>
        </w:rPr>
        <w:t xml:space="preserve">Inputs:</w:t>
      </w:r>
    </w:p>
    <w:p>
      <w:r>
        <w:rPr>
          <w:rFonts w:ascii="Arial" w:cs="Arial" w:eastAsia="Arial" w:hAnsi="Arial"/>
          <w:sz w:val="24"/>
          <w:szCs w:val="24"/>
        </w:rPr>
        <w:t xml:space="preserve">Top 50–100 compounds from Stage 2</w:t>
      </w:r>
    </w:p>
    <w:p>
      <w:r>
        <w:rPr>
          <w:rFonts w:ascii="Arial" w:cs="Arial" w:eastAsia="Arial" w:hAnsi="Arial"/>
          <w:sz w:val="24"/>
          <w:szCs w:val="24"/>
        </w:rPr>
        <w:t xml:space="preserve">ADME properties databases (ChEMBL, DrugBank, PubChem, SMILES structures)</w:t>
      </w:r>
    </w:p>
    <w:p>
      <w:r>
        <w:rPr>
          <w:rFonts w:ascii="Arial" w:cs="Arial" w:eastAsia="Arial" w:hAnsi="Arial"/>
          <w:sz w:val="24"/>
          <w:szCs w:val="24"/>
        </w:rPr>
        <w:t xml:space="preserve">Safety databases: adverse event profiles, preclinical toxicology (LD50, organ-specific toxicity)</w:t>
      </w:r>
    </w:p>
    <w:p>
      <w:r>
        <w:rPr>
          <w:rFonts w:ascii="Arial" w:cs="Arial" w:eastAsia="Arial" w:hAnsi="Arial"/>
          <w:sz w:val="24"/>
          <w:szCs w:val="24"/>
        </w:rPr>
        <w:t xml:space="preserve">Human genetics databases (GWAS for depression, pharmacogenomics VEPs)</w:t>
      </w:r>
    </w:p>
    <w:p>
      <w:r>
        <w:rPr>
          <w:rFonts w:ascii="Arial" w:cs="Arial" w:eastAsia="Arial" w:hAnsi="Arial"/>
          <w:sz w:val="24"/>
          <w:szCs w:val="24"/>
        </w:rPr>
        <w:t xml:space="preserve">FDA/EMA guidance for accelerated pathways (Breakthrough Therapy, Fast Track)</w:t>
      </w:r>
    </w:p>
    <w:p>
      <w:r>
        <w:rPr>
          <w:rFonts w:ascii="Arial" w:cs="Arial" w:eastAsia="Arial" w:hAnsi="Arial"/>
          <w:sz w:val="24"/>
          <w:szCs w:val="24"/>
        </w:rPr>
        <w:t xml:space="preserve">Known ketamine/esketamine safety profiles as reference</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Pred-hERG / CardioTox: cardiac safety prediction</w:t>
      </w:r>
    </w:p>
    <w:p>
      <w:r>
        <w:rPr>
          <w:rFonts w:ascii="Arial" w:cs="Arial" w:eastAsia="Arial" w:hAnsi="Arial"/>
          <w:sz w:val="24"/>
          <w:szCs w:val="24"/>
        </w:rPr>
        <w:t xml:space="preserve">Liver Toxicity: DILI prediction models</w:t>
      </w:r>
    </w:p>
    <w:p>
      <w:r>
        <w:rPr>
          <w:rFonts w:ascii="Arial" w:cs="Arial" w:eastAsia="Arial" w:hAnsi="Arial"/>
          <w:sz w:val="24"/>
          <w:szCs w:val="24"/>
        </w:rPr>
        <w:t xml:space="preserve">BBB-Pred: blood–brain barrier permeability (mandatory for CNS drugs)</w:t>
      </w:r>
    </w:p>
    <w:p>
      <w:r>
        <w:rPr>
          <w:rFonts w:ascii="Arial" w:cs="Arial" w:eastAsia="Arial" w:hAnsi="Arial"/>
          <w:sz w:val="24"/>
          <w:szCs w:val="24"/>
        </w:rPr>
        <w:t xml:space="preserve">SwissADME / PK Calculator: absorption, distribution, metabolism, excretion</w:t>
      </w:r>
    </w:p>
    <w:p>
      <w:r>
        <w:rPr>
          <w:rFonts w:ascii="Arial" w:cs="Arial" w:eastAsia="Arial" w:hAnsi="Arial"/>
          <w:sz w:val="24"/>
          <w:szCs w:val="24"/>
        </w:rPr>
        <w:t xml:space="preserve">ToxAlerts / Derek Nexus: structural alerts for genotoxicity, mutagenicity</w:t>
      </w:r>
    </w:p>
    <w:p>
      <w:r>
        <w:rPr>
          <w:rFonts w:ascii="Arial" w:cs="Arial" w:eastAsia="Arial" w:hAnsi="Arial"/>
          <w:sz w:val="24"/>
          <w:szCs w:val="24"/>
        </w:rPr>
        <w:t xml:space="preserve">PharmGKB: pharmacogenomic interactions and polymorphism-linked toxicity</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top rescue compounds have acceptable ADME profiles and BBB penetration?</w:t>
      </w:r>
    </w:p>
    <w:p>
      <w:r>
        <w:rPr>
          <w:rFonts w:ascii="Arial" w:cs="Arial" w:eastAsia="Arial" w:hAnsi="Arial"/>
          <w:sz w:val="24"/>
          <w:szCs w:val="24"/>
        </w:rPr>
        <w:t xml:space="preserve">Do any compounds show structural alerts for known toxicity liabilities?</w:t>
      </w:r>
    </w:p>
    <w:p>
      <w:r>
        <w:rPr>
          <w:rFonts w:ascii="Arial" w:cs="Arial" w:eastAsia="Arial" w:hAnsi="Arial"/>
          <w:sz w:val="24"/>
          <w:szCs w:val="24"/>
        </w:rPr>
        <w:t xml:space="preserve">What is the therapeutic window (efficacious vs. toxic dose) for each candidate?</w:t>
      </w:r>
    </w:p>
    <w:p>
      <w:r>
        <w:rPr>
          <w:rFonts w:ascii="Arial" w:cs="Arial" w:eastAsia="Arial" w:hAnsi="Arial"/>
          <w:sz w:val="24"/>
          <w:szCs w:val="24"/>
        </w:rPr>
        <w:t xml:space="preserve">Are there genetic polymorphisms in metabolic enzymes that could affect safety in subpopulations?</w:t>
      </w:r>
    </w:p>
    <w:p>
      <w:r>
        <w:rPr>
          <w:rFonts w:ascii="Arial" w:cs="Arial" w:eastAsia="Arial" w:hAnsi="Arial"/>
          <w:sz w:val="24"/>
          <w:szCs w:val="24"/>
        </w:rPr>
        <w:t xml:space="preserve">Which compounds align with FDA breakthrough criteria (ketamine analog-like novelty + safety margin)?</w:t>
      </w:r>
    </w:p>
    <w:p>
      <w:r>
        <w:rPr>
          <w:rFonts w:ascii="Arial" w:cs="Arial" w:eastAsia="Arial" w:hAnsi="Arial"/>
          <w:b/>
          <w:bCs/>
          <w:sz w:val="24"/>
          <w:szCs w:val="24"/>
        </w:rPr>
        <w:t xml:space="preserve">Expected Outputs:</w:t>
      </w:r>
    </w:p>
    <w:p>
      <w:r>
        <w:rPr>
          <w:rFonts w:ascii="Arial" w:cs="Arial" w:eastAsia="Arial" w:hAnsi="Arial"/>
          <w:sz w:val="24"/>
          <w:szCs w:val="24"/>
        </w:rPr>
        <w:t xml:space="preserve">De-risked shortlist: 10–20 compounds meeting ADME + safety thresholds</w:t>
      </w:r>
    </w:p>
    <w:p>
      <w:r>
        <w:rPr>
          <w:rFonts w:ascii="Arial" w:cs="Arial" w:eastAsia="Arial" w:hAnsi="Arial"/>
          <w:sz w:val="24"/>
          <w:szCs w:val="24"/>
        </w:rPr>
        <w:t xml:space="preserve">ADME parameter table: Cmax, t½, clearance, volume of distribution</w:t>
      </w:r>
    </w:p>
    <w:p>
      <w:r>
        <w:rPr>
          <w:rFonts w:ascii="Arial" w:cs="Arial" w:eastAsia="Arial" w:hAnsi="Arial"/>
          <w:sz w:val="24"/>
          <w:szCs w:val="24"/>
        </w:rPr>
        <w:t xml:space="preserve">Safety assessment card per compound: LD50, cardiac risk, hepatotoxicity, genotoxicity scores</w:t>
      </w:r>
    </w:p>
    <w:p>
      <w:r>
        <w:rPr>
          <w:rFonts w:ascii="Arial" w:cs="Arial" w:eastAsia="Arial" w:hAnsi="Arial"/>
          <w:sz w:val="24"/>
          <w:szCs w:val="24"/>
        </w:rPr>
        <w:t xml:space="preserve">Comparative safety profile vs. ketamine/esketamine</w:t>
      </w:r>
    </w:p>
    <w:p>
      <w:r>
        <w:rPr>
          <w:rFonts w:ascii="Arial" w:cs="Arial" w:eastAsia="Arial" w:hAnsi="Arial"/>
          <w:sz w:val="24"/>
          <w:szCs w:val="24"/>
        </w:rPr>
        <w:t xml:space="preserve">Flag list: compounds requiring additional preclinical studies (e.g., CYP450 interactions)</w:t>
      </w:r>
    </w:p>
    <w:p>
      <w:r>
        <w:rPr>
          <w:rFonts w:ascii="Arial" w:cs="Arial" w:eastAsia="Arial" w:hAnsi="Arial"/>
          <w:sz w:val="24"/>
          <w:szCs w:val="24"/>
        </w:rPr>
        <w:t xml:space="preserve">Regulatory pathway recommendation (Standard IND, Breakthrough Therapy, Fast Track)</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4: Mechanism-of-Action Mapping &amp; Target Deconvolution</w:t>
      </w:r>
    </w:p>
    <w:p>
      <w:r>
        <w:rPr>
          <w:rFonts w:ascii="Arial" w:cs="Arial" w:eastAsia="Arial" w:hAnsi="Arial"/>
          <w:b/>
          <w:bCs/>
          <w:sz w:val="24"/>
          <w:szCs w:val="24"/>
        </w:rPr>
        <w:t xml:space="preserve">Purpose: </w:t>
      </w:r>
      <w:r>
        <w:rPr>
          <w:rFonts w:ascii="Arial" w:cs="Arial" w:eastAsia="Arial" w:hAnsi="Arial"/>
          <w:sz w:val="24"/>
          <w:szCs w:val="24"/>
        </w:rPr>
        <w:t xml:space="preserve">Identify the molecular targets and pathways through which rescue compounds restore healthy TRD electrophysiology, using orthogonal approaches (genetics, pharmacology, systems biology).</w:t>
      </w:r>
    </w:p>
    <w:p>
      <w:r>
        <w:rPr>
          <w:rFonts w:ascii="Arial" w:cs="Arial" w:eastAsia="Arial" w:hAnsi="Arial"/>
          <w:b/>
          <w:bCs/>
          <w:sz w:val="24"/>
          <w:szCs w:val="24"/>
        </w:rPr>
        <w:t xml:space="preserve">Inputs:</w:t>
      </w:r>
    </w:p>
    <w:p>
      <w:r>
        <w:rPr>
          <w:rFonts w:ascii="Arial" w:cs="Arial" w:eastAsia="Arial" w:hAnsi="Arial"/>
          <w:sz w:val="24"/>
          <w:szCs w:val="24"/>
        </w:rPr>
        <w:t xml:space="preserve">De-risked compound shortlist (Stage 3)</w:t>
      </w:r>
    </w:p>
    <w:p>
      <w:r>
        <w:rPr>
          <w:rFonts w:ascii="Arial" w:cs="Arial" w:eastAsia="Arial" w:hAnsi="Arial"/>
          <w:sz w:val="24"/>
          <w:szCs w:val="24"/>
        </w:rPr>
        <w:t xml:space="preserve">Quiver CRISPR atlas: all 18k gene perturbations with full EP readouts</w:t>
      </w:r>
    </w:p>
    <w:p>
      <w:r>
        <w:rPr>
          <w:rFonts w:ascii="Arial" w:cs="Arial" w:eastAsia="Arial" w:hAnsi="Arial"/>
          <w:sz w:val="24"/>
          <w:szCs w:val="24"/>
        </w:rPr>
        <w:t xml:space="preserve">Target prediction databases (SEA, STITCH, DrugBank target annotations)</w:t>
      </w:r>
    </w:p>
    <w:p>
      <w:r>
        <w:rPr>
          <w:rFonts w:ascii="Arial" w:cs="Arial" w:eastAsia="Arial" w:hAnsi="Arial"/>
          <w:sz w:val="24"/>
          <w:szCs w:val="24"/>
        </w:rPr>
        <w:t xml:space="preserve">Known antidepressant targets: serotonin/norepinephrine/dopamine pathways, BDNF, mTOR, HPA axis, inflammation</w:t>
      </w:r>
    </w:p>
    <w:p>
      <w:r>
        <w:rPr>
          <w:rFonts w:ascii="Arial" w:cs="Arial" w:eastAsia="Arial" w:hAnsi="Arial"/>
          <w:sz w:val="24"/>
          <w:szCs w:val="24"/>
        </w:rPr>
        <w:t xml:space="preserve">Pathway databases: Reactome, KEGG, BioPAX</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Reverse Pharmacology: match compound EP signature to gene perturbation signatures</w:t>
      </w:r>
    </w:p>
    <w:p>
      <w:r>
        <w:rPr>
          <w:rFonts w:ascii="Arial" w:cs="Arial" w:eastAsia="Arial" w:hAnsi="Arial"/>
          <w:sz w:val="24"/>
          <w:szCs w:val="24"/>
        </w:rPr>
        <w:t xml:space="preserve">XRayP / STRING: protein–protein interaction networks</w:t>
      </w:r>
    </w:p>
    <w:p>
      <w:r>
        <w:rPr>
          <w:rFonts w:ascii="Arial" w:cs="Arial" w:eastAsia="Arial" w:hAnsi="Arial"/>
          <w:sz w:val="24"/>
          <w:szCs w:val="24"/>
        </w:rPr>
        <w:t xml:space="preserve">Enrichr / WebGestalt: pathway enrichment for compound-matched genes</w:t>
      </w:r>
    </w:p>
    <w:p>
      <w:r>
        <w:rPr>
          <w:rFonts w:ascii="Arial" w:cs="Arial" w:eastAsia="Arial" w:hAnsi="Arial"/>
          <w:sz w:val="24"/>
          <w:szCs w:val="24"/>
        </w:rPr>
        <w:t xml:space="preserve">CLUE / L1000: connectivity maps between compounds and gene perturbations</w:t>
      </w:r>
    </w:p>
    <w:p>
      <w:r>
        <w:rPr>
          <w:rFonts w:ascii="Arial" w:cs="Arial" w:eastAsia="Arial" w:hAnsi="Arial"/>
          <w:sz w:val="24"/>
          <w:szCs w:val="24"/>
        </w:rPr>
        <w:t xml:space="preserve">PPI networks + graph neural networks: target hub identification</w:t>
      </w:r>
    </w:p>
    <w:p>
      <w:r>
        <w:rPr>
          <w:rFonts w:ascii="Arial" w:cs="Arial" w:eastAsia="Arial" w:hAnsi="Arial"/>
          <w:sz w:val="24"/>
          <w:szCs w:val="24"/>
        </w:rPr>
        <w:t xml:space="preserve">ChEMBL / BindingDB: literature-mined target annotations and binding affinity</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genes in the CRISPR atlas produce EP signatures similar to our lead compounds?</w:t>
      </w:r>
    </w:p>
    <w:p>
      <w:r>
        <w:rPr>
          <w:rFonts w:ascii="Arial" w:cs="Arial" w:eastAsia="Arial" w:hAnsi="Arial"/>
          <w:sz w:val="24"/>
          <w:szCs w:val="24"/>
        </w:rPr>
        <w:t xml:space="preserve">Do compounds cluster around known antidepressant targets (5-HT, NE, BDNF, mTOR) or novel pathways?</w:t>
      </w:r>
    </w:p>
    <w:p>
      <w:r>
        <w:rPr>
          <w:rFonts w:ascii="Arial" w:cs="Arial" w:eastAsia="Arial" w:hAnsi="Arial"/>
          <w:sz w:val="24"/>
          <w:szCs w:val="24"/>
        </w:rPr>
        <w:t xml:space="preserve">Can we prioritize single-target vs. multi-target mechanisms based on rapid-onset kinetics?</w:t>
      </w:r>
    </w:p>
    <w:p>
      <w:r>
        <w:rPr>
          <w:rFonts w:ascii="Arial" w:cs="Arial" w:eastAsia="Arial" w:hAnsi="Arial"/>
          <w:sz w:val="24"/>
          <w:szCs w:val="24"/>
        </w:rPr>
        <w:t xml:space="preserve">Are there synergistic gene combinations that predict compound efficacy?</w:t>
      </w:r>
    </w:p>
    <w:p>
      <w:r>
        <w:rPr>
          <w:rFonts w:ascii="Arial" w:cs="Arial" w:eastAsia="Arial" w:hAnsi="Arial"/>
          <w:sz w:val="24"/>
          <w:szCs w:val="24"/>
        </w:rPr>
        <w:t xml:space="preserve">How do target profiles differ between traditional antidepressants and our fast-onset candidates?</w:t>
      </w:r>
    </w:p>
    <w:p>
      <w:r>
        <w:rPr>
          <w:rFonts w:ascii="Arial" w:cs="Arial" w:eastAsia="Arial" w:hAnsi="Arial"/>
          <w:b/>
          <w:bCs/>
          <w:sz w:val="24"/>
          <w:szCs w:val="24"/>
        </w:rPr>
        <w:t xml:space="preserve">Expected Outputs:</w:t>
      </w:r>
    </w:p>
    <w:p>
      <w:r>
        <w:rPr>
          <w:rFonts w:ascii="Arial" w:cs="Arial" w:eastAsia="Arial" w:hAnsi="Arial"/>
          <w:sz w:val="24"/>
          <w:szCs w:val="24"/>
        </w:rPr>
        <w:t xml:space="preserve">Putative target list per compound (primary and secondary targets ranked by confidence)</w:t>
      </w:r>
    </w:p>
    <w:p>
      <w:r>
        <w:rPr>
          <w:rFonts w:ascii="Arial" w:cs="Arial" w:eastAsia="Arial" w:hAnsi="Arial"/>
          <w:sz w:val="24"/>
          <w:szCs w:val="24"/>
        </w:rPr>
        <w:t xml:space="preserve">Target-to-phenotype mapping: which targets explain which rescued EP features?</w:t>
      </w:r>
    </w:p>
    <w:p>
      <w:r>
        <w:rPr>
          <w:rFonts w:ascii="Arial" w:cs="Arial" w:eastAsia="Arial" w:hAnsi="Arial"/>
          <w:sz w:val="24"/>
          <w:szCs w:val="24"/>
        </w:rPr>
        <w:t xml:space="preserve">Pathway enrichment analysis: canonical pathways (dopamine, BDNF, mTOR signaling) vs. novel</w:t>
      </w:r>
    </w:p>
    <w:p>
      <w:r>
        <w:rPr>
          <w:rFonts w:ascii="Arial" w:cs="Arial" w:eastAsia="Arial" w:hAnsi="Arial"/>
          <w:sz w:val="24"/>
          <w:szCs w:val="24"/>
        </w:rPr>
        <w:t xml:space="preserve">Network diagrams: compound targets and their interaction partners in depression-relevant circuits</w:t>
      </w:r>
    </w:p>
    <w:p>
      <w:r>
        <w:rPr>
          <w:rFonts w:ascii="Arial" w:cs="Arial" w:eastAsia="Arial" w:hAnsi="Arial"/>
          <w:sz w:val="24"/>
          <w:szCs w:val="24"/>
        </w:rPr>
        <w:t xml:space="preserve">Selectivity assessment: off-target liabilities tied to known adverse effects</w:t>
      </w:r>
    </w:p>
    <w:p>
      <w:r>
        <w:rPr>
          <w:rFonts w:ascii="Arial" w:cs="Arial" w:eastAsia="Arial" w:hAnsi="Arial"/>
          <w:sz w:val="24"/>
          <w:szCs w:val="24"/>
        </w:rPr>
        <w:t xml:space="preserve">Lead compound profile: ranked by mechanism novelty, targetability, and rescue strength</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5: Preclinical Validation in Circuit Models</w:t>
      </w:r>
    </w:p>
    <w:p>
      <w:r>
        <w:rPr>
          <w:rFonts w:ascii="Arial" w:cs="Arial" w:eastAsia="Arial" w:hAnsi="Arial"/>
          <w:b/>
          <w:bCs/>
          <w:sz w:val="24"/>
          <w:szCs w:val="24"/>
        </w:rPr>
        <w:t xml:space="preserve">Purpose: </w:t>
      </w:r>
      <w:r>
        <w:rPr>
          <w:rFonts w:ascii="Arial" w:cs="Arial" w:eastAsia="Arial" w:hAnsi="Arial"/>
          <w:sz w:val="24"/>
          <w:szCs w:val="24"/>
        </w:rPr>
        <w:t xml:space="preserve">Experimentally validate top compounds in multi-scale circuit models (optogenetic circuit manipulation, awake behaving animal assays, organoid electrophysiology) to confirm EP rescue and predict human efficacy.</w:t>
      </w:r>
    </w:p>
    <w:p>
      <w:r>
        <w:rPr>
          <w:rFonts w:ascii="Arial" w:cs="Arial" w:eastAsia="Arial" w:hAnsi="Arial"/>
          <w:b/>
          <w:bCs/>
          <w:sz w:val="24"/>
          <w:szCs w:val="24"/>
        </w:rPr>
        <w:t xml:space="preserve">Inputs:</w:t>
      </w:r>
    </w:p>
    <w:p>
      <w:r>
        <w:rPr>
          <w:rFonts w:ascii="Arial" w:cs="Arial" w:eastAsia="Arial" w:hAnsi="Arial"/>
          <w:sz w:val="24"/>
          <w:szCs w:val="24"/>
        </w:rPr>
        <w:t xml:space="preserve">Lead compounds (1–3) from Stage 4</w:t>
      </w:r>
    </w:p>
    <w:p>
      <w:r>
        <w:rPr>
          <w:rFonts w:ascii="Arial" w:cs="Arial" w:eastAsia="Arial" w:hAnsi="Arial"/>
          <w:sz w:val="24"/>
          <w:szCs w:val="24"/>
        </w:rPr>
        <w:t xml:space="preserve">Validated TRD circuit models: depression-like animal phenotypes (chronic mild stress, learned helplessness, social defeat), human organoids</w:t>
      </w:r>
    </w:p>
    <w:p>
      <w:r>
        <w:rPr>
          <w:rFonts w:ascii="Arial" w:cs="Arial" w:eastAsia="Arial" w:hAnsi="Arial"/>
          <w:sz w:val="24"/>
          <w:szCs w:val="24"/>
        </w:rPr>
        <w:t xml:space="preserve">Optogenetic tools and viral vectors for circuit-specific perturbations</w:t>
      </w:r>
    </w:p>
    <w:p>
      <w:r>
        <w:rPr>
          <w:rFonts w:ascii="Arial" w:cs="Arial" w:eastAsia="Arial" w:hAnsi="Arial"/>
          <w:sz w:val="24"/>
          <w:szCs w:val="24"/>
        </w:rPr>
        <w:t xml:space="preserve">Behavioral readouts: forced swim test, sucrose preference, social interaction, novelty exploration</w:t>
      </w:r>
    </w:p>
    <w:p>
      <w:r>
        <w:rPr>
          <w:rFonts w:ascii="Arial" w:cs="Arial" w:eastAsia="Arial" w:hAnsi="Arial"/>
          <w:sz w:val="24"/>
          <w:szCs w:val="24"/>
        </w:rPr>
        <w:t xml:space="preserve">Electrophysiology rig specifications for in vivo recordings in awake animals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OpenEphys: multi-electrode in vivo recording software</w:t>
      </w:r>
    </w:p>
    <w:p>
      <w:r>
        <w:rPr>
          <w:rFonts w:ascii="Arial" w:cs="Arial" w:eastAsia="Arial" w:hAnsi="Arial"/>
          <w:sz w:val="24"/>
          <w:szCs w:val="24"/>
        </w:rPr>
        <w:t xml:space="preserve">Neuroscope / Phy: spike sorting and quality control</w:t>
      </w:r>
    </w:p>
    <w:p>
      <w:r>
        <w:rPr>
          <w:rFonts w:ascii="Arial" w:cs="Arial" w:eastAsia="Arial" w:hAnsi="Arial"/>
          <w:sz w:val="24"/>
          <w:szCs w:val="24"/>
        </w:rPr>
        <w:t xml:space="preserve">DeepLabCut: automated animal behavior tracking</w:t>
      </w:r>
    </w:p>
    <w:p>
      <w:r>
        <w:rPr>
          <w:rFonts w:ascii="Arial" w:cs="Arial" w:eastAsia="Arial" w:hAnsi="Arial"/>
          <w:sz w:val="24"/>
          <w:szCs w:val="24"/>
        </w:rPr>
        <w:t xml:space="preserve">Optogenetic stimulation controllers: ThorLabs, Pockels cell systems</w:t>
      </w:r>
    </w:p>
    <w:p>
      <w:r>
        <w:rPr>
          <w:rFonts w:ascii="Arial" w:cs="Arial" w:eastAsia="Arial" w:hAnsi="Arial"/>
          <w:sz w:val="24"/>
          <w:szCs w:val="24"/>
        </w:rPr>
        <w:t xml:space="preserve">MATLAB / Python: circuit-level analysis (LFP, coherence, burst properties)</w:t>
      </w:r>
    </w:p>
    <w:p>
      <w:r>
        <w:rPr>
          <w:rFonts w:ascii="Arial" w:cs="Arial" w:eastAsia="Arial" w:hAnsi="Arial"/>
          <w:sz w:val="24"/>
          <w:szCs w:val="24"/>
        </w:rPr>
        <w:t xml:space="preserve">Statistical frameworks: mixed-effects models, permutation testing</w:t>
      </w:r>
    </w:p>
    <w:p>
      <w:r>
        <w:rPr>
          <w:rFonts w:ascii="Arial" w:cs="Arial" w:eastAsia="Arial" w:hAnsi="Arial"/>
          <w:b/>
          <w:bCs/>
          <w:sz w:val="24"/>
          <w:szCs w:val="24"/>
        </w:rPr>
        <w:t xml:space="preserve">Exemplary Sub-Prompts:</w:t>
      </w:r>
    </w:p>
    <w:p>
      <w:r>
        <w:rPr>
          <w:rFonts w:ascii="Arial" w:cs="Arial" w:eastAsia="Arial" w:hAnsi="Arial"/>
          <w:sz w:val="24"/>
          <w:szCs w:val="24"/>
        </w:rPr>
        <w:t xml:space="preserve">Does compound administration restore burst firing frequency and amplitude in TRD-relevant circuits?</w:t>
      </w:r>
    </w:p>
    <w:p>
      <w:r>
        <w:rPr>
          <w:rFonts w:ascii="Arial" w:cs="Arial" w:eastAsia="Arial" w:hAnsi="Arial"/>
          <w:sz w:val="24"/>
          <w:szCs w:val="24"/>
        </w:rPr>
        <w:t xml:space="preserve">What is the temporal kinetics of EP rescue relative to behavioral rescue?</w:t>
      </w:r>
    </w:p>
    <w:p>
      <w:r>
        <w:rPr>
          <w:rFonts w:ascii="Arial" w:cs="Arial" w:eastAsia="Arial" w:hAnsi="Arial"/>
          <w:sz w:val="24"/>
          <w:szCs w:val="24"/>
        </w:rPr>
        <w:t xml:space="preserve">Are there circuit-level differences (e.g., prefrontal vs. limbic) in compound sensitivity?</w:t>
      </w:r>
    </w:p>
    <w:p>
      <w:r>
        <w:rPr>
          <w:rFonts w:ascii="Arial" w:cs="Arial" w:eastAsia="Arial" w:hAnsi="Arial"/>
          <w:sz w:val="24"/>
          <w:szCs w:val="24"/>
        </w:rPr>
        <w:t xml:space="preserve">Does the compound show ceiling effects or toxicity at higher doses?</w:t>
      </w:r>
    </w:p>
    <w:p>
      <w:r>
        <w:rPr>
          <w:rFonts w:ascii="Arial" w:cs="Arial" w:eastAsia="Arial" w:hAnsi="Arial"/>
          <w:sz w:val="24"/>
          <w:szCs w:val="24"/>
        </w:rPr>
        <w:t xml:space="preserve">Can we predict human rapid-onset kinetics (~hours to days) from rodent data?</w:t>
      </w:r>
    </w:p>
    <w:p>
      <w:r>
        <w:rPr>
          <w:rFonts w:ascii="Arial" w:cs="Arial" w:eastAsia="Arial" w:hAnsi="Arial"/>
          <w:b/>
          <w:bCs/>
          <w:sz w:val="24"/>
          <w:szCs w:val="24"/>
        </w:rPr>
        <w:t xml:space="preserve">Expected Outputs:</w:t>
      </w:r>
    </w:p>
    <w:p>
      <w:r>
        <w:rPr>
          <w:rFonts w:ascii="Arial" w:cs="Arial" w:eastAsia="Arial" w:hAnsi="Arial"/>
          <w:sz w:val="24"/>
          <w:szCs w:val="24"/>
        </w:rPr>
        <w:t xml:space="preserve">In vivo EP recordings: pre/post-compound raster plots, power spectra, burst analysis</w:t>
      </w:r>
    </w:p>
    <w:p>
      <w:r>
        <w:rPr>
          <w:rFonts w:ascii="Arial" w:cs="Arial" w:eastAsia="Arial" w:hAnsi="Arial"/>
          <w:sz w:val="24"/>
          <w:szCs w:val="24"/>
        </w:rPr>
        <w:t xml:space="preserve">Behavioral data: dose–response curves for multiple depression-like tasks</w:t>
      </w:r>
    </w:p>
    <w:p>
      <w:r>
        <w:rPr>
          <w:rFonts w:ascii="Arial" w:cs="Arial" w:eastAsia="Arial" w:hAnsi="Arial"/>
          <w:sz w:val="24"/>
          <w:szCs w:val="24"/>
        </w:rPr>
        <w:t xml:space="preserve">Time-course profiles: EP rescue kinetics (minutes to days post-dose)</w:t>
      </w:r>
    </w:p>
    <w:p>
      <w:r>
        <w:rPr>
          <w:rFonts w:ascii="Arial" w:cs="Arial" w:eastAsia="Arial" w:hAnsi="Arial"/>
          <w:sz w:val="24"/>
          <w:szCs w:val="24"/>
        </w:rPr>
        <w:t xml:space="preserve">Quantitative metrics: Cohen's d effect sizes, 95% CIs for key phenotypes</w:t>
      </w:r>
    </w:p>
    <w:p>
      <w:r>
        <w:rPr>
          <w:rFonts w:ascii="Arial" w:cs="Arial" w:eastAsia="Arial" w:hAnsi="Arial"/>
          <w:sz w:val="24"/>
          <w:szCs w:val="24"/>
        </w:rPr>
        <w:t xml:space="preserve">Safety data: EEG abnormalities, motor/cognitive side effects</w:t>
      </w:r>
    </w:p>
    <w:p>
      <w:r>
        <w:rPr>
          <w:rFonts w:ascii="Arial" w:cs="Arial" w:eastAsia="Arial" w:hAnsi="Arial"/>
          <w:sz w:val="24"/>
          <w:szCs w:val="24"/>
        </w:rPr>
        <w:t xml:space="preserve">Candidate selection: lead compound(s) recommended for IND-enabling studies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6: IND-Enabling Studies Planning &amp; Clinical Trial Design</w:t>
      </w:r>
    </w:p>
    <w:p>
      <w:r>
        <w:rPr>
          <w:rFonts w:ascii="Arial" w:cs="Arial" w:eastAsia="Arial" w:hAnsi="Arial"/>
          <w:b/>
          <w:bCs/>
          <w:sz w:val="24"/>
          <w:szCs w:val="24"/>
        </w:rPr>
        <w:t xml:space="preserve">Purpose: </w:t>
      </w:r>
      <w:r>
        <w:rPr>
          <w:rFonts w:ascii="Arial" w:cs="Arial" w:eastAsia="Arial" w:hAnsi="Arial"/>
          <w:sz w:val="24"/>
          <w:szCs w:val="24"/>
        </w:rPr>
        <w:t xml:space="preserve">Prepare regulatory submissions and design Phase I/II trials for rapid advancement of lead TRD compounds, with emphasis on ketamine-like safety and rapid symptom onset as primary endpoints.</w:t>
      </w:r>
    </w:p>
    <w:p>
      <w:r>
        <w:rPr>
          <w:rFonts w:ascii="Arial" w:cs="Arial" w:eastAsia="Arial" w:hAnsi="Arial"/>
          <w:b/>
          <w:bCs/>
          <w:sz w:val="24"/>
          <w:szCs w:val="24"/>
        </w:rPr>
        <w:t xml:space="preserve">Inputs:</w:t>
      </w:r>
    </w:p>
    <w:p>
      <w:r>
        <w:rPr>
          <w:rFonts w:ascii="Arial" w:cs="Arial" w:eastAsia="Arial" w:hAnsi="Arial"/>
          <w:sz w:val="24"/>
          <w:szCs w:val="24"/>
        </w:rPr>
        <w:t xml:space="preserve">Lead compound(s) from Stage 5 validation</w:t>
      </w:r>
    </w:p>
    <w:p>
      <w:r>
        <w:rPr>
          <w:rFonts w:ascii="Arial" w:cs="Arial" w:eastAsia="Arial" w:hAnsi="Arial"/>
          <w:sz w:val="24"/>
          <w:szCs w:val="24"/>
        </w:rPr>
        <w:t xml:space="preserve">IND guidance documents (FDA Small Business IND templates, CNS drug guidance)</w:t>
      </w:r>
    </w:p>
    <w:p>
      <w:r>
        <w:rPr>
          <w:rFonts w:ascii="Arial" w:cs="Arial" w:eastAsia="Arial" w:hAnsi="Arial"/>
          <w:sz w:val="24"/>
          <w:szCs w:val="24"/>
        </w:rPr>
        <w:t xml:space="preserve">Phase I protocol design: dose escalation, safety monitoring, PK/PD sampling</w:t>
      </w:r>
    </w:p>
    <w:p>
      <w:r>
        <w:rPr>
          <w:rFonts w:ascii="Arial" w:cs="Arial" w:eastAsia="Arial" w:hAnsi="Arial"/>
          <w:sz w:val="24"/>
          <w:szCs w:val="24"/>
        </w:rPr>
        <w:t xml:space="preserve">Phase II trial design: TRD-enriched population, MADRS/CGI endpoints, rapid assessment windows (1–4 weeks)</w:t>
      </w:r>
    </w:p>
    <w:p>
      <w:r>
        <w:rPr>
          <w:rFonts w:ascii="Arial" w:cs="Arial" w:eastAsia="Arial" w:hAnsi="Arial"/>
          <w:sz w:val="24"/>
          <w:szCs w:val="24"/>
        </w:rPr>
        <w:t xml:space="preserve">Biomarker integration: serum BDNF, inflammatory cytokines, genetic stratification</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Regulatory Intelligence platforms: FDA Orange Book, DrugTrial.io, Clinical Trials.gov</w:t>
      </w:r>
    </w:p>
    <w:p>
      <w:r>
        <w:rPr>
          <w:rFonts w:ascii="Arial" w:cs="Arial" w:eastAsia="Arial" w:hAnsi="Arial"/>
          <w:sz w:val="24"/>
          <w:szCs w:val="24"/>
        </w:rPr>
        <w:t xml:space="preserve">Trial design software: nQuery, PASS, East for sample size calculation</w:t>
      </w:r>
    </w:p>
    <w:p>
      <w:r>
        <w:rPr>
          <w:rFonts w:ascii="Arial" w:cs="Arial" w:eastAsia="Arial" w:hAnsi="Arial"/>
          <w:sz w:val="24"/>
          <w:szCs w:val="24"/>
        </w:rPr>
        <w:t xml:space="preserve">Biomarker integration platforms: Tempus, Recursion Pharma knowledge graphs</w:t>
      </w:r>
    </w:p>
    <w:p>
      <w:r>
        <w:rPr>
          <w:rFonts w:ascii="Arial" w:cs="Arial" w:eastAsia="Arial" w:hAnsi="Arial"/>
          <w:sz w:val="24"/>
          <w:szCs w:val="24"/>
        </w:rPr>
        <w:t xml:space="preserve">Real-world evidence (RWE) registries: depression treatment outcome databases</w:t>
      </w:r>
    </w:p>
    <w:p>
      <w:r>
        <w:rPr>
          <w:rFonts w:ascii="Arial" w:cs="Arial" w:eastAsia="Arial" w:hAnsi="Arial"/>
          <w:sz w:val="24"/>
          <w:szCs w:val="24"/>
        </w:rPr>
        <w:t xml:space="preserve">Safety monitoring dashboards: RedCap, Medidata Rave Clinical</w:t>
      </w:r>
    </w:p>
    <w:p>
      <w:r>
        <w:rPr>
          <w:rFonts w:ascii="Arial" w:cs="Arial" w:eastAsia="Arial" w:hAnsi="Arial"/>
          <w:sz w:val="24"/>
          <w:szCs w:val="24"/>
        </w:rPr>
        <w:t xml:space="preserve">Publication/regulatory strategy tools: Elsevier Plumx, manuscript planning</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Phase I dose range and frequency (IV, IM, oral, intranasal) aligns with ketamine precedent?</w:t>
      </w:r>
    </w:p>
    <w:p>
      <w:r>
        <w:rPr>
          <w:rFonts w:ascii="Arial" w:cs="Arial" w:eastAsia="Arial" w:hAnsi="Arial"/>
          <w:sz w:val="24"/>
          <w:szCs w:val="24"/>
        </w:rPr>
        <w:t xml:space="preserve">Should we enroll TRD vs. general MDD populations, and what are inclusion/exclusion criteria?</w:t>
      </w:r>
    </w:p>
    <w:p>
      <w:r>
        <w:rPr>
          <w:rFonts w:ascii="Arial" w:cs="Arial" w:eastAsia="Arial" w:hAnsi="Arial"/>
          <w:sz w:val="24"/>
          <w:szCs w:val="24"/>
        </w:rPr>
        <w:t xml:space="preserve">How rapidly can we assess efficacy (e.g., 24–72 hours) to demonstrate rapid-onset superiority?</w:t>
      </w:r>
    </w:p>
    <w:p>
      <w:r>
        <w:rPr>
          <w:rFonts w:ascii="Arial" w:cs="Arial" w:eastAsia="Arial" w:hAnsi="Arial"/>
          <w:sz w:val="24"/>
          <w:szCs w:val="24"/>
        </w:rPr>
        <w:t xml:space="preserve">Which biomarkers (BDNF, inflammatory, EP signature changes) should we measure as secondary endpoints?</w:t>
      </w:r>
    </w:p>
    <w:p>
      <w:r>
        <w:rPr>
          <w:rFonts w:ascii="Arial" w:cs="Arial" w:eastAsia="Arial" w:hAnsi="Arial"/>
          <w:sz w:val="24"/>
          <w:szCs w:val="24"/>
        </w:rPr>
        <w:t xml:space="preserve">Can we design adaptive trials to accelerate approval (Breakthrough Designation, adaptive randomization)?</w:t>
      </w:r>
    </w:p>
    <w:p>
      <w:r>
        <w:rPr>
          <w:rFonts w:ascii="Arial" w:cs="Arial" w:eastAsia="Arial" w:hAnsi="Arial"/>
          <w:b/>
          <w:bCs/>
          <w:sz w:val="24"/>
          <w:szCs w:val="24"/>
        </w:rPr>
        <w:t xml:space="preserve">Expected Outputs:</w:t>
      </w:r>
    </w:p>
    <w:p>
      <w:r>
        <w:rPr>
          <w:rFonts w:ascii="Arial" w:cs="Arial" w:eastAsia="Arial" w:hAnsi="Arial"/>
          <w:sz w:val="24"/>
          <w:szCs w:val="24"/>
        </w:rPr>
        <w:t xml:space="preserve">IND dossier outline: manufacturing, nonclinical safety, human pharmacology</w:t>
      </w:r>
    </w:p>
    <w:p>
      <w:r>
        <w:rPr>
          <w:rFonts w:ascii="Arial" w:cs="Arial" w:eastAsia="Arial" w:hAnsi="Arial"/>
          <w:sz w:val="24"/>
          <w:szCs w:val="24"/>
        </w:rPr>
        <w:t xml:space="preserve">Phase I protocol: dose escalation design, safety criteria, PK sampling schedule</w:t>
      </w:r>
    </w:p>
    <w:p>
      <w:r>
        <w:rPr>
          <w:rFonts w:ascii="Arial" w:cs="Arial" w:eastAsia="Arial" w:hAnsi="Arial"/>
          <w:sz w:val="24"/>
          <w:szCs w:val="24"/>
        </w:rPr>
        <w:t xml:space="preserve">Phase II protocol: inclusion criteria, endpoint selection, rapid assessment schedule</w:t>
      </w:r>
    </w:p>
    <w:p>
      <w:r>
        <w:rPr>
          <w:rFonts w:ascii="Arial" w:cs="Arial" w:eastAsia="Arial" w:hAnsi="Arial"/>
          <w:sz w:val="24"/>
          <w:szCs w:val="24"/>
        </w:rPr>
        <w:t xml:space="preserve">Biomarker qualification plan: serum/CSF biomarkers, EP signature changes, imaging (fMRI)</w:t>
      </w:r>
    </w:p>
    <w:p>
      <w:r>
        <w:rPr>
          <w:rFonts w:ascii="Arial" w:cs="Arial" w:eastAsia="Arial" w:hAnsi="Arial"/>
          <w:sz w:val="24"/>
          <w:szCs w:val="24"/>
        </w:rPr>
        <w:t xml:space="preserve">Safety monitoring plan: adverse event grading, stopping rules, safety review board charter</w:t>
      </w:r>
    </w:p>
    <w:p>
      <w:r>
        <w:rPr>
          <w:rFonts w:ascii="Arial" w:cs="Arial" w:eastAsia="Arial" w:hAnsi="Arial"/>
          <w:sz w:val="24"/>
          <w:szCs w:val="24"/>
        </w:rPr>
        <w:t xml:space="preserve">Regulatory timeline and risk mitigation: anticipated bottlenecks and contingencies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Tools &amp; Databases Summary</w:t>
      </w:r>
    </w:p>
    <w:p>
      <w:r>
        <w:rPr>
          <w:rFonts w:ascii="Arial" w:cs="Arial" w:eastAsia="Arial" w:hAnsi="Arial"/>
          <w:sz w:val="24"/>
          <w:szCs w:val="24"/>
        </w:rPr>
        <w:t xml:space="preserve">Quiver EP CRISPR Atlas: 18,000+ gene perturbations with full electrophysiology readouts and phenotypic annotations</w:t>
      </w:r>
    </w:p>
    <w:p>
      <w:r>
        <w:rPr>
          <w:rFonts w:ascii="Arial" w:cs="Arial" w:eastAsia="Arial" w:hAnsi="Arial"/>
          <w:sz w:val="24"/>
          <w:szCs w:val="24"/>
        </w:rPr>
        <w:t xml:space="preserve">Quiver Compound Library: 3,500 characterized small molecules with EP signatures and target predictions</w:t>
      </w:r>
    </w:p>
    <w:p>
      <w:r>
        <w:rPr>
          <w:rFonts w:ascii="Arial" w:cs="Arial" w:eastAsia="Arial" w:hAnsi="Arial"/>
          <w:sz w:val="24"/>
          <w:szCs w:val="24"/>
        </w:rPr>
        <w:t xml:space="preserve">Sapphire Embedding Engine: machine learning models for phenotype-space searches and compound matching</w:t>
      </w:r>
    </w:p>
    <w:p>
      <w:r>
        <w:rPr>
          <w:rFonts w:ascii="Arial" w:cs="Arial" w:eastAsia="Arial" w:hAnsi="Arial"/>
          <w:sz w:val="24"/>
          <w:szCs w:val="24"/>
        </w:rPr>
        <w:t xml:space="preserve">Target Prediction Tools: SEA (Similarity Ensemble Approach), SwissTargetPrediction, ChEMBL for target deconvolution</w:t>
      </w:r>
    </w:p>
    <w:p>
      <w:r>
        <w:rPr>
          <w:rFonts w:ascii="Arial" w:cs="Arial" w:eastAsia="Arial" w:hAnsi="Arial"/>
          <w:sz w:val="24"/>
          <w:szCs w:val="24"/>
        </w:rPr>
        <w:t xml:space="preserve">Electrophysiology Analysis: Clampfit, OpenEphys, Phy for raw data processing and feature extraction</w:t>
      </w:r>
    </w:p>
    <w:p>
      <w:r>
        <w:rPr>
          <w:rFonts w:ascii="Arial" w:cs="Arial" w:eastAsia="Arial" w:hAnsi="Arial"/>
          <w:sz w:val="24"/>
          <w:szCs w:val="24"/>
        </w:rPr>
        <w:t xml:space="preserve">Network Tools: String, Cytoscape, Reactome for pathway enrichment and mechanistic visualization</w:t>
      </w:r>
    </w:p>
    <w:p>
      <w:r>
        <w:rPr>
          <w:rFonts w:ascii="Arial" w:cs="Arial" w:eastAsia="Arial" w:hAnsi="Arial"/>
          <w:sz w:val="24"/>
          <w:szCs w:val="24"/>
        </w:rPr>
        <w:t xml:space="preserve">Statistical Frameworks: scikit-learn, XGBoost, SHAP for predictive models and feature importance</w:t>
      </w:r>
    </w:p>
    <w:p>
      <w:r>
        <w:rPr>
          <w:rFonts w:ascii="Arial" w:cs="Arial" w:eastAsia="Arial" w:hAnsi="Arial"/>
          <w:sz w:val="24"/>
          <w:szCs w:val="24"/>
        </w:rPr>
        <w:t xml:space="preserve">Bioinformatics Platforms: Scanpy, SEurat for single-cell analysis; UMAP, t-SNE for dimensionality reduction</w:t>
      </w:r>
    </w:p>
    <w:p>
      <w:r>
        <w:rPr>
          <w:rFonts w:ascii="Arial" w:cs="Arial" w:eastAsia="Arial" w:hAnsi="Arial"/>
          <w:sz w:val="24"/>
          <w:szCs w:val="24"/>
        </w:rPr>
        <w:t xml:space="preserve">ADME &amp; Safety: SwissADME, ChemAxon, BBB-Pred for drug-like property assessment</w:t>
      </w:r>
    </w:p>
    <w:p>
      <w:r>
        <w:rPr>
          <w:rFonts w:ascii="Arial" w:cs="Arial" w:eastAsia="Arial" w:hAnsi="Arial"/>
          <w:sz w:val="24"/>
          <w:szCs w:val="24"/>
        </w:rPr>
        <w:t xml:space="preserve">Clinical Trial Design: nQuery, PASS for sample size; REDCap for data management</w:t>
      </w:r>
    </w:p>
    <w:p>
      <w:r>
        <w:rPr>
          <w:rFonts w:ascii="Arial" w:cs="Arial" w:eastAsia="Arial" w:hAnsi="Arial"/>
          <w:sz w:val="24"/>
          <w:szCs w:val="24"/>
        </w:rPr>
        <w:t xml:space="preserve">Real-World Evidence: Registry data integration, patient-reported outcome platforms</w:t>
      </w:r>
    </w:p>
    <w:p>
      <w:r>
        <w:rPr>
          <w:rFonts w:ascii="Arial" w:cs="Arial" w:eastAsia="Arial" w:hAnsi="Arial"/>
          <w:sz w:val="24"/>
          <w:szCs w:val="24"/>
        </w:rPr>
        <w:t xml:space="preserve">Regulatory Intelligence: FDA guidance documents, Orange Book, clinical trial registries</w:t>
      </w:r>
    </w:p>
    <w:p>
      <w:r>
        <w:rPr>
          <w:rFonts w:ascii="Arial" w:cs="Arial" w:eastAsia="Arial" w:hAnsi="Arial"/>
          <w:sz w:val="24"/>
          <w:szCs w:val="24"/>
        </w:rPr>
        <w:t xml:space="preserve">Mass Spectrometry: Quantitative phosphoproteomics, transcriptomics for mechanistic validation</w:t>
      </w:r>
    </w:p>
    <w:p>
      <w:r>
        <w:rPr>
          <w:rFonts w:ascii="Arial" w:cs="Arial" w:eastAsia="Arial" w:hAnsi="Arial"/>
          <w:sz w:val="24"/>
          <w:szCs w:val="24"/>
        </w:rPr>
        <w:t xml:space="preserve">Imaging: fMRI, MEG, optogenetics software for circuit-level validation</w:t>
      </w:r>
    </w:p>
    <w:p>
      <w:r>
        <w:rPr>
          <w:rFonts w:ascii="Arial" w:cs="Arial" w:eastAsia="Arial" w:hAnsi="Arial"/>
          <w:sz w:val="24"/>
          <w:szCs w:val="24"/>
        </w:rPr>
        <w:t xml:space="preserve">Behavioral Automation: DeepLabCut, ANY-maze for objective animal and human behavioral phenotyping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2026-03-03T22:36:57.813Z</dcterms:created>
  <dcterms:modified xsi:type="dcterms:W3CDTF">2026-03-03T22:36:57.813Z</dcterms:modified>
</cp:coreProperties>
</file>

<file path=docProps/custom.xml><?xml version="1.0" encoding="utf-8"?>
<Properties xmlns="http://schemas.openxmlformats.org/officeDocument/2006/custom-properties" xmlns:vt="http://schemas.openxmlformats.org/officeDocument/2006/docPropsVTypes"/>
</file>