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Sapphire Pipeline Workflow</w:t>
      </w:r>
    </w:p>
    <w:p>
      <w:pPr>
        <w:pStyle w:val="Heading2"/>
      </w:pPr>
      <w:r>
        <w:rPr>
          <w:rFonts w:ascii="Arial" w:cs="Arial" w:eastAsia="Arial" w:hAnsi="Arial"/>
          <w:b/>
          <w:bCs/>
          <w:sz w:val="28"/>
          <w:szCs w:val="28"/>
        </w:rPr>
        <w:t xml:space="preserve">Prompt</w:t>
      </w:r>
    </w:p>
    <w:p>
      <w:r>
        <w:rPr>
          <w:rFonts w:ascii="Arial" w:cs="Arial" w:eastAsia="Arial" w:hAnsi="Arial"/>
          <w:sz w:val="24"/>
          <w:szCs w:val="24"/>
        </w:rPr>
        <w:t xml:space="preserve">"Identify combination therapies for schizophrenia targeting E/I imbalance and synaptic plasticity."</w:t>
      </w:r>
    </w:p>
    <w:p>
      <w:r>
        <w:rPr>
          <w:rFonts w:ascii="Arial" w:cs="Arial" w:eastAsia="Arial" w:hAnsi="Arial"/>
          <w:sz w:val="24"/>
          <w:szCs w:val="24"/>
        </w:rPr>
        <w:t xml:space="preserve">This document defines the complete Sapphire pipeline for compound discovery and validation, leveraging Quiver Bioscience's integrated electrophysiology (EP) CRISPR atlas, compound library, and functional validation workflows to systematically advance therapeutic candidates.</w:t>
      </w:r>
    </w:p>
    <w:p>
      <w:pPr>
        <w:pStyle w:val="Heading2"/>
      </w:pPr>
      <w:r>
        <w:rPr>
          <w:rFonts w:ascii="Arial" w:cs="Arial" w:eastAsia="Arial" w:hAnsi="Arial"/>
          <w:b/>
          <w:bCs/>
          <w:sz w:val="28"/>
          <w:szCs w:val="28"/>
        </w:rPr>
        <w:t xml:space="preserve">Pipeline Overview</w:t>
      </w:r>
    </w:p>
    <w:p>
      <w:r>
        <w:rPr>
          <w:rFonts w:ascii="Arial" w:cs="Arial" w:eastAsia="Arial" w:hAnsi="Arial"/>
          <w:sz w:val="24"/>
          <w:szCs w:val="24"/>
        </w:rPr>
        <w:t xml:space="preserve">This pipeline discovers dual-mechanism combination therapies that simultaneously correct the excitatory/inhibitory (E/I) imbalance in schizophrenia and enhance synaptic plasticity mechanisms, leveraging Quiver's EP atlas. Schizophrenia involves complex circuit-level dysfunction characterized by dysregulation of GABAergic interneurons, NMDA receptor hypofunction, and impaired learning-dependent synaptic strengthening. Combination approaches targeting both pathophysiological axes may provide superior efficacy to monotherapy.</w:t>
      </w:r>
    </w:p>
    <w:p>
      <w:r>
        <w:rPr>
          <w:rFonts w:ascii="Arial" w:cs="Arial" w:eastAsia="Arial" w:hAnsi="Arial"/>
          <w:sz w:val="24"/>
          <w:szCs w:val="24"/>
        </w:rPr>
        <w:t xml:space="preserve">The workflow identifies individual compounds that rescue E/I balance and plasticity markers, systematically explores pairwise combinations for synergy, and validates multi-target mechanisms in circuit models. The strategy integrates genetic insights (GRIN2B, ERBB4, ROBO1) with functional EP phenotypes to ensure combinations are mechanistically coherent and clinically translatable.</w:t>
      </w:r>
    </w:p>
    <w:p>
      <w:pPr>
        <w:pStyle w:val="Heading2"/>
      </w:pPr>
      <w:r>
        <w:rPr>
          <w:rFonts w:ascii="Arial" w:cs="Arial" w:eastAsia="Arial" w:hAnsi="Arial"/>
          <w:b/>
          <w:bCs/>
          <w:sz w:val="28"/>
          <w:szCs w:val="28"/>
        </w:rPr>
        <w:t xml:space="preserve">Stage 1: E/I Imbalance Phenotyping &amp; Plasticity Marker Definition</w:t>
      </w:r>
    </w:p>
    <w:p>
      <w:r>
        <w:rPr>
          <w:rFonts w:ascii="Arial" w:cs="Arial" w:eastAsia="Arial" w:hAnsi="Arial"/>
          <w:b/>
          <w:bCs/>
          <w:sz w:val="24"/>
          <w:szCs w:val="24"/>
        </w:rPr>
        <w:t xml:space="preserve">Purpose: </w:t>
      </w:r>
      <w:r>
        <w:rPr>
          <w:rFonts w:ascii="Arial" w:cs="Arial" w:eastAsia="Arial" w:hAnsi="Arial"/>
          <w:sz w:val="24"/>
          <w:szCs w:val="24"/>
        </w:rPr>
        <w:t xml:space="preserve">Characterize schizophrenia-relevant E/I dysregulation and synaptic plasticity deficits in patient-derived neurons or disease models using Quiver's multifeature EP readouts.</w:t>
      </w:r>
    </w:p>
    <w:p>
      <w:r>
        <w:rPr>
          <w:rFonts w:ascii="Arial" w:cs="Arial" w:eastAsia="Arial" w:hAnsi="Arial"/>
          <w:b/>
          <w:bCs/>
          <w:sz w:val="24"/>
          <w:szCs w:val="24"/>
        </w:rPr>
        <w:t xml:space="preserve">Inputs:</w:t>
      </w:r>
    </w:p>
    <w:p>
      <w:r>
        <w:rPr>
          <w:rFonts w:ascii="Arial" w:cs="Arial" w:eastAsia="Arial" w:hAnsi="Arial"/>
          <w:sz w:val="24"/>
          <w:szCs w:val="24"/>
        </w:rPr>
        <w:t xml:space="preserve">Patient-derived iPSC neurons or postmortem tissue from schizophrenia cases, segregated by genotype (GRIN2B, ERBB4, ROBO1, ZEB2)</w:t>
      </w:r>
    </w:p>
    <w:p>
      <w:r>
        <w:rPr>
          <w:rFonts w:ascii="Arial" w:cs="Arial" w:eastAsia="Arial" w:hAnsi="Arial"/>
          <w:sz w:val="24"/>
          <w:szCs w:val="24"/>
        </w:rPr>
        <w:t xml:space="preserve">Healthy control neurons and in vitro models of E/I imbalance (GABA antagonism, NMDAR hypofunction)</w:t>
      </w:r>
    </w:p>
    <w:p>
      <w:r>
        <w:rPr>
          <w:rFonts w:ascii="Arial" w:cs="Arial" w:eastAsia="Arial" w:hAnsi="Arial"/>
          <w:sz w:val="24"/>
          <w:szCs w:val="24"/>
        </w:rPr>
        <w:t xml:space="preserve">Paired whole-cell recordings: simultaneous GABAergic and glutamatergic inputs with conductance estimation</w:t>
      </w:r>
    </w:p>
    <w:p>
      <w:r>
        <w:rPr>
          <w:rFonts w:ascii="Arial" w:cs="Arial" w:eastAsia="Arial" w:hAnsi="Arial"/>
          <w:sz w:val="24"/>
          <w:szCs w:val="24"/>
        </w:rPr>
        <w:t xml:space="preserve">Synaptic plasticity assays: long-term potentiation (LTP), long-term depression (LTD), presynaptic function</w:t>
      </w:r>
    </w:p>
    <w:p>
      <w:r>
        <w:rPr>
          <w:rFonts w:ascii="Arial" w:cs="Arial" w:eastAsia="Arial" w:hAnsi="Arial"/>
          <w:sz w:val="24"/>
          <w:szCs w:val="24"/>
        </w:rPr>
        <w:t xml:space="preserve">Transcriptomic data (RNA-seq): expression of ion channels, neurotransmitter receptors, plasticity-related genes</w:t>
      </w:r>
    </w:p>
    <w:p>
      <w:r>
        <w:rPr>
          <w:rFonts w:ascii="Arial" w:cs="Arial" w:eastAsia="Arial" w:hAnsi="Arial"/>
          <w:b/>
          <w:bCs/>
          <w:sz w:val="24"/>
          <w:szCs w:val="24"/>
        </w:rPr>
        <w:t xml:space="preserve">Tools &amp; Databases Called:</w:t>
      </w:r>
    </w:p>
    <w:p>
      <w:r>
        <w:rPr>
          <w:rFonts w:ascii="Arial" w:cs="Arial" w:eastAsia="Arial" w:hAnsi="Arial"/>
          <w:sz w:val="24"/>
          <w:szCs w:val="24"/>
        </w:rPr>
        <w:t xml:space="preserve">Quiver EP CRISPR Atlas: E/I feature extraction (GABAergic firing, AMPA/NMDA ratios, PV+ dynamics)</w:t>
      </w:r>
    </w:p>
    <w:p>
      <w:r>
        <w:rPr>
          <w:rFonts w:ascii="Arial" w:cs="Arial" w:eastAsia="Arial" w:hAnsi="Arial"/>
          <w:sz w:val="24"/>
          <w:szCs w:val="24"/>
        </w:rPr>
        <w:t xml:space="preserve">Clampfit / pCLAMP: whole-cell recording analysis, event detection, conductance calculations</w:t>
      </w:r>
    </w:p>
    <w:p>
      <w:r>
        <w:rPr>
          <w:rFonts w:ascii="Arial" w:cs="Arial" w:eastAsia="Arial" w:hAnsi="Arial"/>
          <w:sz w:val="24"/>
          <w:szCs w:val="24"/>
        </w:rPr>
        <w:t xml:space="preserve">Scanpy: integration of EP phenotypes with single-cell transcriptomics</w:t>
      </w:r>
    </w:p>
    <w:p>
      <w:r>
        <w:rPr>
          <w:rFonts w:ascii="Arial" w:cs="Arial" w:eastAsia="Arial" w:hAnsi="Arial"/>
          <w:sz w:val="24"/>
          <w:szCs w:val="24"/>
        </w:rPr>
        <w:t xml:space="preserve">UMAP + manifold learning: joint E/I and plasticity phenotype space</w:t>
      </w:r>
    </w:p>
    <w:p>
      <w:r>
        <w:rPr>
          <w:rFonts w:ascii="Arial" w:cs="Arial" w:eastAsia="Arial" w:hAnsi="Arial"/>
          <w:sz w:val="24"/>
          <w:szCs w:val="24"/>
        </w:rPr>
        <w:t xml:space="preserve">Patch-clamp automatization software: high-throughput screening of synaptic parameters</w:t>
      </w:r>
    </w:p>
    <w:p>
      <w:r>
        <w:rPr>
          <w:rFonts w:ascii="Arial" w:cs="Arial" w:eastAsia="Arial" w:hAnsi="Arial"/>
          <w:sz w:val="24"/>
          <w:szCs w:val="24"/>
        </w:rPr>
        <w:t xml:space="preserve">featuretools: automated feature engineering on LTP/LTD kinetics</w:t>
      </w:r>
    </w:p>
    <w:p>
      <w:r>
        <w:rPr>
          <w:rFonts w:ascii="Arial" w:cs="Arial" w:eastAsia="Arial" w:hAnsi="Arial"/>
          <w:b/>
          <w:bCs/>
          <w:sz w:val="24"/>
          <w:szCs w:val="24"/>
        </w:rPr>
        <w:t xml:space="preserve">Exemplary Sub-Prompts:</w:t>
      </w:r>
    </w:p>
    <w:p>
      <w:r>
        <w:rPr>
          <w:rFonts w:ascii="Arial" w:cs="Arial" w:eastAsia="Arial" w:hAnsi="Arial"/>
          <w:sz w:val="24"/>
          <w:szCs w:val="24"/>
        </w:rPr>
        <w:t xml:space="preserve">What E/I ratio thresholds distinguish schizophrenia-affected neurons from healthy controls?</w:t>
      </w:r>
    </w:p>
    <w:p>
      <w:r>
        <w:rPr>
          <w:rFonts w:ascii="Arial" w:cs="Arial" w:eastAsia="Arial" w:hAnsi="Arial"/>
          <w:sz w:val="24"/>
          <w:szCs w:val="24"/>
        </w:rPr>
        <w:t xml:space="preserve">Which specific GABAergic interneuron subtypes (PV+, VIP+, SST+) are most dysregulated?</w:t>
      </w:r>
    </w:p>
    <w:p>
      <w:r>
        <w:rPr>
          <w:rFonts w:ascii="Arial" w:cs="Arial" w:eastAsia="Arial" w:hAnsi="Arial"/>
          <w:sz w:val="24"/>
          <w:szCs w:val="24"/>
        </w:rPr>
        <w:t xml:space="preserve">Are LTP/LTD mechanisms impaired, and do they correlate with E/I imbalance?</w:t>
      </w:r>
    </w:p>
    <w:p>
      <w:r>
        <w:rPr>
          <w:rFonts w:ascii="Arial" w:cs="Arial" w:eastAsia="Arial" w:hAnsi="Arial"/>
          <w:sz w:val="24"/>
          <w:szCs w:val="24"/>
        </w:rPr>
        <w:t xml:space="preserve">Which plasticity markers (AMPA receptor insertion, presynaptic release probability) predict treatment response?</w:t>
      </w:r>
    </w:p>
    <w:p>
      <w:r>
        <w:rPr>
          <w:rFonts w:ascii="Arial" w:cs="Arial" w:eastAsia="Arial" w:hAnsi="Arial"/>
          <w:sz w:val="24"/>
          <w:szCs w:val="24"/>
        </w:rPr>
        <w:t xml:space="preserve">Do genetic variants (GRIN2B, ERBB4) create distinct E/I and plasticity phenotype clusters?</w:t>
      </w:r>
    </w:p>
    <w:p>
      <w:r>
        <w:rPr>
          <w:rFonts w:ascii="Arial" w:cs="Arial" w:eastAsia="Arial" w:hAnsi="Arial"/>
          <w:b/>
          <w:bCs/>
          <w:sz w:val="24"/>
          <w:szCs w:val="24"/>
        </w:rPr>
        <w:t xml:space="preserve">Expected Outputs:</w:t>
      </w:r>
    </w:p>
    <w:p>
      <w:r>
        <w:rPr>
          <w:rFonts w:ascii="Arial" w:cs="Arial" w:eastAsia="Arial" w:hAnsi="Arial"/>
          <w:sz w:val="24"/>
          <w:szCs w:val="24"/>
        </w:rPr>
        <w:t xml:space="preserve">E/I dysregulation signature: quantified as ratio vectors and conductance parameters</w:t>
      </w:r>
    </w:p>
    <w:p>
      <w:r>
        <w:rPr>
          <w:rFonts w:ascii="Arial" w:cs="Arial" w:eastAsia="Arial" w:hAnsi="Arial"/>
          <w:sz w:val="24"/>
          <w:szCs w:val="24"/>
        </w:rPr>
        <w:t xml:space="preserve">Plasticity deficit signature: LTP/LTD magnitude, kinetics, threshold for induction</w:t>
      </w:r>
    </w:p>
    <w:p>
      <w:r>
        <w:rPr>
          <w:rFonts w:ascii="Arial" w:cs="Arial" w:eastAsia="Arial" w:hAnsi="Arial"/>
          <w:sz w:val="24"/>
          <w:szCs w:val="24"/>
        </w:rPr>
        <w:t xml:space="preserve">Cell-type-specific phenotypes: GABAergic interneuron vs. pyramidal cell subtypes</w:t>
      </w:r>
    </w:p>
    <w:p>
      <w:r>
        <w:rPr>
          <w:rFonts w:ascii="Arial" w:cs="Arial" w:eastAsia="Arial" w:hAnsi="Arial"/>
          <w:sz w:val="24"/>
          <w:szCs w:val="24"/>
        </w:rPr>
        <w:t xml:space="preserve">Transcriptomic correlates: enriched gene sets for E/I ratio and plasticity genes</w:t>
      </w:r>
    </w:p>
    <w:p>
      <w:r>
        <w:rPr>
          <w:rFonts w:ascii="Arial" w:cs="Arial" w:eastAsia="Arial" w:hAnsi="Arial"/>
          <w:sz w:val="24"/>
          <w:szCs w:val="24"/>
        </w:rPr>
        <w:t xml:space="preserve">Healthy control reference states for both E/I and plasticity phenotypes</w:t>
      </w:r>
    </w:p>
    <w:p>
      <w:r>
        <w:rPr>
          <w:rFonts w:ascii="Arial" w:cs="Arial" w:eastAsia="Arial" w:hAnsi="Arial"/>
          <w:sz w:val="24"/>
          <w:szCs w:val="24"/>
        </w:rPr>
        <w:t xml:space="preserve">Biomarker panels: minimal feature sets that predict treatment response</w:t>
      </w:r>
    </w:p>
    <w:p>
      <w:r>
        <w:rPr>
          <w:rFonts w:ascii="Arial" w:cs="Arial" w:eastAsia="Arial" w:hAnsi="Arial"/>
          <w:b/>
          <w:bCs/>
          <w:sz w:val="24"/>
          <w:szCs w:val="24"/>
        </w:rPr>
        <w:t xml:space="preserve">Format: </w:t>
      </w:r>
      <w:r>
        <w:rPr>
          <w:rFonts w:ascii="Arial" w:cs="Arial" w:eastAsia="Arial" w:hAnsi="Arial"/>
          <w:sz w:val="24"/>
          <w:szCs w:val="24"/>
        </w:rPr>
        <w:t xml:space="preserve">Detailed scientific outputs suitable for peer review, regulatory submission, or internal stakeholder briefing.</w:t>
      </w:r>
    </w:p>
    <w:p>
      <w:pPr>
        <w:pStyle w:val="Heading2"/>
      </w:pPr>
      <w:r>
        <w:rPr>
          <w:rFonts w:ascii="Arial" w:cs="Arial" w:eastAsia="Arial" w:hAnsi="Arial"/>
          <w:b/>
          <w:bCs/>
          <w:sz w:val="28"/>
          <w:szCs w:val="28"/>
        </w:rPr>
        <w:t xml:space="preserve">Stage 2: Monotherapy Screening: E/I Rescue &amp; Plasticity Compounds</w:t>
      </w:r>
    </w:p>
    <w:p>
      <w:r>
        <w:rPr>
          <w:rFonts w:ascii="Arial" w:cs="Arial" w:eastAsia="Arial" w:hAnsi="Arial"/>
          <w:b/>
          <w:bCs/>
          <w:sz w:val="24"/>
          <w:szCs w:val="24"/>
        </w:rPr>
        <w:t xml:space="preserve">Purpose: </w:t>
      </w:r>
      <w:r>
        <w:rPr>
          <w:rFonts w:ascii="Arial" w:cs="Arial" w:eastAsia="Arial" w:hAnsi="Arial"/>
          <w:sz w:val="24"/>
          <w:szCs w:val="24"/>
        </w:rPr>
        <w:t xml:space="preserve">Screen Quiver's compound atlas to identify individual drugs that rescue either E/I balance or plasticity deficits, ranking by specificity and magnitude of effect.</w:t>
      </w:r>
    </w:p>
    <w:p>
      <w:r>
        <w:rPr>
          <w:rFonts w:ascii="Arial" w:cs="Arial" w:eastAsia="Arial" w:hAnsi="Arial"/>
          <w:b/>
          <w:bCs/>
          <w:sz w:val="24"/>
          <w:szCs w:val="24"/>
        </w:rPr>
        <w:t xml:space="preserve">Inputs:</w:t>
      </w:r>
    </w:p>
    <w:p>
      <w:r>
        <w:rPr>
          <w:rFonts w:ascii="Arial" w:cs="Arial" w:eastAsia="Arial" w:hAnsi="Arial"/>
          <w:sz w:val="24"/>
          <w:szCs w:val="24"/>
        </w:rPr>
        <w:t xml:space="preserve">E/I and plasticity phenotype signatures (from Stage 1)</w:t>
      </w:r>
    </w:p>
    <w:p>
      <w:r>
        <w:rPr>
          <w:rFonts w:ascii="Arial" w:cs="Arial" w:eastAsia="Arial" w:hAnsi="Arial"/>
          <w:sz w:val="24"/>
          <w:szCs w:val="24"/>
        </w:rPr>
        <w:t xml:space="preserve">Quiver compound atlas: ~3,500 compounds with EP readouts in relevant cellular contexts</w:t>
      </w:r>
    </w:p>
    <w:p>
      <w:r>
        <w:rPr>
          <w:rFonts w:ascii="Arial" w:cs="Arial" w:eastAsia="Arial" w:hAnsi="Arial"/>
          <w:sz w:val="24"/>
          <w:szCs w:val="24"/>
        </w:rPr>
        <w:t xml:space="preserve">Reference compounds: GABAergic enhancers (benzodiazepines, GABA-A positive allosteric modulators), NMDAR agonists, plasticity enhancers (BDNF, ampakines)</w:t>
      </w:r>
    </w:p>
    <w:p>
      <w:r>
        <w:rPr>
          <w:rFonts w:ascii="Arial" w:cs="Arial" w:eastAsia="Arial" w:hAnsi="Arial"/>
          <w:sz w:val="24"/>
          <w:szCs w:val="24"/>
        </w:rPr>
        <w:t xml:space="preserve">Selectivity filtering: compounds with known undesirable targets (D2 dopamine receptors for negative symptoms, anticholinergics)</w:t>
      </w:r>
    </w:p>
    <w:p>
      <w:r>
        <w:rPr>
          <w:rFonts w:ascii="Arial" w:cs="Arial" w:eastAsia="Arial" w:hAnsi="Arial"/>
          <w:sz w:val="24"/>
          <w:szCs w:val="24"/>
        </w:rPr>
        <w:t xml:space="preserve">Ranking metrics: rescue effect size, selectivity, off-target liability</w:t>
      </w:r>
    </w:p>
    <w:p>
      <w:r>
        <w:rPr>
          <w:rFonts w:ascii="Arial" w:cs="Arial" w:eastAsia="Arial" w:hAnsi="Arial"/>
          <w:b/>
          <w:bCs/>
          <w:sz w:val="24"/>
          <w:szCs w:val="24"/>
        </w:rPr>
        <w:t xml:space="preserve">Tools &amp; Databases Called:</w:t>
      </w:r>
    </w:p>
    <w:p>
      <w:r>
        <w:rPr>
          <w:rFonts w:ascii="Arial" w:cs="Arial" w:eastAsia="Arial" w:hAnsi="Arial"/>
          <w:sz w:val="24"/>
          <w:szCs w:val="24"/>
        </w:rPr>
        <w:t xml:space="preserve">Sapphire Embedding Engine: map compounds to E/I and plasticity phenotype spaces independently</w:t>
      </w:r>
    </w:p>
    <w:p>
      <w:r>
        <w:rPr>
          <w:rFonts w:ascii="Arial" w:cs="Arial" w:eastAsia="Arial" w:hAnsi="Arial"/>
          <w:sz w:val="24"/>
          <w:szCs w:val="24"/>
        </w:rPr>
        <w:t xml:space="preserve">Faiss: nearest-neighbor search in dual phenotype spaces (E/I, plasticity)</w:t>
      </w:r>
    </w:p>
    <w:p>
      <w:r>
        <w:rPr>
          <w:rFonts w:ascii="Arial" w:cs="Arial" w:eastAsia="Arial" w:hAnsi="Arial"/>
          <w:sz w:val="24"/>
          <w:szCs w:val="24"/>
        </w:rPr>
        <w:t xml:space="preserve">scikit-learn: multi-objective ranking (maximize rescue, minimize off-targets)</w:t>
      </w:r>
    </w:p>
    <w:p>
      <w:r>
        <w:rPr>
          <w:rFonts w:ascii="Arial" w:cs="Arial" w:eastAsia="Arial" w:hAnsi="Arial"/>
          <w:sz w:val="24"/>
          <w:szCs w:val="24"/>
        </w:rPr>
        <w:t xml:space="preserve">SHAP: importance of individual EP features in rescue predictions</w:t>
      </w:r>
    </w:p>
    <w:p>
      <w:r>
        <w:rPr>
          <w:rFonts w:ascii="Arial" w:cs="Arial" w:eastAsia="Arial" w:hAnsi="Arial"/>
          <w:sz w:val="24"/>
          <w:szCs w:val="24"/>
        </w:rPr>
        <w:t xml:space="preserve">Target prediction (SEA, ChEMBL): identify targets of top compounds</w:t>
      </w:r>
    </w:p>
    <w:p>
      <w:r>
        <w:rPr>
          <w:rFonts w:ascii="Arial" w:cs="Arial" w:eastAsia="Arial" w:hAnsi="Arial"/>
          <w:sz w:val="24"/>
          <w:szCs w:val="24"/>
        </w:rPr>
        <w:t xml:space="preserve">Structural clustering (RDKit, Tanimoto): identify chemotypes driving rescue</w:t>
      </w:r>
    </w:p>
    <w:p>
      <w:r>
        <w:rPr>
          <w:rFonts w:ascii="Arial" w:cs="Arial" w:eastAsia="Arial" w:hAnsi="Arial"/>
          <w:b/>
          <w:bCs/>
          <w:sz w:val="24"/>
          <w:szCs w:val="24"/>
        </w:rPr>
        <w:t xml:space="preserve">Exemplary Sub-Prompts:</w:t>
      </w:r>
    </w:p>
    <w:p>
      <w:r>
        <w:rPr>
          <w:rFonts w:ascii="Arial" w:cs="Arial" w:eastAsia="Arial" w:hAnsi="Arial"/>
          <w:sz w:val="24"/>
          <w:szCs w:val="24"/>
        </w:rPr>
        <w:t xml:space="preserve">Which compounds specifically enhance GABAergic tone without global excitatory suppression?</w:t>
      </w:r>
    </w:p>
    <w:p>
      <w:r>
        <w:rPr>
          <w:rFonts w:ascii="Arial" w:cs="Arial" w:eastAsia="Arial" w:hAnsi="Arial"/>
          <w:sz w:val="24"/>
          <w:szCs w:val="24"/>
        </w:rPr>
        <w:t xml:space="preserve">Are there NMDAR-enhancing compounds that avoid ketamine-like psychotomimetic effects?</w:t>
      </w:r>
    </w:p>
    <w:p>
      <w:r>
        <w:rPr>
          <w:rFonts w:ascii="Arial" w:cs="Arial" w:eastAsia="Arial" w:hAnsi="Arial"/>
          <w:sz w:val="24"/>
          <w:szCs w:val="24"/>
        </w:rPr>
        <w:t xml:space="preserve">What plasticity-enhancing drugs (ampakines, BDNF mimetics, kinase inhibitors) are available in the atlas?</w:t>
      </w:r>
    </w:p>
    <w:p>
      <w:r>
        <w:rPr>
          <w:rFonts w:ascii="Arial" w:cs="Arial" w:eastAsia="Arial" w:hAnsi="Arial"/>
          <w:sz w:val="24"/>
          <w:szCs w:val="24"/>
        </w:rPr>
        <w:t xml:space="preserve">Can we identify compounds that dual-rescue both E/I and plasticity phenotypes?</w:t>
      </w:r>
    </w:p>
    <w:p>
      <w:r>
        <w:rPr>
          <w:rFonts w:ascii="Arial" w:cs="Arial" w:eastAsia="Arial" w:hAnsi="Arial"/>
          <w:sz w:val="24"/>
          <w:szCs w:val="24"/>
        </w:rPr>
        <w:t xml:space="preserve">Which chemotypes show the best selectivity for psychiatric targets vs. off-targets (cardiac, hepatic)?</w:t>
      </w:r>
    </w:p>
    <w:p>
      <w:r>
        <w:rPr>
          <w:rFonts w:ascii="Arial" w:cs="Arial" w:eastAsia="Arial" w:hAnsi="Arial"/>
          <w:b/>
          <w:bCs/>
          <w:sz w:val="24"/>
          <w:szCs w:val="24"/>
        </w:rPr>
        <w:t xml:space="preserve">Expected Outputs:</w:t>
      </w:r>
    </w:p>
    <w:p>
      <w:r>
        <w:rPr>
          <w:rFonts w:ascii="Arial" w:cs="Arial" w:eastAsia="Arial" w:hAnsi="Arial"/>
          <w:sz w:val="24"/>
          <w:szCs w:val="24"/>
        </w:rPr>
        <w:t xml:space="preserve">Top 20 E/I rescue compounds (ranked by GABAergic specificity and AMPA/NMDA ratio restoration)</w:t>
      </w:r>
    </w:p>
    <w:p>
      <w:r>
        <w:rPr>
          <w:rFonts w:ascii="Arial" w:cs="Arial" w:eastAsia="Arial" w:hAnsi="Arial"/>
          <w:sz w:val="24"/>
          <w:szCs w:val="24"/>
        </w:rPr>
        <w:t xml:space="preserve">Top 20 plasticity-enhancing compounds (ranked by LTP rescue and synaptic stability)</w:t>
      </w:r>
    </w:p>
    <w:p>
      <w:r>
        <w:rPr>
          <w:rFonts w:ascii="Arial" w:cs="Arial" w:eastAsia="Arial" w:hAnsi="Arial"/>
          <w:sz w:val="24"/>
          <w:szCs w:val="24"/>
        </w:rPr>
        <w:t xml:space="preserve">Dual-hit compounds (if any) that rescue both phenotypes from single molecule</w:t>
      </w:r>
    </w:p>
    <w:p>
      <w:r>
        <w:rPr>
          <w:rFonts w:ascii="Arial" w:cs="Arial" w:eastAsia="Arial" w:hAnsi="Arial"/>
          <w:sz w:val="24"/>
          <w:szCs w:val="24"/>
        </w:rPr>
        <w:t xml:space="preserve">Target deconvolution tables: primary targets and selectivity scores</w:t>
      </w:r>
    </w:p>
    <w:p>
      <w:r>
        <w:rPr>
          <w:rFonts w:ascii="Arial" w:cs="Arial" w:eastAsia="Arial" w:hAnsi="Arial"/>
          <w:sz w:val="24"/>
          <w:szCs w:val="24"/>
        </w:rPr>
        <w:t xml:space="preserve">Safety profiles: cardiac, hepatic, renal liabilities for shortlisted compounds</w:t>
      </w:r>
    </w:p>
    <w:p>
      <w:r>
        <w:rPr>
          <w:rFonts w:ascii="Arial" w:cs="Arial" w:eastAsia="Arial" w:hAnsi="Arial"/>
          <w:sz w:val="24"/>
          <w:szCs w:val="24"/>
        </w:rPr>
        <w:t xml:space="preserve">Selectivity radar plots: E/I specificity, plasticity specificity, off-target burden per compound</w:t>
      </w:r>
    </w:p>
    <w:p>
      <w:r>
        <w:rPr>
          <w:rFonts w:ascii="Arial" w:cs="Arial" w:eastAsia="Arial" w:hAnsi="Arial"/>
          <w:b/>
          <w:bCs/>
          <w:sz w:val="24"/>
          <w:szCs w:val="24"/>
        </w:rPr>
        <w:t xml:space="preserve">Format: </w:t>
      </w:r>
      <w:r>
        <w:rPr>
          <w:rFonts w:ascii="Arial" w:cs="Arial" w:eastAsia="Arial" w:hAnsi="Arial"/>
          <w:sz w:val="24"/>
          <w:szCs w:val="24"/>
        </w:rPr>
        <w:t xml:space="preserve">Detailed scientific outputs suitable for peer review, regulatory submission, or internal stakeholder briefing.</w:t>
      </w:r>
    </w:p>
    <w:p>
      <w:pPr>
        <w:pStyle w:val="Heading2"/>
      </w:pPr>
      <w:r>
        <w:rPr>
          <w:rFonts w:ascii="Arial" w:cs="Arial" w:eastAsia="Arial" w:hAnsi="Arial"/>
          <w:b/>
          <w:bCs/>
          <w:sz w:val="28"/>
          <w:szCs w:val="28"/>
        </w:rPr>
        <w:t xml:space="preserve">Stage 3: Combination Synergy Prediction &amp; Network Analysis</w:t>
      </w:r>
    </w:p>
    <w:p>
      <w:r>
        <w:rPr>
          <w:rFonts w:ascii="Arial" w:cs="Arial" w:eastAsia="Arial" w:hAnsi="Arial"/>
          <w:b/>
          <w:bCs/>
          <w:sz w:val="24"/>
          <w:szCs w:val="24"/>
        </w:rPr>
        <w:t xml:space="preserve">Purpose: </w:t>
      </w:r>
      <w:r>
        <w:rPr>
          <w:rFonts w:ascii="Arial" w:cs="Arial" w:eastAsia="Arial" w:hAnsi="Arial"/>
          <w:sz w:val="24"/>
          <w:szCs w:val="24"/>
        </w:rPr>
        <w:t xml:space="preserve">Systematically explore pairwise and triplet combinations of monotherapy candidates, predicting synergistic effects on E/I balance and plasticity using mechanistic network models.</w:t>
      </w:r>
    </w:p>
    <w:p>
      <w:r>
        <w:rPr>
          <w:rFonts w:ascii="Arial" w:cs="Arial" w:eastAsia="Arial" w:hAnsi="Arial"/>
          <w:b/>
          <w:bCs/>
          <w:sz w:val="24"/>
          <w:szCs w:val="24"/>
        </w:rPr>
        <w:t xml:space="preserve">Inputs:</w:t>
      </w:r>
    </w:p>
    <w:p>
      <w:r>
        <w:rPr>
          <w:rFonts w:ascii="Arial" w:cs="Arial" w:eastAsia="Arial" w:hAnsi="Arial"/>
          <w:sz w:val="24"/>
          <w:szCs w:val="24"/>
        </w:rPr>
        <w:t xml:space="preserve">Top 20 E/I rescue compounds + top 20 plasticity compounds (from Stage 2)</w:t>
      </w:r>
    </w:p>
    <w:p>
      <w:r>
        <w:rPr>
          <w:rFonts w:ascii="Arial" w:cs="Arial" w:eastAsia="Arial" w:hAnsi="Arial"/>
          <w:sz w:val="24"/>
          <w:szCs w:val="24"/>
        </w:rPr>
        <w:t xml:space="preserve">Quiver's compound × compound interaction matrices (if available) or inferred from target networks</w:t>
      </w:r>
    </w:p>
    <w:p>
      <w:r>
        <w:rPr>
          <w:rFonts w:ascii="Arial" w:cs="Arial" w:eastAsia="Arial" w:hAnsi="Arial"/>
          <w:sz w:val="24"/>
          <w:szCs w:val="24"/>
        </w:rPr>
        <w:t xml:space="preserve">Gene-target networks: pathway maps linking targets to E/I genes and plasticity genes</w:t>
      </w:r>
    </w:p>
    <w:p>
      <w:r>
        <w:rPr>
          <w:rFonts w:ascii="Arial" w:cs="Arial" w:eastAsia="Arial" w:hAnsi="Arial"/>
          <w:sz w:val="24"/>
          <w:szCs w:val="24"/>
        </w:rPr>
        <w:t xml:space="preserve">Known synergistic precedents: e.g., D1 agonists + glutamate enhancers, GABAergic + mGluR5 antagonists</w:t>
      </w:r>
    </w:p>
    <w:p>
      <w:r>
        <w:rPr>
          <w:rFonts w:ascii="Arial" w:cs="Arial" w:eastAsia="Arial" w:hAnsi="Arial"/>
          <w:sz w:val="24"/>
          <w:szCs w:val="24"/>
        </w:rPr>
        <w:t xml:space="preserve">Interaction databases: Drug-Drug Interaction (DDI) databases (DrugBank, PharmGKB)</w:t>
      </w:r>
    </w:p>
    <w:p>
      <w:r>
        <w:rPr>
          <w:rFonts w:ascii="Arial" w:cs="Arial" w:eastAsia="Arial" w:hAnsi="Arial"/>
          <w:b/>
          <w:bCs/>
          <w:sz w:val="24"/>
          <w:szCs w:val="24"/>
        </w:rPr>
        <w:t xml:space="preserve">Tools &amp; Databases Called:</w:t>
      </w:r>
    </w:p>
    <w:p>
      <w:r>
        <w:rPr>
          <w:rFonts w:ascii="Arial" w:cs="Arial" w:eastAsia="Arial" w:hAnsi="Arial"/>
          <w:sz w:val="24"/>
          <w:szCs w:val="24"/>
        </w:rPr>
        <w:t xml:space="preserve">Sapphire Combination Module: predict phenotype effects of pairwise compound combinations</w:t>
      </w:r>
    </w:p>
    <w:p>
      <w:r>
        <w:rPr>
          <w:rFonts w:ascii="Arial" w:cs="Arial" w:eastAsia="Arial" w:hAnsi="Arial"/>
          <w:sz w:val="24"/>
          <w:szCs w:val="24"/>
        </w:rPr>
        <w:t xml:space="preserve">STRING / Cytoscape: network visualization of compound targets and E/I/plasticity pathways</w:t>
      </w:r>
    </w:p>
    <w:p>
      <w:r>
        <w:rPr>
          <w:rFonts w:ascii="Arial" w:cs="Arial" w:eastAsia="Arial" w:hAnsi="Arial"/>
          <w:sz w:val="24"/>
          <w:szCs w:val="24"/>
        </w:rPr>
        <w:t xml:space="preserve">Systems pharmacology models: Boolean networks, ODE models of E/I circuits</w:t>
      </w:r>
    </w:p>
    <w:p>
      <w:r>
        <w:rPr>
          <w:rFonts w:ascii="Arial" w:cs="Arial" w:eastAsia="Arial" w:hAnsi="Arial"/>
          <w:sz w:val="24"/>
          <w:szCs w:val="24"/>
        </w:rPr>
        <w:t xml:space="preserve">Synergy scoring algorithms: Bliss independence, Loewe additivity, ZIP (zero interaction potency)</w:t>
      </w:r>
    </w:p>
    <w:p>
      <w:r>
        <w:rPr>
          <w:rFonts w:ascii="Arial" w:cs="Arial" w:eastAsia="Arial" w:hAnsi="Arial"/>
          <w:sz w:val="24"/>
          <w:szCs w:val="24"/>
        </w:rPr>
        <w:t xml:space="preserve">GraphNeural Networks: learn compound interaction effects from target network topology</w:t>
      </w:r>
    </w:p>
    <w:p>
      <w:r>
        <w:rPr>
          <w:rFonts w:ascii="Arial" w:cs="Arial" w:eastAsia="Arial" w:hAnsi="Arial"/>
          <w:sz w:val="24"/>
          <w:szCs w:val="24"/>
        </w:rPr>
        <w:t xml:space="preserve">Plotly: interactive heatmaps of synergy scores across combinations</w:t>
      </w:r>
    </w:p>
    <w:p>
      <w:r>
        <w:rPr>
          <w:rFonts w:ascii="Arial" w:cs="Arial" w:eastAsia="Arial" w:hAnsi="Arial"/>
          <w:b/>
          <w:bCs/>
          <w:sz w:val="24"/>
          <w:szCs w:val="24"/>
        </w:rPr>
        <w:t xml:space="preserve">Exemplary Sub-Prompts:</w:t>
      </w:r>
    </w:p>
    <w:p>
      <w:r>
        <w:rPr>
          <w:rFonts w:ascii="Arial" w:cs="Arial" w:eastAsia="Arial" w:hAnsi="Arial"/>
          <w:sz w:val="24"/>
          <w:szCs w:val="24"/>
        </w:rPr>
        <w:t xml:space="preserve">Which E/I + plasticity compound pairs show predicted positive synergy vs. antagonism?</w:t>
      </w:r>
    </w:p>
    <w:p>
      <w:r>
        <w:rPr>
          <w:rFonts w:ascii="Arial" w:cs="Arial" w:eastAsia="Arial" w:hAnsi="Arial"/>
          <w:sz w:val="24"/>
          <w:szCs w:val="24"/>
        </w:rPr>
        <w:t xml:space="preserve">Do mechanistically complementary pairs (e.g., GABAergic enhancer + NMDAR co-agonist) outperform additive predictions?</w:t>
      </w:r>
    </w:p>
    <w:p>
      <w:r>
        <w:rPr>
          <w:rFonts w:ascii="Arial" w:cs="Arial" w:eastAsia="Arial" w:hAnsi="Arial"/>
          <w:sz w:val="24"/>
          <w:szCs w:val="24"/>
        </w:rPr>
        <w:t xml:space="preserve">Are there hidden synergies driven by shared target networks not obvious from individual mechanisms?</w:t>
      </w:r>
    </w:p>
    <w:p>
      <w:r>
        <w:rPr>
          <w:rFonts w:ascii="Arial" w:cs="Arial" w:eastAsia="Arial" w:hAnsi="Arial"/>
          <w:sz w:val="24"/>
          <w:szCs w:val="24"/>
        </w:rPr>
        <w:t xml:space="preserve">Which combinations minimize pharmacokinetic interactions and safety liabilities?</w:t>
      </w:r>
    </w:p>
    <w:p>
      <w:r>
        <w:rPr>
          <w:rFonts w:ascii="Arial" w:cs="Arial" w:eastAsia="Arial" w:hAnsi="Arial"/>
          <w:sz w:val="24"/>
          <w:szCs w:val="24"/>
        </w:rPr>
        <w:t xml:space="preserve">Can we identify minimal combinations (2–3 drugs) that achieve maximal phenotype rescue?</w:t>
      </w:r>
    </w:p>
    <w:p>
      <w:r>
        <w:rPr>
          <w:rFonts w:ascii="Arial" w:cs="Arial" w:eastAsia="Arial" w:hAnsi="Arial"/>
          <w:b/>
          <w:bCs/>
          <w:sz w:val="24"/>
          <w:szCs w:val="24"/>
        </w:rPr>
        <w:t xml:space="preserve">Expected Outputs:</w:t>
      </w:r>
    </w:p>
    <w:p>
      <w:r>
        <w:rPr>
          <w:rFonts w:ascii="Arial" w:cs="Arial" w:eastAsia="Arial" w:hAnsi="Arial"/>
          <w:sz w:val="24"/>
          <w:szCs w:val="24"/>
        </w:rPr>
        <w:t xml:space="preserve">Synergy matrix: all E/I × plasticity compound pairs scored for synergistic potential</w:t>
      </w:r>
    </w:p>
    <w:p>
      <w:r>
        <w:rPr>
          <w:rFonts w:ascii="Arial" w:cs="Arial" w:eastAsia="Arial" w:hAnsi="Arial"/>
          <w:sz w:val="24"/>
          <w:szCs w:val="24"/>
        </w:rPr>
        <w:t xml:space="preserve">Top 10–15 recommended combinations (ranked by predicted synergy and safety)</w:t>
      </w:r>
    </w:p>
    <w:p>
      <w:r>
        <w:rPr>
          <w:rFonts w:ascii="Arial" w:cs="Arial" w:eastAsia="Arial" w:hAnsi="Arial"/>
          <w:sz w:val="24"/>
          <w:szCs w:val="24"/>
        </w:rPr>
        <w:t xml:space="preserve">Pathway diagrams: how each combination targets E/I and plasticity nodes</w:t>
      </w:r>
    </w:p>
    <w:p>
      <w:r>
        <w:rPr>
          <w:rFonts w:ascii="Arial" w:cs="Arial" w:eastAsia="Arial" w:hAnsi="Arial"/>
          <w:sz w:val="24"/>
          <w:szCs w:val="24"/>
        </w:rPr>
        <w:t xml:space="preserve">Interaction profile tables: DDI risk, CYP450 interactions, dosing adjustments</w:t>
      </w:r>
    </w:p>
    <w:p>
      <w:r>
        <w:rPr>
          <w:rFonts w:ascii="Arial" w:cs="Arial" w:eastAsia="Arial" w:hAnsi="Arial"/>
          <w:sz w:val="24"/>
          <w:szCs w:val="24"/>
        </w:rPr>
        <w:t xml:space="preserve">Selectivity-adjusted synergy: synergy score after accounting for off-target liabilities</w:t>
      </w:r>
    </w:p>
    <w:p>
      <w:r>
        <w:rPr>
          <w:rFonts w:ascii="Arial" w:cs="Arial" w:eastAsia="Arial" w:hAnsi="Arial"/>
          <w:sz w:val="24"/>
          <w:szCs w:val="24"/>
        </w:rPr>
        <w:t xml:space="preserve">Mechanistic rationale document: why each recommended combination is synergistic</w:t>
      </w:r>
    </w:p>
    <w:p>
      <w:r>
        <w:rPr>
          <w:rFonts w:ascii="Arial" w:cs="Arial" w:eastAsia="Arial" w:hAnsi="Arial"/>
          <w:b/>
          <w:bCs/>
          <w:sz w:val="24"/>
          <w:szCs w:val="24"/>
        </w:rPr>
        <w:t xml:space="preserve">Format: </w:t>
      </w:r>
      <w:r>
        <w:rPr>
          <w:rFonts w:ascii="Arial" w:cs="Arial" w:eastAsia="Arial" w:hAnsi="Arial"/>
          <w:sz w:val="24"/>
          <w:szCs w:val="24"/>
        </w:rPr>
        <w:t xml:space="preserve">Detailed scientific outputs suitable for peer review, regulatory submission, or internal stakeholder briefing.</w:t>
      </w:r>
    </w:p>
    <w:p>
      <w:pPr>
        <w:pStyle w:val="Heading2"/>
      </w:pPr>
      <w:r>
        <w:rPr>
          <w:rFonts w:ascii="Arial" w:cs="Arial" w:eastAsia="Arial" w:hAnsi="Arial"/>
          <w:b/>
          <w:bCs/>
          <w:sz w:val="28"/>
          <w:szCs w:val="28"/>
        </w:rPr>
        <w:t xml:space="preserve">Stage 4: In Vitro Combination Validation in Patient-Derived Circuits</w:t>
      </w:r>
    </w:p>
    <w:p>
      <w:r>
        <w:rPr>
          <w:rFonts w:ascii="Arial" w:cs="Arial" w:eastAsia="Arial" w:hAnsi="Arial"/>
          <w:b/>
          <w:bCs/>
          <w:sz w:val="24"/>
          <w:szCs w:val="24"/>
        </w:rPr>
        <w:t xml:space="preserve">Purpose: </w:t>
      </w:r>
      <w:r>
        <w:rPr>
          <w:rFonts w:ascii="Arial" w:cs="Arial" w:eastAsia="Arial" w:hAnsi="Arial"/>
          <w:sz w:val="24"/>
          <w:szCs w:val="24"/>
        </w:rPr>
        <w:t xml:space="preserve">Experimentally test top 5–10 predicted combinations in schizophrenia patient-derived neurons and circuit assembloids, measuring E/I rescue and plasticity restoration quantitatively.</w:t>
      </w:r>
    </w:p>
    <w:p>
      <w:r>
        <w:rPr>
          <w:rFonts w:ascii="Arial" w:cs="Arial" w:eastAsia="Arial" w:hAnsi="Arial"/>
          <w:b/>
          <w:bCs/>
          <w:sz w:val="24"/>
          <w:szCs w:val="24"/>
        </w:rPr>
        <w:t xml:space="preserve">Inputs:</w:t>
      </w:r>
    </w:p>
    <w:p>
      <w:r>
        <w:rPr>
          <w:rFonts w:ascii="Arial" w:cs="Arial" w:eastAsia="Arial" w:hAnsi="Arial"/>
          <w:sz w:val="24"/>
          <w:szCs w:val="24"/>
        </w:rPr>
        <w:t xml:space="preserve">Top 5–10 combinations from Stage 3</w:t>
      </w:r>
    </w:p>
    <w:p>
      <w:r>
        <w:rPr>
          <w:rFonts w:ascii="Arial" w:cs="Arial" w:eastAsia="Arial" w:hAnsi="Arial"/>
          <w:sz w:val="24"/>
          <w:szCs w:val="24"/>
        </w:rPr>
        <w:t xml:space="preserve">Patient-derived iPSC neurons (5+ schizophrenia cases) and healthy controls</w:t>
      </w:r>
    </w:p>
    <w:p>
      <w:r>
        <w:rPr>
          <w:rFonts w:ascii="Arial" w:cs="Arial" w:eastAsia="Arial" w:hAnsi="Arial"/>
          <w:sz w:val="24"/>
          <w:szCs w:val="24"/>
        </w:rPr>
        <w:t xml:space="preserve">Multi-electrode array (MEA) or patch-clamp setups capable of simultaneous E and I recordings</w:t>
      </w:r>
    </w:p>
    <w:p>
      <w:r>
        <w:rPr>
          <w:rFonts w:ascii="Arial" w:cs="Arial" w:eastAsia="Arial" w:hAnsi="Arial"/>
          <w:sz w:val="24"/>
          <w:szCs w:val="24"/>
        </w:rPr>
        <w:t xml:space="preserve">Synaptic plasticity assays: LTP induction protocols, AMPA trafficking assays, presynaptic imaging</w:t>
      </w:r>
    </w:p>
    <w:p>
      <w:r>
        <w:rPr>
          <w:rFonts w:ascii="Arial" w:cs="Arial" w:eastAsia="Arial" w:hAnsi="Arial"/>
          <w:sz w:val="24"/>
          <w:szCs w:val="24"/>
        </w:rPr>
        <w:t xml:space="preserve">Organoid or mini-circuit preparations: mixed glutamatergic and GABAergic cultures</w:t>
      </w:r>
    </w:p>
    <w:p>
      <w:r>
        <w:rPr>
          <w:rFonts w:ascii="Arial" w:cs="Arial" w:eastAsia="Arial" w:hAnsi="Arial"/>
          <w:b/>
          <w:bCs/>
          <w:sz w:val="24"/>
          <w:szCs w:val="24"/>
        </w:rPr>
        <w:t xml:space="preserve">Tools &amp; Databases Called:</w:t>
      </w:r>
    </w:p>
    <w:p>
      <w:r>
        <w:rPr>
          <w:rFonts w:ascii="Arial" w:cs="Arial" w:eastAsia="Arial" w:hAnsi="Arial"/>
          <w:sz w:val="24"/>
          <w:szCs w:val="24"/>
        </w:rPr>
        <w:t xml:space="preserve">Multi-electrode array (MEA) software: Axion BioSystems, Multichannel Systems</w:t>
      </w:r>
    </w:p>
    <w:p>
      <w:r>
        <w:rPr>
          <w:rFonts w:ascii="Arial" w:cs="Arial" w:eastAsia="Arial" w:hAnsi="Arial"/>
          <w:sz w:val="24"/>
          <w:szCs w:val="24"/>
        </w:rPr>
        <w:t xml:space="preserve">OpenEphys: electrophysiology data management and spike sorting</w:t>
      </w:r>
    </w:p>
    <w:p>
      <w:r>
        <w:rPr>
          <w:rFonts w:ascii="Arial" w:cs="Arial" w:eastAsia="Arial" w:hAnsi="Arial"/>
          <w:sz w:val="24"/>
          <w:szCs w:val="24"/>
        </w:rPr>
        <w:t xml:space="preserve">Immunocytochemistry / imaging: synaptic markers (PSD-95, synaptophysin), interneuron markers (PV, VIP, SST)</w:t>
      </w:r>
    </w:p>
    <w:p>
      <w:r>
        <w:rPr>
          <w:rFonts w:ascii="Arial" w:cs="Arial" w:eastAsia="Arial" w:hAnsi="Arial"/>
          <w:sz w:val="24"/>
          <w:szCs w:val="24"/>
        </w:rPr>
        <w:t xml:space="preserve">Fluorescent imaging: AMPA insertion assays (pHluorin-GluA1), calcium imaging for circuit dynamics</w:t>
      </w:r>
    </w:p>
    <w:p>
      <w:r>
        <w:rPr>
          <w:rFonts w:ascii="Arial" w:cs="Arial" w:eastAsia="Arial" w:hAnsi="Arial"/>
          <w:sz w:val="24"/>
          <w:szCs w:val="24"/>
        </w:rPr>
        <w:t xml:space="preserve">MATLAB / Python: E/I ratio calculations, plasticity metrics, dose-response fitting</w:t>
      </w:r>
    </w:p>
    <w:p>
      <w:r>
        <w:rPr>
          <w:rFonts w:ascii="Arial" w:cs="Arial" w:eastAsia="Arial" w:hAnsi="Arial"/>
          <w:sz w:val="24"/>
          <w:szCs w:val="24"/>
        </w:rPr>
        <w:t xml:space="preserve">Statistical analysis: two-way ANOVA (combination effect), dose curves, interaction terms</w:t>
      </w:r>
    </w:p>
    <w:p>
      <w:r>
        <w:rPr>
          <w:rFonts w:ascii="Arial" w:cs="Arial" w:eastAsia="Arial" w:hAnsi="Arial"/>
          <w:b/>
          <w:bCs/>
          <w:sz w:val="24"/>
          <w:szCs w:val="24"/>
        </w:rPr>
        <w:t xml:space="preserve">Exemplary Sub-Prompts:</w:t>
      </w:r>
    </w:p>
    <w:p>
      <w:r>
        <w:rPr>
          <w:rFonts w:ascii="Arial" w:cs="Arial" w:eastAsia="Arial" w:hAnsi="Arial"/>
          <w:sz w:val="24"/>
          <w:szCs w:val="24"/>
        </w:rPr>
        <w:t xml:space="preserve">Do predicted synergistic combinations achieve greater E/I ratio restoration than monotherapies?</w:t>
      </w:r>
    </w:p>
    <w:p>
      <w:r>
        <w:rPr>
          <w:rFonts w:ascii="Arial" w:cs="Arial" w:eastAsia="Arial" w:hAnsi="Arial"/>
          <w:sz w:val="24"/>
          <w:szCs w:val="24"/>
        </w:rPr>
        <w:t xml:space="preserve">Is there a dose-dependent relationship for each combination, and are there optimal ratios?</w:t>
      </w:r>
    </w:p>
    <w:p>
      <w:r>
        <w:rPr>
          <w:rFonts w:ascii="Arial" w:cs="Arial" w:eastAsia="Arial" w:hAnsi="Arial"/>
          <w:sz w:val="24"/>
          <w:szCs w:val="24"/>
        </w:rPr>
        <w:t xml:space="preserve">Do combinations restore LTP magnitude and kinetics to healthy control levels?</w:t>
      </w:r>
    </w:p>
    <w:p>
      <w:r>
        <w:rPr>
          <w:rFonts w:ascii="Arial" w:cs="Arial" w:eastAsia="Arial" w:hAnsi="Arial"/>
          <w:sz w:val="24"/>
          <w:szCs w:val="24"/>
        </w:rPr>
        <w:t xml:space="preserve">Are there patient-specific responses or genetic background (GRIN2B, ERBB4) effects?</w:t>
      </w:r>
    </w:p>
    <w:p>
      <w:r>
        <w:rPr>
          <w:rFonts w:ascii="Arial" w:cs="Arial" w:eastAsia="Arial" w:hAnsi="Arial"/>
          <w:sz w:val="24"/>
          <w:szCs w:val="24"/>
        </w:rPr>
        <w:t xml:space="preserve">What is the temporal kinetics of E/I and plasticity rescue (acute vs. sustained)?</w:t>
      </w:r>
    </w:p>
    <w:p>
      <w:r>
        <w:rPr>
          <w:rFonts w:ascii="Arial" w:cs="Arial" w:eastAsia="Arial" w:hAnsi="Arial"/>
          <w:b/>
          <w:bCs/>
          <w:sz w:val="24"/>
          <w:szCs w:val="24"/>
        </w:rPr>
        <w:t xml:space="preserve">Expected Outputs:</w:t>
      </w:r>
    </w:p>
    <w:p>
      <w:r>
        <w:rPr>
          <w:rFonts w:ascii="Arial" w:cs="Arial" w:eastAsia="Arial" w:hAnsi="Arial"/>
          <w:sz w:val="24"/>
          <w:szCs w:val="24"/>
        </w:rPr>
        <w:t xml:space="preserve">E/I ratio quantification: baseline, monotherapy, combination; GABA conductance, AMPA/NMDA ratios</w:t>
      </w:r>
    </w:p>
    <w:p>
      <w:r>
        <w:rPr>
          <w:rFonts w:ascii="Arial" w:cs="Arial" w:eastAsia="Arial" w:hAnsi="Arial"/>
          <w:sz w:val="24"/>
          <w:szCs w:val="24"/>
        </w:rPr>
        <w:t xml:space="preserve">Plasticity metrics: LTP slope, magnitude at peak, saturation level; presynaptic release probability</w:t>
      </w:r>
    </w:p>
    <w:p>
      <w:r>
        <w:rPr>
          <w:rFonts w:ascii="Arial" w:cs="Arial" w:eastAsia="Arial" w:hAnsi="Arial"/>
          <w:sz w:val="24"/>
          <w:szCs w:val="24"/>
        </w:rPr>
        <w:t xml:space="preserve">Dose-response curves for each combination (concentration range studied)</w:t>
      </w:r>
    </w:p>
    <w:p>
      <w:r>
        <w:rPr>
          <w:rFonts w:ascii="Arial" w:cs="Arial" w:eastAsia="Arial" w:hAnsi="Arial"/>
          <w:sz w:val="24"/>
          <w:szCs w:val="24"/>
        </w:rPr>
        <w:t xml:space="preserve">Patient heterogeneity analysis: responders vs. non-responders, genetic stratification</w:t>
      </w:r>
    </w:p>
    <w:p>
      <w:r>
        <w:rPr>
          <w:rFonts w:ascii="Arial" w:cs="Arial" w:eastAsia="Arial" w:hAnsi="Arial"/>
          <w:sz w:val="24"/>
          <w:szCs w:val="24"/>
        </w:rPr>
        <w:t xml:space="preserve">Safety metrics: cell viability, toxicity markers, excitotoxicity detection</w:t>
      </w:r>
    </w:p>
    <w:p>
      <w:r>
        <w:rPr>
          <w:rFonts w:ascii="Arial" w:cs="Arial" w:eastAsia="Arial" w:hAnsi="Arial"/>
          <w:sz w:val="24"/>
          <w:szCs w:val="24"/>
        </w:rPr>
        <w:t xml:space="preserve">Top 2–3 lead combinations advancing to circuit-level validation</w:t>
      </w:r>
    </w:p>
    <w:p>
      <w:r>
        <w:rPr>
          <w:rFonts w:ascii="Arial" w:cs="Arial" w:eastAsia="Arial" w:hAnsi="Arial"/>
          <w:b/>
          <w:bCs/>
          <w:sz w:val="24"/>
          <w:szCs w:val="24"/>
        </w:rPr>
        <w:t xml:space="preserve">Format: </w:t>
      </w:r>
      <w:r>
        <w:rPr>
          <w:rFonts w:ascii="Arial" w:cs="Arial" w:eastAsia="Arial" w:hAnsi="Arial"/>
          <w:sz w:val="24"/>
          <w:szCs w:val="24"/>
        </w:rPr>
        <w:t xml:space="preserve">Detailed scientific outputs suitable for peer review, regulatory submission, or internal stakeholder briefing.</w:t>
      </w:r>
    </w:p>
    <w:p>
      <w:pPr>
        <w:pStyle w:val="Heading2"/>
      </w:pPr>
      <w:r>
        <w:rPr>
          <w:rFonts w:ascii="Arial" w:cs="Arial" w:eastAsia="Arial" w:hAnsi="Arial"/>
          <w:b/>
          <w:bCs/>
          <w:sz w:val="28"/>
          <w:szCs w:val="28"/>
        </w:rPr>
        <w:t xml:space="preserve">Stage 5: Awake Behaving Animal Validation &amp; Cognitive Circuit Profiling</w:t>
      </w:r>
    </w:p>
    <w:p>
      <w:r>
        <w:rPr>
          <w:rFonts w:ascii="Arial" w:cs="Arial" w:eastAsia="Arial" w:hAnsi="Arial"/>
          <w:b/>
          <w:bCs/>
          <w:sz w:val="24"/>
          <w:szCs w:val="24"/>
        </w:rPr>
        <w:t xml:space="preserve">Purpose: </w:t>
      </w:r>
      <w:r>
        <w:rPr>
          <w:rFonts w:ascii="Arial" w:cs="Arial" w:eastAsia="Arial" w:hAnsi="Arial"/>
          <w:sz w:val="24"/>
          <w:szCs w:val="24"/>
        </w:rPr>
        <w:t xml:space="preserve">Test lead combinations in rodent schizophrenia models to confirm E/I restoration in vivo, measuring behavioral rescue (social cognition, working memory, sensorimotor gating) and circuit-level electrophysiology.</w:t>
      </w:r>
    </w:p>
    <w:p>
      <w:r>
        <w:rPr>
          <w:rFonts w:ascii="Arial" w:cs="Arial" w:eastAsia="Arial" w:hAnsi="Arial"/>
          <w:b/>
          <w:bCs/>
          <w:sz w:val="24"/>
          <w:szCs w:val="24"/>
        </w:rPr>
        <w:t xml:space="preserve">Inputs:</w:t>
      </w:r>
    </w:p>
    <w:p>
      <w:r>
        <w:rPr>
          <w:rFonts w:ascii="Arial" w:cs="Arial" w:eastAsia="Arial" w:hAnsi="Arial"/>
          <w:sz w:val="24"/>
          <w:szCs w:val="24"/>
        </w:rPr>
        <w:t xml:space="preserve">Lead combinations (2–3) from Stage 4</w:t>
      </w:r>
    </w:p>
    <w:p>
      <w:r>
        <w:rPr>
          <w:rFonts w:ascii="Arial" w:cs="Arial" w:eastAsia="Arial" w:hAnsi="Arial"/>
          <w:sz w:val="24"/>
          <w:szCs w:val="24"/>
        </w:rPr>
        <w:t xml:space="preserve">Schizophrenia-relevant animal models: phencyclidine (PCP) model, maternal immune activation (MIA), genetic models (Disc1, NRG1)</w:t>
      </w:r>
    </w:p>
    <w:p>
      <w:r>
        <w:rPr>
          <w:rFonts w:ascii="Arial" w:cs="Arial" w:eastAsia="Arial" w:hAnsi="Arial"/>
          <w:sz w:val="24"/>
          <w:szCs w:val="24"/>
        </w:rPr>
        <w:t xml:space="preserve">In vivo electrophysiology rigs: tetrodes or high-channel-count probes in prefrontal cortex, hippocampus, ventral tegmental area</w:t>
      </w:r>
    </w:p>
    <w:p>
      <w:r>
        <w:rPr>
          <w:rFonts w:ascii="Arial" w:cs="Arial" w:eastAsia="Arial" w:hAnsi="Arial"/>
          <w:sz w:val="24"/>
          <w:szCs w:val="24"/>
        </w:rPr>
        <w:t xml:space="preserve">Behavioral assays: prepulse inhibition (PPI), social interaction, spontaneous alternation (working memory), object recognition</w:t>
      </w:r>
    </w:p>
    <w:p>
      <w:r>
        <w:rPr>
          <w:rFonts w:ascii="Arial" w:cs="Arial" w:eastAsia="Arial" w:hAnsi="Arial"/>
          <w:sz w:val="24"/>
          <w:szCs w:val="24"/>
        </w:rPr>
        <w:t xml:space="preserve">Optogenetic tools: targeting specific interneuron subtypes (PV+, VIP+, SST+) for circuit manipulation</w:t>
      </w:r>
    </w:p>
    <w:p>
      <w:r>
        <w:rPr>
          <w:rFonts w:ascii="Arial" w:cs="Arial" w:eastAsia="Arial" w:hAnsi="Arial"/>
          <w:b/>
          <w:bCs/>
          <w:sz w:val="24"/>
          <w:szCs w:val="24"/>
        </w:rPr>
        <w:t xml:space="preserve">Tools &amp; Databases Called:</w:t>
      </w:r>
    </w:p>
    <w:p>
      <w:r>
        <w:rPr>
          <w:rFonts w:ascii="Arial" w:cs="Arial" w:eastAsia="Arial" w:hAnsi="Arial"/>
          <w:sz w:val="24"/>
          <w:szCs w:val="24"/>
        </w:rPr>
        <w:t xml:space="preserve">OpenEphys: multi-electrode recording and real-time spike detection</w:t>
      </w:r>
    </w:p>
    <w:p>
      <w:r>
        <w:rPr>
          <w:rFonts w:ascii="Arial" w:cs="Arial" w:eastAsia="Arial" w:hAnsi="Arial"/>
          <w:sz w:val="24"/>
          <w:szCs w:val="24"/>
        </w:rPr>
        <w:t xml:space="preserve">Phy / Spike sorting GUI: manual curation of unit quality</w:t>
      </w:r>
    </w:p>
    <w:p>
      <w:r>
        <w:rPr>
          <w:rFonts w:ascii="Arial" w:cs="Arial" w:eastAsia="Arial" w:hAnsi="Arial"/>
          <w:sz w:val="24"/>
          <w:szCs w:val="24"/>
        </w:rPr>
        <w:t xml:space="preserve">DeepLabCut: automated tracking of social interaction, approach/avoidance</w:t>
      </w:r>
    </w:p>
    <w:p>
      <w:r>
        <w:rPr>
          <w:rFonts w:ascii="Arial" w:cs="Arial" w:eastAsia="Arial" w:hAnsi="Arial"/>
          <w:sz w:val="24"/>
          <w:szCs w:val="24"/>
        </w:rPr>
        <w:t xml:space="preserve">LFP analysis: power spectral density, gamma band activity, phase-amplitude coupling</w:t>
      </w:r>
    </w:p>
    <w:p>
      <w:r>
        <w:rPr>
          <w:rFonts w:ascii="Arial" w:cs="Arial" w:eastAsia="Arial" w:hAnsi="Arial"/>
          <w:sz w:val="24"/>
          <w:szCs w:val="24"/>
        </w:rPr>
        <w:t xml:space="preserve">Optogenetics control software: ThorLabs, custom MATLAB controllers for closed-loop stimulation</w:t>
      </w:r>
    </w:p>
    <w:p>
      <w:r>
        <w:rPr>
          <w:rFonts w:ascii="Arial" w:cs="Arial" w:eastAsia="Arial" w:hAnsi="Arial"/>
          <w:sz w:val="24"/>
          <w:szCs w:val="24"/>
        </w:rPr>
        <w:t xml:space="preserve">Statistics: mixed-effects models with random effects for within-animal designs</w:t>
      </w:r>
    </w:p>
    <w:p>
      <w:r>
        <w:rPr>
          <w:rFonts w:ascii="Arial" w:cs="Arial" w:eastAsia="Arial" w:hAnsi="Arial"/>
          <w:b/>
          <w:bCs/>
          <w:sz w:val="24"/>
          <w:szCs w:val="24"/>
        </w:rPr>
        <w:t xml:space="preserve">Exemplary Sub-Prompts:</w:t>
      </w:r>
    </w:p>
    <w:p>
      <w:r>
        <w:rPr>
          <w:rFonts w:ascii="Arial" w:cs="Arial" w:eastAsia="Arial" w:hAnsi="Arial"/>
          <w:sz w:val="24"/>
          <w:szCs w:val="24"/>
        </w:rPr>
        <w:t xml:space="preserve">Do lead combinations reduce PCP-induced hyperlocomotion and social withdrawal?</w:t>
      </w:r>
    </w:p>
    <w:p>
      <w:r>
        <w:rPr>
          <w:rFonts w:ascii="Arial" w:cs="Arial" w:eastAsia="Arial" w:hAnsi="Arial"/>
          <w:sz w:val="24"/>
          <w:szCs w:val="24"/>
        </w:rPr>
        <w:t xml:space="preserve">Do they restore PPI (intact sensorimotor gating) compared to untreated disease models?</w:t>
      </w:r>
    </w:p>
    <w:p>
      <w:r>
        <w:rPr>
          <w:rFonts w:ascii="Arial" w:cs="Arial" w:eastAsia="Arial" w:hAnsi="Arial"/>
          <w:sz w:val="24"/>
          <w:szCs w:val="24"/>
        </w:rPr>
        <w:t xml:space="preserve">Is there restoration of working memory (spontaneous alternation, radial maze) and object recognition?</w:t>
      </w:r>
    </w:p>
    <w:p>
      <w:r>
        <w:rPr>
          <w:rFonts w:ascii="Arial" w:cs="Arial" w:eastAsia="Arial" w:hAnsi="Arial"/>
          <w:sz w:val="24"/>
          <w:szCs w:val="24"/>
        </w:rPr>
        <w:t xml:space="preserve">What are the effects on cortical gamma band oscillations and E/I-related circuit signatures?</w:t>
      </w:r>
    </w:p>
    <w:p>
      <w:r>
        <w:rPr>
          <w:rFonts w:ascii="Arial" w:cs="Arial" w:eastAsia="Arial" w:hAnsi="Arial"/>
          <w:sz w:val="24"/>
          <w:szCs w:val="24"/>
        </w:rPr>
        <w:t xml:space="preserve">Can optogenetic circuit perturbations reveal which cell types drive the behavioral rescue?</w:t>
      </w:r>
    </w:p>
    <w:p>
      <w:r>
        <w:rPr>
          <w:rFonts w:ascii="Arial" w:cs="Arial" w:eastAsia="Arial" w:hAnsi="Arial"/>
          <w:b/>
          <w:bCs/>
          <w:sz w:val="24"/>
          <w:szCs w:val="24"/>
        </w:rPr>
        <w:t xml:space="preserve">Expected Outputs:</w:t>
      </w:r>
    </w:p>
    <w:p>
      <w:r>
        <w:rPr>
          <w:rFonts w:ascii="Arial" w:cs="Arial" w:eastAsia="Arial" w:hAnsi="Arial"/>
          <w:sz w:val="24"/>
          <w:szCs w:val="24"/>
        </w:rPr>
        <w:t xml:space="preserve">Behavioral rescue summary: effect sizes (Cohen's d) for PPI, social interaction, memory tasks</w:t>
      </w:r>
    </w:p>
    <w:p>
      <w:r>
        <w:rPr>
          <w:rFonts w:ascii="Arial" w:cs="Arial" w:eastAsia="Arial" w:hAnsi="Arial"/>
          <w:sz w:val="24"/>
          <w:szCs w:val="24"/>
        </w:rPr>
        <w:t xml:space="preserve">In vivo E/I signatures: spectral analysis, PV+ interneuron firing rates, pyramidal bursting patterns</w:t>
      </w:r>
    </w:p>
    <w:p>
      <w:r>
        <w:rPr>
          <w:rFonts w:ascii="Arial" w:cs="Arial" w:eastAsia="Arial" w:hAnsi="Arial"/>
          <w:sz w:val="24"/>
          <w:szCs w:val="24"/>
        </w:rPr>
        <w:t xml:space="preserve">Gamma band dynamics: power, phase-amplitude coupling changes across brain regions</w:t>
      </w:r>
    </w:p>
    <w:p>
      <w:r>
        <w:rPr>
          <w:rFonts w:ascii="Arial" w:cs="Arial" w:eastAsia="Arial" w:hAnsi="Arial"/>
          <w:sz w:val="24"/>
          <w:szCs w:val="24"/>
        </w:rPr>
        <w:t xml:space="preserve">Dose-response behavioral curves for lead combinations</w:t>
      </w:r>
    </w:p>
    <w:p>
      <w:r>
        <w:rPr>
          <w:rFonts w:ascii="Arial" w:cs="Arial" w:eastAsia="Arial" w:hAnsi="Arial"/>
          <w:sz w:val="24"/>
          <w:szCs w:val="24"/>
        </w:rPr>
        <w:t xml:space="preserve">Cognitive circuit mapping: prefrontal, hippocampal, limbic contribution to combination effects</w:t>
      </w:r>
    </w:p>
    <w:p>
      <w:r>
        <w:rPr>
          <w:rFonts w:ascii="Arial" w:cs="Arial" w:eastAsia="Arial" w:hAnsi="Arial"/>
          <w:sz w:val="24"/>
          <w:szCs w:val="24"/>
        </w:rPr>
        <w:t xml:space="preserve">Adverse effect monitoring: motor side effects, seizure threshold, off-target toxicity</w:t>
      </w:r>
    </w:p>
    <w:p>
      <w:r>
        <w:rPr>
          <w:rFonts w:ascii="Arial" w:cs="Arial" w:eastAsia="Arial" w:hAnsi="Arial"/>
          <w:b/>
          <w:bCs/>
          <w:sz w:val="24"/>
          <w:szCs w:val="24"/>
        </w:rPr>
        <w:t xml:space="preserve">Format: </w:t>
      </w:r>
      <w:r>
        <w:rPr>
          <w:rFonts w:ascii="Arial" w:cs="Arial" w:eastAsia="Arial" w:hAnsi="Arial"/>
          <w:sz w:val="24"/>
          <w:szCs w:val="24"/>
        </w:rPr>
        <w:t xml:space="preserve">Detailed scientific outputs suitable for peer review, regulatory submission, or internal stakeholder briefing.</w:t>
      </w:r>
    </w:p>
    <w:p>
      <w:pPr>
        <w:pStyle w:val="Heading2"/>
      </w:pPr>
      <w:r>
        <w:rPr>
          <w:rFonts w:ascii="Arial" w:cs="Arial" w:eastAsia="Arial" w:hAnsi="Arial"/>
          <w:b/>
          <w:bCs/>
          <w:sz w:val="28"/>
          <w:szCs w:val="28"/>
        </w:rPr>
        <w:t xml:space="preserve">Stage 6: Clinical Translation: Combination Trial Design &amp; Biomarker Integration</w:t>
      </w:r>
    </w:p>
    <w:p>
      <w:r>
        <w:rPr>
          <w:rFonts w:ascii="Arial" w:cs="Arial" w:eastAsia="Arial" w:hAnsi="Arial"/>
          <w:b/>
          <w:bCs/>
          <w:sz w:val="24"/>
          <w:szCs w:val="24"/>
        </w:rPr>
        <w:t xml:space="preserve">Purpose: </w:t>
      </w:r>
      <w:r>
        <w:rPr>
          <w:rFonts w:ascii="Arial" w:cs="Arial" w:eastAsia="Arial" w:hAnsi="Arial"/>
          <w:sz w:val="24"/>
          <w:szCs w:val="24"/>
        </w:rPr>
        <w:t xml:space="preserve">Design Phase I/II trials for lead dual-mechanism combinations, incorporating biomarkers (serum, CSF, imaging) and stratification based on E/I genetic signatures.</w:t>
      </w:r>
    </w:p>
    <w:p>
      <w:r>
        <w:rPr>
          <w:rFonts w:ascii="Arial" w:cs="Arial" w:eastAsia="Arial" w:hAnsi="Arial"/>
          <w:b/>
          <w:bCs/>
          <w:sz w:val="24"/>
          <w:szCs w:val="24"/>
        </w:rPr>
        <w:t xml:space="preserve">Inputs:</w:t>
      </w:r>
    </w:p>
    <w:p>
      <w:r>
        <w:rPr>
          <w:rFonts w:ascii="Arial" w:cs="Arial" w:eastAsia="Arial" w:hAnsi="Arial"/>
          <w:sz w:val="24"/>
          <w:szCs w:val="24"/>
        </w:rPr>
        <w:t xml:space="preserve">Lead combinations advancing from Stage 5</w:t>
      </w:r>
    </w:p>
    <w:p>
      <w:r>
        <w:rPr>
          <w:rFonts w:ascii="Arial" w:cs="Arial" w:eastAsia="Arial" w:hAnsi="Arial"/>
          <w:sz w:val="24"/>
          <w:szCs w:val="24"/>
        </w:rPr>
        <w:t xml:space="preserve">Clinical trial design: schizophrenia diagnosis criteria (DSM-5, ICD-11), patient stratification by genetic background</w:t>
      </w:r>
    </w:p>
    <w:p>
      <w:r>
        <w:rPr>
          <w:rFonts w:ascii="Arial" w:cs="Arial" w:eastAsia="Arial" w:hAnsi="Arial"/>
          <w:sz w:val="24"/>
          <w:szCs w:val="24"/>
        </w:rPr>
        <w:t xml:space="preserve">Biomarker candidates: E/I serum markers (GAD65, glutamate), inflammation (IL-6, TNF-α), BDNF, CSF GABA</w:t>
      </w:r>
    </w:p>
    <w:p>
      <w:r>
        <w:rPr>
          <w:rFonts w:ascii="Arial" w:cs="Arial" w:eastAsia="Arial" w:hAnsi="Arial"/>
          <w:sz w:val="24"/>
          <w:szCs w:val="24"/>
        </w:rPr>
        <w:t xml:space="preserve">Imaging endpoints: fMRI (resting-state connectivity, task fMRI), MEG (oscillations, gamma)</w:t>
      </w:r>
    </w:p>
    <w:p>
      <w:r>
        <w:rPr>
          <w:rFonts w:ascii="Arial" w:cs="Arial" w:eastAsia="Arial" w:hAnsi="Arial"/>
          <w:sz w:val="24"/>
          <w:szCs w:val="24"/>
        </w:rPr>
        <w:t xml:space="preserve">Trial designs: adaptive, enriched population (treatmentresistant), crossover or parallel arm designs</w:t>
      </w:r>
    </w:p>
    <w:p>
      <w:r>
        <w:rPr>
          <w:rFonts w:ascii="Arial" w:cs="Arial" w:eastAsia="Arial" w:hAnsi="Arial"/>
          <w:b/>
          <w:bCs/>
          <w:sz w:val="24"/>
          <w:szCs w:val="24"/>
        </w:rPr>
        <w:t xml:space="preserve">Tools &amp; Databases Called:</w:t>
      </w:r>
    </w:p>
    <w:p>
      <w:r>
        <w:rPr>
          <w:rFonts w:ascii="Arial" w:cs="Arial" w:eastAsia="Arial" w:hAnsi="Arial"/>
          <w:sz w:val="24"/>
          <w:szCs w:val="24"/>
        </w:rPr>
        <w:t xml:space="preserve">Clinical trial design software: nQuery, PASS for sample size calculation</w:t>
      </w:r>
    </w:p>
    <w:p>
      <w:r>
        <w:rPr>
          <w:rFonts w:ascii="Arial" w:cs="Arial" w:eastAsia="Arial" w:hAnsi="Arial"/>
          <w:sz w:val="24"/>
          <w:szCs w:val="24"/>
        </w:rPr>
        <w:t xml:space="preserve">Biomarker platforms: Luminex, HPLC, immunoassay protocols for serum/CSF</w:t>
      </w:r>
    </w:p>
    <w:p>
      <w:r>
        <w:rPr>
          <w:rFonts w:ascii="Arial" w:cs="Arial" w:eastAsia="Arial" w:hAnsi="Arial"/>
          <w:sz w:val="24"/>
          <w:szCs w:val="24"/>
        </w:rPr>
        <w:t xml:space="preserve">Imaging analysis: SPM, FSL for fMRI preprocessing; FieldTrip, MNE for MEG analysis</w:t>
      </w:r>
    </w:p>
    <w:p>
      <w:r>
        <w:rPr>
          <w:rFonts w:ascii="Arial" w:cs="Arial" w:eastAsia="Arial" w:hAnsi="Arial"/>
          <w:sz w:val="24"/>
          <w:szCs w:val="24"/>
        </w:rPr>
        <w:t xml:space="preserve">Regulatory intelligence: FDA guidance for combination therapies, schizophrenia trials</w:t>
      </w:r>
    </w:p>
    <w:p>
      <w:r>
        <w:rPr>
          <w:rFonts w:ascii="Arial" w:cs="Arial" w:eastAsia="Arial" w:hAnsi="Arial"/>
          <w:sz w:val="24"/>
          <w:szCs w:val="24"/>
        </w:rPr>
        <w:t xml:space="preserve">Real-world evidence integration: registry data on treatment outcomes, patient-reported outcomes</w:t>
      </w:r>
    </w:p>
    <w:p>
      <w:r>
        <w:rPr>
          <w:rFonts w:ascii="Arial" w:cs="Arial" w:eastAsia="Arial" w:hAnsi="Arial"/>
          <w:sz w:val="24"/>
          <w:szCs w:val="24"/>
        </w:rPr>
        <w:t xml:space="preserve">Safety monitoring: RedCap database, DSMB charter for trial oversight</w:t>
      </w:r>
    </w:p>
    <w:p>
      <w:r>
        <w:rPr>
          <w:rFonts w:ascii="Arial" w:cs="Arial" w:eastAsia="Arial" w:hAnsi="Arial"/>
          <w:b/>
          <w:bCs/>
          <w:sz w:val="24"/>
          <w:szCs w:val="24"/>
        </w:rPr>
        <w:t xml:space="preserve">Exemplary Sub-Prompts:</w:t>
      </w:r>
    </w:p>
    <w:p>
      <w:r>
        <w:rPr>
          <w:rFonts w:ascii="Arial" w:cs="Arial" w:eastAsia="Arial" w:hAnsi="Arial"/>
          <w:sz w:val="24"/>
          <w:szCs w:val="24"/>
        </w:rPr>
        <w:t xml:space="preserve">Should we enrich trials for E/I-imbalanced genotypes (GRIN2B, ERBB4 carriers)?</w:t>
      </w:r>
    </w:p>
    <w:p>
      <w:r>
        <w:rPr>
          <w:rFonts w:ascii="Arial" w:cs="Arial" w:eastAsia="Arial" w:hAnsi="Arial"/>
          <w:sz w:val="24"/>
          <w:szCs w:val="24"/>
        </w:rPr>
        <w:t xml:space="preserve">What are optimal dosing schedules and titration for combination safety?</w:t>
      </w:r>
    </w:p>
    <w:p>
      <w:r>
        <w:rPr>
          <w:rFonts w:ascii="Arial" w:cs="Arial" w:eastAsia="Arial" w:hAnsi="Arial"/>
          <w:sz w:val="24"/>
          <w:szCs w:val="24"/>
        </w:rPr>
        <w:t xml:space="preserve">Which biomarkers (serum GABA, brain gamma, BDNF) best predict clinical response?</w:t>
      </w:r>
    </w:p>
    <w:p>
      <w:r>
        <w:rPr>
          <w:rFonts w:ascii="Arial" w:cs="Arial" w:eastAsia="Arial" w:hAnsi="Arial"/>
          <w:sz w:val="24"/>
          <w:szCs w:val="24"/>
        </w:rPr>
        <w:t xml:space="preserve">Can we design adaptive randomization to allocate more patients to higher-performing combination arms?</w:t>
      </w:r>
    </w:p>
    <w:p>
      <w:r>
        <w:rPr>
          <w:rFonts w:ascii="Arial" w:cs="Arial" w:eastAsia="Arial" w:hAnsi="Arial"/>
          <w:sz w:val="24"/>
          <w:szCs w:val="24"/>
        </w:rPr>
        <w:t xml:space="preserve">What imaging and cognitive endpoints best demonstrate circuit-level restoration?</w:t>
      </w:r>
    </w:p>
    <w:p>
      <w:r>
        <w:rPr>
          <w:rFonts w:ascii="Arial" w:cs="Arial" w:eastAsia="Arial" w:hAnsi="Arial"/>
          <w:b/>
          <w:bCs/>
          <w:sz w:val="24"/>
          <w:szCs w:val="24"/>
        </w:rPr>
        <w:t xml:space="preserve">Expected Outputs:</w:t>
      </w:r>
    </w:p>
    <w:p>
      <w:r>
        <w:rPr>
          <w:rFonts w:ascii="Arial" w:cs="Arial" w:eastAsia="Arial" w:hAnsi="Arial"/>
          <w:sz w:val="24"/>
          <w:szCs w:val="24"/>
        </w:rPr>
        <w:t xml:space="preserve">Phase I/II protocol: patient selection, dosing schedule, safety monitoring, biomarker collection</w:t>
      </w:r>
    </w:p>
    <w:p>
      <w:r>
        <w:rPr>
          <w:rFonts w:ascii="Arial" w:cs="Arial" w:eastAsia="Arial" w:hAnsi="Arial"/>
          <w:sz w:val="24"/>
          <w:szCs w:val="24"/>
        </w:rPr>
        <w:t xml:space="preserve">Biomarker qualification plan: serum E/I markers, CSF GABA/glutamate, imaging endopoints</w:t>
      </w:r>
    </w:p>
    <w:p>
      <w:r>
        <w:rPr>
          <w:rFonts w:ascii="Arial" w:cs="Arial" w:eastAsia="Arial" w:hAnsi="Arial"/>
          <w:sz w:val="24"/>
          <w:szCs w:val="24"/>
        </w:rPr>
        <w:t xml:space="preserve">Adaptive trial design: interim analysis rules, basket design for genotype-stratified cohorts</w:t>
      </w:r>
    </w:p>
    <w:p>
      <w:r>
        <w:rPr>
          <w:rFonts w:ascii="Arial" w:cs="Arial" w:eastAsia="Arial" w:hAnsi="Arial"/>
          <w:sz w:val="24"/>
          <w:szCs w:val="24"/>
        </w:rPr>
        <w:t xml:space="preserve">Endpoint hierarchy: primary (PANSS, CGI), secondary (cognitive, biomarker), exploratory (imaging)</w:t>
      </w:r>
    </w:p>
    <w:p>
      <w:r>
        <w:rPr>
          <w:rFonts w:ascii="Arial" w:cs="Arial" w:eastAsia="Arial" w:hAnsi="Arial"/>
          <w:sz w:val="24"/>
          <w:szCs w:val="24"/>
        </w:rPr>
        <w:t xml:space="preserve">Safety monitoring charter: adverse event grading, stopping rules, DSMB structure</w:t>
      </w:r>
    </w:p>
    <w:p>
      <w:r>
        <w:rPr>
          <w:rFonts w:ascii="Arial" w:cs="Arial" w:eastAsia="Arial" w:hAnsi="Arial"/>
          <w:sz w:val="24"/>
          <w:szCs w:val="24"/>
        </w:rPr>
        <w:t xml:space="preserve">Regulatory pathway: IND submission outline, anticipated milestones and timelines</w:t>
      </w:r>
    </w:p>
    <w:p>
      <w:r>
        <w:rPr>
          <w:rFonts w:ascii="Arial" w:cs="Arial" w:eastAsia="Arial" w:hAnsi="Arial"/>
          <w:b/>
          <w:bCs/>
          <w:sz w:val="24"/>
          <w:szCs w:val="24"/>
        </w:rPr>
        <w:t xml:space="preserve">Format: </w:t>
      </w:r>
      <w:r>
        <w:rPr>
          <w:rFonts w:ascii="Arial" w:cs="Arial" w:eastAsia="Arial" w:hAnsi="Arial"/>
          <w:sz w:val="24"/>
          <w:szCs w:val="24"/>
        </w:rPr>
        <w:t xml:space="preserve">Detailed scientific outputs suitable for peer review, regulatory submission, or internal stakeholder briefing.</w:t>
      </w:r>
    </w:p>
    <w:p>
      <w:pPr>
        <w:pStyle w:val="Heading2"/>
      </w:pPr>
      <w:r>
        <w:rPr>
          <w:rFonts w:ascii="Arial" w:cs="Arial" w:eastAsia="Arial" w:hAnsi="Arial"/>
          <w:b/>
          <w:bCs/>
          <w:sz w:val="28"/>
          <w:szCs w:val="28"/>
        </w:rPr>
        <w:t xml:space="preserve">Tools &amp; Databases Summary</w:t>
      </w:r>
    </w:p>
    <w:p>
      <w:r>
        <w:rPr>
          <w:rFonts w:ascii="Arial" w:cs="Arial" w:eastAsia="Arial" w:hAnsi="Arial"/>
          <w:sz w:val="24"/>
          <w:szCs w:val="24"/>
        </w:rPr>
        <w:t xml:space="preserve">Quiver EP CRISPR Atlas: 18,000+ gene perturbations with full electrophysiology readouts and phenotypic annotations</w:t>
      </w:r>
    </w:p>
    <w:p>
      <w:r>
        <w:rPr>
          <w:rFonts w:ascii="Arial" w:cs="Arial" w:eastAsia="Arial" w:hAnsi="Arial"/>
          <w:sz w:val="24"/>
          <w:szCs w:val="24"/>
        </w:rPr>
        <w:t xml:space="preserve">Quiver Compound Library: 3,500 characterized small molecules with EP signatures and target predictions</w:t>
      </w:r>
    </w:p>
    <w:p>
      <w:r>
        <w:rPr>
          <w:rFonts w:ascii="Arial" w:cs="Arial" w:eastAsia="Arial" w:hAnsi="Arial"/>
          <w:sz w:val="24"/>
          <w:szCs w:val="24"/>
        </w:rPr>
        <w:t xml:space="preserve">Sapphire Embedding Engine: machine learning models for phenotype-space searches and compound matching</w:t>
      </w:r>
    </w:p>
    <w:p>
      <w:r>
        <w:rPr>
          <w:rFonts w:ascii="Arial" w:cs="Arial" w:eastAsia="Arial" w:hAnsi="Arial"/>
          <w:sz w:val="24"/>
          <w:szCs w:val="24"/>
        </w:rPr>
        <w:t xml:space="preserve">Target Prediction Tools: SEA (Similarity Ensemble Approach), SwissTargetPrediction, ChEMBL for target deconvolution</w:t>
      </w:r>
    </w:p>
    <w:p>
      <w:r>
        <w:rPr>
          <w:rFonts w:ascii="Arial" w:cs="Arial" w:eastAsia="Arial" w:hAnsi="Arial"/>
          <w:sz w:val="24"/>
          <w:szCs w:val="24"/>
        </w:rPr>
        <w:t xml:space="preserve">Electrophysiology Analysis: Clampfit, OpenEphys, Phy for raw data processing and feature extraction</w:t>
      </w:r>
    </w:p>
    <w:p>
      <w:r>
        <w:rPr>
          <w:rFonts w:ascii="Arial" w:cs="Arial" w:eastAsia="Arial" w:hAnsi="Arial"/>
          <w:sz w:val="24"/>
          <w:szCs w:val="24"/>
        </w:rPr>
        <w:t xml:space="preserve">Network Tools: String, Cytoscape, Reactome for pathway enrichment and mechanistic visualization</w:t>
      </w:r>
    </w:p>
    <w:p>
      <w:r>
        <w:rPr>
          <w:rFonts w:ascii="Arial" w:cs="Arial" w:eastAsia="Arial" w:hAnsi="Arial"/>
          <w:sz w:val="24"/>
          <w:szCs w:val="24"/>
        </w:rPr>
        <w:t xml:space="preserve">Statistical Frameworks: scikit-learn, XGBoost, SHAP for predictive models and feature importance</w:t>
      </w:r>
    </w:p>
    <w:p>
      <w:r>
        <w:rPr>
          <w:rFonts w:ascii="Arial" w:cs="Arial" w:eastAsia="Arial" w:hAnsi="Arial"/>
          <w:sz w:val="24"/>
          <w:szCs w:val="24"/>
        </w:rPr>
        <w:t xml:space="preserve">Bioinformatics Platforms: Scanpy, SEurat for single-cell analysis; UMAP, t-SNE for dimensionality reduction</w:t>
      </w:r>
    </w:p>
    <w:p>
      <w:r>
        <w:rPr>
          <w:rFonts w:ascii="Arial" w:cs="Arial" w:eastAsia="Arial" w:hAnsi="Arial"/>
          <w:sz w:val="24"/>
          <w:szCs w:val="24"/>
        </w:rPr>
        <w:t xml:space="preserve">ADME &amp; Safety: SwissADME, ChemAxon, BBB-Pred for drug-like property assessment</w:t>
      </w:r>
    </w:p>
    <w:p>
      <w:r>
        <w:rPr>
          <w:rFonts w:ascii="Arial" w:cs="Arial" w:eastAsia="Arial" w:hAnsi="Arial"/>
          <w:sz w:val="24"/>
          <w:szCs w:val="24"/>
        </w:rPr>
        <w:t xml:space="preserve">Clinical Trial Design: nQuery, PASS for sample size; REDCap for data management</w:t>
      </w:r>
    </w:p>
    <w:p>
      <w:r>
        <w:rPr>
          <w:rFonts w:ascii="Arial" w:cs="Arial" w:eastAsia="Arial" w:hAnsi="Arial"/>
          <w:sz w:val="24"/>
          <w:szCs w:val="24"/>
        </w:rPr>
        <w:t xml:space="preserve">Real-World Evidence: Registry data integration, patient-reported outcome platforms</w:t>
      </w:r>
    </w:p>
    <w:p>
      <w:r>
        <w:rPr>
          <w:rFonts w:ascii="Arial" w:cs="Arial" w:eastAsia="Arial" w:hAnsi="Arial"/>
          <w:sz w:val="24"/>
          <w:szCs w:val="24"/>
        </w:rPr>
        <w:t xml:space="preserve">Regulatory Intelligence: FDA guidance documents, Orange Book, clinical trial registries</w:t>
      </w:r>
    </w:p>
    <w:p>
      <w:r>
        <w:rPr>
          <w:rFonts w:ascii="Arial" w:cs="Arial" w:eastAsia="Arial" w:hAnsi="Arial"/>
          <w:sz w:val="24"/>
          <w:szCs w:val="24"/>
        </w:rPr>
        <w:t xml:space="preserve">Mass Spectrometry: Quantitative phosphoproteomics, transcriptomics for mechanistic validation</w:t>
      </w:r>
    </w:p>
    <w:p>
      <w:r>
        <w:rPr>
          <w:rFonts w:ascii="Arial" w:cs="Arial" w:eastAsia="Arial" w:hAnsi="Arial"/>
          <w:sz w:val="24"/>
          <w:szCs w:val="24"/>
        </w:rPr>
        <w:t xml:space="preserve">Imaging: fMRI, MEG, optogenetics software for circuit-level validation</w:t>
      </w:r>
    </w:p>
    <w:p>
      <w:r>
        <w:rPr>
          <w:rFonts w:ascii="Arial" w:cs="Arial" w:eastAsia="Arial" w:hAnsi="Arial"/>
          <w:sz w:val="24"/>
          <w:szCs w:val="24"/>
        </w:rPr>
        <w:t xml:space="preserve">Behavioral Automation: DeepLabCut, ANY-maze for objective animal and human behavioral phenotyping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2026-03-03T22:36:57.859Z</dcterms:created>
  <dcterms:modified xsi:type="dcterms:W3CDTF">2026-03-03T22:36:57.859Z</dcterms:modified>
</cp:coreProperties>
</file>

<file path=docProps/custom.xml><?xml version="1.0" encoding="utf-8"?>
<Properties xmlns="http://schemas.openxmlformats.org/officeDocument/2006/custom-properties" xmlns:vt="http://schemas.openxmlformats.org/officeDocument/2006/docPropsVTypes"/>
</file>