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w:t>
      </w:r>
    </w:p>
    <w:p>
      <w:pPr>
        <w:pStyle w:val="Heading2"/>
      </w:pPr>
      <w:r>
        <w:rPr>
          <w:rFonts w:ascii="Arial" w:cs="Arial" w:eastAsia="Arial" w:hAnsi="Arial"/>
          <w:b/>
          <w:bCs/>
          <w:sz w:val="28"/>
          <w:szCs w:val="28"/>
        </w:rPr>
        <w:t xml:space="preserve">Prompt</w:t>
      </w:r>
    </w:p>
    <w:p>
      <w:r>
        <w:rPr>
          <w:rFonts w:ascii="Arial" w:cs="Arial" w:eastAsia="Arial" w:hAnsi="Arial"/>
          <w:sz w:val="24"/>
          <w:szCs w:val="24"/>
        </w:rPr>
        <w:t xml:space="preserve">"Rank mTOR-adjacent targets for major depressive disorder."</w:t>
      </w:r>
    </w:p>
    <w:p>
      <w:r>
        <w:rPr>
          <w:rFonts w:ascii="Arial" w:cs="Arial" w:eastAsia="Arial" w:hAnsi="Arial"/>
          <w:sz w:val="24"/>
          <w:szCs w:val="24"/>
        </w:rPr>
        <w:t xml:space="preserve">This document defines the complete Sapphire pipeline for compound discovery and validation, leveraging Quiver Bioscience's integrated electrophysiology (EP) CRISPR atlas, compound library, and functional validation workflows to systematically advance therapeutic candidates.</w:t>
      </w:r>
    </w:p>
    <w:p>
      <w:pPr>
        <w:pStyle w:val="Heading2"/>
      </w:pPr>
      <w:r>
        <w:rPr>
          <w:rFonts w:ascii="Arial" w:cs="Arial" w:eastAsia="Arial" w:hAnsi="Arial"/>
          <w:b/>
          <w:bCs/>
          <w:sz w:val="28"/>
          <w:szCs w:val="28"/>
        </w:rPr>
        <w:t xml:space="preserve">Pipeline Overview</w:t>
      </w:r>
    </w:p>
    <w:p>
      <w:r>
        <w:rPr>
          <w:rFonts w:ascii="Arial" w:cs="Arial" w:eastAsia="Arial" w:hAnsi="Arial"/>
          <w:sz w:val="24"/>
          <w:szCs w:val="24"/>
        </w:rPr>
        <w:t xml:space="preserve">This pipeline systematically evaluates mTOR signaling pathway and adjacent kinases as therapeutic targets for major depressive disorder (MDD) using Quiver's CRISPR atlas and compound library. mTOR is a central integrator of synaptic plasticity, protein synthesis, and cellular bioenergetics—processes dysregulated in MDD. However, mTOR inhibition (rapamycin) shows paradoxical antidepressant-like effects in some contexts while remaining pro-depressive in others, necessitating a nuanced, target-specific approach.</w:t>
      </w:r>
    </w:p>
    <w:p>
      <w:r>
        <w:rPr>
          <w:rFonts w:ascii="Arial" w:cs="Arial" w:eastAsia="Arial" w:hAnsi="Arial"/>
          <w:sz w:val="24"/>
          <w:szCs w:val="24"/>
        </w:rPr>
        <w:t xml:space="preserve">The workflow maps mTOR signaling onto the EP phenotypes of depression, identifies pathway-adjacent kinases (S6K, 4E-BP1, GSK3β, AMPK, ULK1), ranks targets by functional importance and therapeutic window, and validates selectivemodulation in circuit models. The goal is to discover safer alternatives or synergistic combinations to optimize mTOR-pathway targeting for rapid, sustained antidepressant efficacy.</w:t>
      </w:r>
    </w:p>
    <w:p>
      <w:pPr>
        <w:pStyle w:val="Heading2"/>
      </w:pPr>
      <w:r>
        <w:rPr>
          <w:rFonts w:ascii="Arial" w:cs="Arial" w:eastAsia="Arial" w:hAnsi="Arial"/>
          <w:b/>
          <w:bCs/>
          <w:sz w:val="28"/>
          <w:szCs w:val="28"/>
        </w:rPr>
        <w:t xml:space="preserve">Stage 1: mTOR Pathway Functional Profiling in Depression Models</w:t>
      </w:r>
    </w:p>
    <w:p>
      <w:r>
        <w:rPr>
          <w:rFonts w:ascii="Arial" w:cs="Arial" w:eastAsia="Arial" w:hAnsi="Arial"/>
          <w:b/>
          <w:bCs/>
          <w:sz w:val="24"/>
          <w:szCs w:val="24"/>
        </w:rPr>
        <w:t xml:space="preserve">Purpose: </w:t>
      </w:r>
      <w:r>
        <w:rPr>
          <w:rFonts w:ascii="Arial" w:cs="Arial" w:eastAsia="Arial" w:hAnsi="Arial"/>
          <w:sz w:val="24"/>
          <w:szCs w:val="24"/>
        </w:rPr>
        <w:t xml:space="preserve">Use Quiver's CRISPR atlas to systematically perturb mTOR and downstream signaling nodes, mapping each perturbation to depression-relevant EP phenotypes to define pathway-phenotype relationships.</w:t>
      </w:r>
    </w:p>
    <w:p>
      <w:r>
        <w:rPr>
          <w:rFonts w:ascii="Arial" w:cs="Arial" w:eastAsia="Arial" w:hAnsi="Arial"/>
          <w:b/>
          <w:bCs/>
          <w:sz w:val="24"/>
          <w:szCs w:val="24"/>
        </w:rPr>
        <w:t xml:space="preserve">Inputs:</w:t>
      </w:r>
    </w:p>
    <w:p>
      <w:r>
        <w:rPr>
          <w:rFonts w:ascii="Arial" w:cs="Arial" w:eastAsia="Arial" w:hAnsi="Arial"/>
          <w:sz w:val="24"/>
          <w:szCs w:val="24"/>
        </w:rPr>
        <w:t xml:space="preserve">CRISPR perturbations in Quiver atlas: MTOR, RPTOR, RICTOR, PTEN, TSC1, TSC2 (upstream nodes)</w:t>
      </w:r>
    </w:p>
    <w:p>
      <w:r>
        <w:rPr>
          <w:rFonts w:ascii="Arial" w:cs="Arial" w:eastAsia="Arial" w:hAnsi="Arial"/>
          <w:sz w:val="24"/>
          <w:szCs w:val="24"/>
        </w:rPr>
        <w:t xml:space="preserve">Downstream targets: RPS6K1 (S6K1), EIF4EBP1 (4E-BP1), ULK1, DDIT4 (REDD1), TFEB</w:t>
      </w:r>
    </w:p>
    <w:p>
      <w:r>
        <w:rPr>
          <w:rFonts w:ascii="Arial" w:cs="Arial" w:eastAsia="Arial" w:hAnsi="Arial"/>
          <w:sz w:val="24"/>
          <w:szCs w:val="24"/>
        </w:rPr>
        <w:t xml:space="preserve">Depression models: chronic mild stress, social defeat, learned helplessness, patient-derived neurons</w:t>
      </w:r>
    </w:p>
    <w:p>
      <w:r>
        <w:rPr>
          <w:rFonts w:ascii="Arial" w:cs="Arial" w:eastAsia="Arial" w:hAnsi="Arial"/>
          <w:sz w:val="24"/>
          <w:szCs w:val="24"/>
        </w:rPr>
        <w:t xml:space="preserve">Depression-related EP features: reduced burst firing, increased latency to action potential, reduced LTP, altered theta oscillations</w:t>
      </w:r>
    </w:p>
    <w:p>
      <w:r>
        <w:rPr>
          <w:rFonts w:ascii="Arial" w:cs="Arial" w:eastAsia="Arial" w:hAnsi="Arial"/>
          <w:sz w:val="24"/>
          <w:szCs w:val="24"/>
        </w:rPr>
        <w:t xml:space="preserve">Baseline transcriptomics: mTOR pathway gene expression in MDD vs. healthy controls</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Quiver CRISPR Perturbation Atlas: query mTOR pathway gene effects on EP features</w:t>
      </w:r>
    </w:p>
    <w:p>
      <w:r>
        <w:rPr>
          <w:rFonts w:ascii="Arial" w:cs="Arial" w:eastAsia="Arial" w:hAnsi="Arial"/>
          <w:sz w:val="24"/>
          <w:szCs w:val="24"/>
        </w:rPr>
        <w:t xml:space="preserve">Pathway enrichment (Reactome, KEGG): map CRISPR hits to functional mTOR modules</w:t>
      </w:r>
    </w:p>
    <w:p>
      <w:r>
        <w:rPr>
          <w:rFonts w:ascii="Arial" w:cs="Arial" w:eastAsia="Arial" w:hAnsi="Arial"/>
          <w:sz w:val="24"/>
          <w:szCs w:val="24"/>
        </w:rPr>
        <w:t xml:space="preserve">UMAP / PCA: dimensionality reduction of EP phenotypes across all mTOR perturbations</w:t>
      </w:r>
    </w:p>
    <w:p>
      <w:r>
        <w:rPr>
          <w:rFonts w:ascii="Arial" w:cs="Arial" w:eastAsia="Arial" w:hAnsi="Arial"/>
          <w:sz w:val="24"/>
          <w:szCs w:val="24"/>
        </w:rPr>
        <w:t xml:space="preserve">Correlation analysis: relate mTOR pathway activity (p-S6K, p-4E-BP1 by Western blot / IF) to EP features</w:t>
      </w:r>
    </w:p>
    <w:p>
      <w:r>
        <w:rPr>
          <w:rFonts w:ascii="Arial" w:cs="Arial" w:eastAsia="Arial" w:hAnsi="Arial"/>
          <w:sz w:val="24"/>
          <w:szCs w:val="24"/>
        </w:rPr>
        <w:t xml:space="preserve">Feature importance (SHAP, XGBoost): identify which downstream nodes drive depression-related phenotypes</w:t>
      </w:r>
    </w:p>
    <w:p>
      <w:r>
        <w:rPr>
          <w:rFonts w:ascii="Arial" w:cs="Arial" w:eastAsia="Arial" w:hAnsi="Arial"/>
          <w:sz w:val="24"/>
          <w:szCs w:val="24"/>
        </w:rPr>
        <w:t xml:space="preserve">Network inference (GRN): infer epistatic relationships within mTOR signaling</w:t>
      </w:r>
    </w:p>
    <w:p>
      <w:r>
        <w:rPr>
          <w:rFonts w:ascii="Arial" w:cs="Arial" w:eastAsia="Arial" w:hAnsi="Arial"/>
          <w:b/>
          <w:bCs/>
          <w:sz w:val="24"/>
          <w:szCs w:val="24"/>
        </w:rPr>
        <w:t xml:space="preserve">Exemplary Sub-Prompts:</w:t>
      </w:r>
    </w:p>
    <w:p>
      <w:r>
        <w:rPr>
          <w:rFonts w:ascii="Arial" w:cs="Arial" w:eastAsia="Arial" w:hAnsi="Arial"/>
          <w:sz w:val="24"/>
          <w:szCs w:val="24"/>
        </w:rPr>
        <w:t xml:space="preserve">Which mTOR pathway nodes (RPTOR vs. RICTOR) dominate depression-relevant EP phenotypes?</w:t>
      </w:r>
    </w:p>
    <w:p>
      <w:r>
        <w:rPr>
          <w:rFonts w:ascii="Arial" w:cs="Arial" w:eastAsia="Arial" w:hAnsi="Arial"/>
          <w:sz w:val="24"/>
          <w:szCs w:val="24"/>
        </w:rPr>
        <w:t xml:space="preserve">Does S6K (RPS6K1) knockdown mimic or differ from mTOR inhibition in EP signatures?</w:t>
      </w:r>
    </w:p>
    <w:p>
      <w:r>
        <w:rPr>
          <w:rFonts w:ascii="Arial" w:cs="Arial" w:eastAsia="Arial" w:hAnsi="Arial"/>
          <w:sz w:val="24"/>
          <w:szCs w:val="24"/>
        </w:rPr>
        <w:t xml:space="preserve">What is the contribution of 4E-BP1 (EIF4EBP1) to synaptic plasticity restoration?</w:t>
      </w:r>
    </w:p>
    <w:p>
      <w:r>
        <w:rPr>
          <w:rFonts w:ascii="Arial" w:cs="Arial" w:eastAsia="Arial" w:hAnsi="Arial"/>
          <w:sz w:val="24"/>
          <w:szCs w:val="24"/>
        </w:rPr>
        <w:t xml:space="preserve">Are there compensatory or redundant pathways activated when mTOR is inhibited?</w:t>
      </w:r>
    </w:p>
    <w:p>
      <w:r>
        <w:rPr>
          <w:rFonts w:ascii="Arial" w:cs="Arial" w:eastAsia="Arial" w:hAnsi="Arial"/>
          <w:sz w:val="24"/>
          <w:szCs w:val="24"/>
        </w:rPr>
        <w:t xml:space="preserve">Do upstream nodes (TSC1/2, PTEN) show therapeutic potential as alternative targets?</w:t>
      </w:r>
    </w:p>
    <w:p>
      <w:r>
        <w:rPr>
          <w:rFonts w:ascii="Arial" w:cs="Arial" w:eastAsia="Arial" w:hAnsi="Arial"/>
          <w:b/>
          <w:bCs/>
          <w:sz w:val="24"/>
          <w:szCs w:val="24"/>
        </w:rPr>
        <w:t xml:space="preserve">Expected Outputs:</w:t>
      </w:r>
    </w:p>
    <w:p>
      <w:r>
        <w:rPr>
          <w:rFonts w:ascii="Arial" w:cs="Arial" w:eastAsia="Arial" w:hAnsi="Arial"/>
          <w:sz w:val="24"/>
          <w:szCs w:val="24"/>
        </w:rPr>
        <w:t xml:space="preserve">CRISPR screening results table: each mTOR pathway gene, EP feature changes (effect size, FDR q-value)</w:t>
      </w:r>
    </w:p>
    <w:p>
      <w:r>
        <w:rPr>
          <w:rFonts w:ascii="Arial" w:cs="Arial" w:eastAsia="Arial" w:hAnsi="Arial"/>
          <w:sz w:val="24"/>
          <w:szCs w:val="24"/>
        </w:rPr>
        <w:t xml:space="preserve">Ranked target list: mTOR, RPTOR, RICTOR, S6K, 4E-BP1, ULK1 by depression-phenotype impact</w:t>
      </w:r>
    </w:p>
    <w:p>
      <w:r>
        <w:rPr>
          <w:rFonts w:ascii="Arial" w:cs="Arial" w:eastAsia="Arial" w:hAnsi="Arial"/>
          <w:sz w:val="24"/>
          <w:szCs w:val="24"/>
        </w:rPr>
        <w:t xml:space="preserve">Pathway dependency map: which downstream targets are essential for each EP phenotype</w:t>
      </w:r>
    </w:p>
    <w:p>
      <w:r>
        <w:rPr>
          <w:rFonts w:ascii="Arial" w:cs="Arial" w:eastAsia="Arial" w:hAnsi="Arial"/>
          <w:sz w:val="24"/>
          <w:szCs w:val="24"/>
        </w:rPr>
        <w:t xml:space="preserve">Feature-target association matrix: heatmap of which nodes rescue which depression features</w:t>
      </w:r>
    </w:p>
    <w:p>
      <w:r>
        <w:rPr>
          <w:rFonts w:ascii="Arial" w:cs="Arial" w:eastAsia="Arial" w:hAnsi="Arial"/>
          <w:sz w:val="24"/>
          <w:szCs w:val="24"/>
        </w:rPr>
        <w:t xml:space="preserve">Epistasis networks: genetic interactions between mTOR pathway components</w:t>
      </w:r>
    </w:p>
    <w:p>
      <w:r>
        <w:rPr>
          <w:rFonts w:ascii="Arial" w:cs="Arial" w:eastAsia="Arial" w:hAnsi="Arial"/>
          <w:sz w:val="24"/>
          <w:szCs w:val="24"/>
        </w:rPr>
        <w:t xml:space="preserve">Biomarker panels: minimal set of phosphoproteins (p-S6K, p-4E-BP1, p-ULK1) predicting depression state</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2: Target Selectivity Analysis &amp; Therapeutic Window Mapping</w:t>
      </w:r>
    </w:p>
    <w:p>
      <w:r>
        <w:rPr>
          <w:rFonts w:ascii="Arial" w:cs="Arial" w:eastAsia="Arial" w:hAnsi="Arial"/>
          <w:b/>
          <w:bCs/>
          <w:sz w:val="24"/>
          <w:szCs w:val="24"/>
        </w:rPr>
        <w:t xml:space="preserve">Purpose: </w:t>
      </w:r>
      <w:r>
        <w:rPr>
          <w:rFonts w:ascii="Arial" w:cs="Arial" w:eastAsia="Arial" w:hAnsi="Arial"/>
          <w:sz w:val="24"/>
          <w:szCs w:val="24"/>
        </w:rPr>
        <w:t xml:space="preserve">Define selectivity profiles for each mTOR-adjacent target and calculate therapeutic windows (efficacious vs. toxic pathway modulation) using pharmacological dose-response curves.</w:t>
      </w:r>
    </w:p>
    <w:p>
      <w:r>
        <w:rPr>
          <w:rFonts w:ascii="Arial" w:cs="Arial" w:eastAsia="Arial" w:hAnsi="Arial"/>
          <w:b/>
          <w:bCs/>
          <w:sz w:val="24"/>
          <w:szCs w:val="24"/>
        </w:rPr>
        <w:t xml:space="preserve">Inputs:</w:t>
      </w:r>
    </w:p>
    <w:p>
      <w:r>
        <w:rPr>
          <w:rFonts w:ascii="Arial" w:cs="Arial" w:eastAsia="Arial" w:hAnsi="Arial"/>
          <w:sz w:val="24"/>
          <w:szCs w:val="24"/>
        </w:rPr>
        <w:t xml:space="preserve">Ranked mTOR pathway targets (from Stage 1)</w:t>
      </w:r>
    </w:p>
    <w:p>
      <w:r>
        <w:rPr>
          <w:rFonts w:ascii="Arial" w:cs="Arial" w:eastAsia="Arial" w:hAnsi="Arial"/>
          <w:sz w:val="24"/>
          <w:szCs w:val="24"/>
        </w:rPr>
        <w:t xml:space="preserve">Pharmacological tool compounds: mTOR kinase inhibitors (Torin1, AZD8055), rapamycin (allosteric), S6K inhibitors, GSK3β inhibitors, ULK1 inhibitors</w:t>
      </w:r>
    </w:p>
    <w:p>
      <w:r>
        <w:rPr>
          <w:rFonts w:ascii="Arial" w:cs="Arial" w:eastAsia="Arial" w:hAnsi="Arial"/>
          <w:sz w:val="24"/>
          <w:szCs w:val="24"/>
        </w:rPr>
        <w:t xml:space="preserve">Target-selectivity databases: Kinase Selectivity Tool (GlaxoSmithKline), DiscoveRx KINOMEscan data</w:t>
      </w:r>
    </w:p>
    <w:p>
      <w:r>
        <w:rPr>
          <w:rFonts w:ascii="Arial" w:cs="Arial" w:eastAsia="Arial" w:hAnsi="Arial"/>
          <w:sz w:val="24"/>
          <w:szCs w:val="24"/>
        </w:rPr>
        <w:t xml:space="preserve">Off-target liabilities: known adverse effects of mTOR inhibition (immunosuppression, metabolic dysfunction, myelosuppression)</w:t>
      </w:r>
    </w:p>
    <w:p>
      <w:r>
        <w:rPr>
          <w:rFonts w:ascii="Arial" w:cs="Arial" w:eastAsia="Arial" w:hAnsi="Arial"/>
          <w:sz w:val="24"/>
          <w:szCs w:val="24"/>
        </w:rPr>
        <w:t xml:space="preserve">Therapeutic context: MDD vs. autoimmune diseases, cancer; concentration ranges tested</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Kinase selectivity databases: BindingDB, ChEMBL, DiscoveRx Portal for tool compounds</w:t>
      </w:r>
    </w:p>
    <w:p>
      <w:r>
        <w:rPr>
          <w:rFonts w:ascii="Arial" w:cs="Arial" w:eastAsia="Arial" w:hAnsi="Arial"/>
          <w:sz w:val="24"/>
          <w:szCs w:val="24"/>
        </w:rPr>
        <w:t xml:space="preserve">Dose-response curve fitting: Hill equations, EC50/IC50 determination</w:t>
      </w:r>
    </w:p>
    <w:p>
      <w:r>
        <w:rPr>
          <w:rFonts w:ascii="Arial" w:cs="Arial" w:eastAsia="Arial" w:hAnsi="Arial"/>
          <w:sz w:val="24"/>
          <w:szCs w:val="24"/>
        </w:rPr>
        <w:t xml:space="preserve">Target selectivity scoring: Selectivity Score (S), multi-target potency scaling</w:t>
      </w:r>
    </w:p>
    <w:p>
      <w:r>
        <w:rPr>
          <w:rFonts w:ascii="Arial" w:cs="Arial" w:eastAsia="Arial" w:hAnsi="Arial"/>
          <w:sz w:val="24"/>
          <w:szCs w:val="24"/>
        </w:rPr>
        <w:t xml:space="preserve">Pharmacokinetic modeling: Simcyp, PK simulator for brain penetration and target occupancy</w:t>
      </w:r>
    </w:p>
    <w:p>
      <w:r>
        <w:rPr>
          <w:rFonts w:ascii="Arial" w:cs="Arial" w:eastAsia="Arial" w:hAnsi="Arial"/>
          <w:sz w:val="24"/>
          <w:szCs w:val="24"/>
        </w:rPr>
        <w:t xml:space="preserve">Off-target prediction: ToxAlerts, SEA (Similarity Ensemble Approach) for liabilities</w:t>
      </w:r>
    </w:p>
    <w:p>
      <w:r>
        <w:rPr>
          <w:rFonts w:ascii="Arial" w:cs="Arial" w:eastAsia="Arial" w:hAnsi="Arial"/>
          <w:sz w:val="24"/>
          <w:szCs w:val="24"/>
        </w:rPr>
        <w:t xml:space="preserve">Therapeutic index calculation: (MTD / ED50) ratio for each target modulation</w:t>
      </w:r>
    </w:p>
    <w:p>
      <w:r>
        <w:rPr>
          <w:rFonts w:ascii="Arial" w:cs="Arial" w:eastAsia="Arial" w:hAnsi="Arial"/>
          <w:b/>
          <w:bCs/>
          <w:sz w:val="24"/>
          <w:szCs w:val="24"/>
        </w:rPr>
        <w:t xml:space="preserve">Exemplary Sub-Prompts:</w:t>
      </w:r>
    </w:p>
    <w:p>
      <w:r>
        <w:rPr>
          <w:rFonts w:ascii="Arial" w:cs="Arial" w:eastAsia="Arial" w:hAnsi="Arial"/>
          <w:sz w:val="24"/>
          <w:szCs w:val="24"/>
        </w:rPr>
        <w:t xml:space="preserve">Which inhibitors (ATP-competitive vs. allosteric, e.g., rapamycin) show the best selectivity for target vs. off-targets?</w:t>
      </w:r>
    </w:p>
    <w:p>
      <w:r>
        <w:rPr>
          <w:rFonts w:ascii="Arial" w:cs="Arial" w:eastAsia="Arial" w:hAnsi="Arial"/>
          <w:sz w:val="24"/>
          <w:szCs w:val="24"/>
        </w:rPr>
        <w:t xml:space="preserve">What is the mTOR kinase IC50 vs. off-target kinases (PI3K, AKT, MAPK) for each tool compound?</w:t>
      </w:r>
    </w:p>
    <w:p>
      <w:r>
        <w:rPr>
          <w:rFonts w:ascii="Arial" w:cs="Arial" w:eastAsia="Arial" w:hAnsi="Arial"/>
          <w:sz w:val="24"/>
          <w:szCs w:val="24"/>
        </w:rPr>
        <w:t xml:space="preserve">Is there a narrow therapeutic window for mTOR inhibition in MDD models?</w:t>
      </w:r>
    </w:p>
    <w:p>
      <w:r>
        <w:rPr>
          <w:rFonts w:ascii="Arial" w:cs="Arial" w:eastAsia="Arial" w:hAnsi="Arial"/>
          <w:sz w:val="24"/>
          <w:szCs w:val="24"/>
        </w:rPr>
        <w:t xml:space="preserve">Do S6K and 4E-BP1-selective inhibitors avoid mTOR-associated immunosuppression?</w:t>
      </w:r>
    </w:p>
    <w:p>
      <w:r>
        <w:rPr>
          <w:rFonts w:ascii="Arial" w:cs="Arial" w:eastAsia="Arial" w:hAnsi="Arial"/>
          <w:sz w:val="24"/>
          <w:szCs w:val="24"/>
        </w:rPr>
        <w:t xml:space="preserve">Which targets have favorable brain penetration and minimal cardiac/hepatic liabilities?</w:t>
      </w:r>
    </w:p>
    <w:p>
      <w:r>
        <w:rPr>
          <w:rFonts w:ascii="Arial" w:cs="Arial" w:eastAsia="Arial" w:hAnsi="Arial"/>
          <w:b/>
          <w:bCs/>
          <w:sz w:val="24"/>
          <w:szCs w:val="24"/>
        </w:rPr>
        <w:t xml:space="preserve">Expected Outputs:</w:t>
      </w:r>
    </w:p>
    <w:p>
      <w:r>
        <w:rPr>
          <w:rFonts w:ascii="Arial" w:cs="Arial" w:eastAsia="Arial" w:hAnsi="Arial"/>
          <w:sz w:val="24"/>
          <w:szCs w:val="24"/>
        </w:rPr>
        <w:t xml:space="preserve">Target selectivity profiles: IC50 matrix (target × compound), fold-selectivity scores</w:t>
      </w:r>
    </w:p>
    <w:p>
      <w:r>
        <w:rPr>
          <w:rFonts w:ascii="Arial" w:cs="Arial" w:eastAsia="Arial" w:hAnsi="Arial"/>
          <w:sz w:val="24"/>
          <w:szCs w:val="24"/>
        </w:rPr>
        <w:t xml:space="preserve">Therapeutic window estimates: dose ranges for efficacy vs. toxicity in MDD models</w:t>
      </w:r>
    </w:p>
    <w:p>
      <w:r>
        <w:rPr>
          <w:rFonts w:ascii="Arial" w:cs="Arial" w:eastAsia="Arial" w:hAnsi="Arial"/>
          <w:sz w:val="24"/>
          <w:szCs w:val="24"/>
        </w:rPr>
        <w:t xml:space="preserve">Off-target liability maps: which side effects are on-target (desired, e.g., immunomodulation) vs. off-target</w:t>
      </w:r>
    </w:p>
    <w:p>
      <w:r>
        <w:rPr>
          <w:rFonts w:ascii="Arial" w:cs="Arial" w:eastAsia="Arial" w:hAnsi="Arial"/>
          <w:sz w:val="24"/>
          <w:szCs w:val="24"/>
        </w:rPr>
        <w:t xml:space="preserve">Brain penetration ranking: BBB permeability (Papp, LogBB) for CNS-active tool compounds</w:t>
      </w:r>
    </w:p>
    <w:p>
      <w:r>
        <w:rPr>
          <w:rFonts w:ascii="Arial" w:cs="Arial" w:eastAsia="Arial" w:hAnsi="Arial"/>
          <w:sz w:val="24"/>
          <w:szCs w:val="24"/>
        </w:rPr>
        <w:t xml:space="preserve">Clinical precedent review: safety data from existing mTOR inhibitors in humans (rapamycin, sirolimus, temsirolimus)</w:t>
      </w:r>
    </w:p>
    <w:p>
      <w:r>
        <w:rPr>
          <w:rFonts w:ascii="Arial" w:cs="Arial" w:eastAsia="Arial" w:hAnsi="Arial"/>
          <w:sz w:val="24"/>
          <w:szCs w:val="24"/>
        </w:rPr>
        <w:t xml:space="preserve">Target recommendation list: ranked by selectivity, therapeutic window, and translational potential</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3: Compound Library Screening &amp; Target-Selective Hit Identification</w:t>
      </w:r>
    </w:p>
    <w:p>
      <w:r>
        <w:rPr>
          <w:rFonts w:ascii="Arial" w:cs="Arial" w:eastAsia="Arial" w:hAnsi="Arial"/>
          <w:b/>
          <w:bCs/>
          <w:sz w:val="24"/>
          <w:szCs w:val="24"/>
        </w:rPr>
        <w:t xml:space="preserve">Purpose: </w:t>
      </w:r>
      <w:r>
        <w:rPr>
          <w:rFonts w:ascii="Arial" w:cs="Arial" w:eastAsia="Arial" w:hAnsi="Arial"/>
          <w:sz w:val="24"/>
          <w:szCs w:val="24"/>
        </w:rPr>
        <w:t xml:space="preserve">Screen Quiver's compound library (~3,500 compounds) to identify selective modulators of top mTOR-adjacent targets (S6K, 4E-BP1, GSK3β, ULK1) with favorable ADME and EP rescue properties.</w:t>
      </w:r>
    </w:p>
    <w:p>
      <w:r>
        <w:rPr>
          <w:rFonts w:ascii="Arial" w:cs="Arial" w:eastAsia="Arial" w:hAnsi="Arial"/>
          <w:b/>
          <w:bCs/>
          <w:sz w:val="24"/>
          <w:szCs w:val="24"/>
        </w:rPr>
        <w:t xml:space="preserve">Inputs:</w:t>
      </w:r>
    </w:p>
    <w:p>
      <w:r>
        <w:rPr>
          <w:rFonts w:ascii="Arial" w:cs="Arial" w:eastAsia="Arial" w:hAnsi="Arial"/>
          <w:sz w:val="24"/>
          <w:szCs w:val="24"/>
        </w:rPr>
        <w:t xml:space="preserve">Top mTOR-adjacent targets from Stage 2 (ranked by selectivity and therapeutic potential)</w:t>
      </w:r>
    </w:p>
    <w:p>
      <w:r>
        <w:rPr>
          <w:rFonts w:ascii="Arial" w:cs="Arial" w:eastAsia="Arial" w:hAnsi="Arial"/>
          <w:sz w:val="24"/>
          <w:szCs w:val="24"/>
        </w:rPr>
        <w:t xml:space="preserve">Quiver compound atlas: ~3,500 small molecules with full EP readouts in depression models</w:t>
      </w:r>
    </w:p>
    <w:p>
      <w:r>
        <w:rPr>
          <w:rFonts w:ascii="Arial" w:cs="Arial" w:eastAsia="Arial" w:hAnsi="Arial"/>
          <w:sz w:val="24"/>
          <w:szCs w:val="24"/>
        </w:rPr>
        <w:t xml:space="preserve">Target-selectivity requirements: 10–100-fold selectivity vs. off-targets; BBB+ penetration</w:t>
      </w:r>
    </w:p>
    <w:p>
      <w:r>
        <w:rPr>
          <w:rFonts w:ascii="Arial" w:cs="Arial" w:eastAsia="Arial" w:hAnsi="Arial"/>
          <w:sz w:val="24"/>
          <w:szCs w:val="24"/>
        </w:rPr>
        <w:t xml:space="preserve">Depression-rescue EP features: target list from Stage 1 (burst firing restoration, LTP enhancement, etc.)</w:t>
      </w:r>
    </w:p>
    <w:p>
      <w:r>
        <w:rPr>
          <w:rFonts w:ascii="Arial" w:cs="Arial" w:eastAsia="Arial" w:hAnsi="Arial"/>
          <w:sz w:val="24"/>
          <w:szCs w:val="24"/>
        </w:rPr>
        <w:t xml:space="preserve">Known precedents: rapamycin, S6K inhibitors, GSK3β inhibitors with characterized depression effects</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Sapphire Compound Screening Engine: cross-reference target selectivity with EP phenotype rescue</w:t>
      </w:r>
    </w:p>
    <w:p>
      <w:r>
        <w:rPr>
          <w:rFonts w:ascii="Arial" w:cs="Arial" w:eastAsia="Arial" w:hAnsi="Arial"/>
          <w:sz w:val="24"/>
          <w:szCs w:val="24"/>
        </w:rPr>
        <w:t xml:space="preserve">Target prediction (SEA, SwissTargetPrediction): infer targets of uncharacterized Quiver compounds</w:t>
      </w:r>
    </w:p>
    <w:p>
      <w:r>
        <w:rPr>
          <w:rFonts w:ascii="Arial" w:cs="Arial" w:eastAsia="Arial" w:hAnsi="Arial"/>
          <w:sz w:val="24"/>
          <w:szCs w:val="24"/>
        </w:rPr>
        <w:t xml:space="preserve">Kinase biochemistry data (if available): internal kinase selectivity profiling or ChEMBL binding affinities</w:t>
      </w:r>
    </w:p>
    <w:p>
      <w:r>
        <w:rPr>
          <w:rFonts w:ascii="Arial" w:cs="Arial" w:eastAsia="Arial" w:hAnsi="Arial"/>
          <w:sz w:val="24"/>
          <w:szCs w:val="24"/>
        </w:rPr>
        <w:t xml:space="preserve">UMAP / clustering: stratify compounds by predicted target selectivity and EP rescue signature</w:t>
      </w:r>
    </w:p>
    <w:p>
      <w:r>
        <w:rPr>
          <w:rFonts w:ascii="Arial" w:cs="Arial" w:eastAsia="Arial" w:hAnsi="Arial"/>
          <w:sz w:val="24"/>
          <w:szCs w:val="24"/>
        </w:rPr>
        <w:t xml:space="preserve">Feature importance (SHAP): identify which compounds best rescue depression EP phenotypes</w:t>
      </w:r>
    </w:p>
    <w:p>
      <w:r>
        <w:rPr>
          <w:rFonts w:ascii="Arial" w:cs="Arial" w:eastAsia="Arial" w:hAnsi="Arial"/>
          <w:sz w:val="24"/>
          <w:szCs w:val="24"/>
        </w:rPr>
        <w:t xml:space="preserve">ADME filtering: SwissADME, BBB-Pred for CNS drug properties</w:t>
      </w:r>
    </w:p>
    <w:p>
      <w:r>
        <w:rPr>
          <w:rFonts w:ascii="Arial" w:cs="Arial" w:eastAsia="Arial" w:hAnsi="Arial"/>
          <w:b/>
          <w:bCs/>
          <w:sz w:val="24"/>
          <w:szCs w:val="24"/>
        </w:rPr>
        <w:t xml:space="preserve">Exemplary Sub-Prompts:</w:t>
      </w:r>
    </w:p>
    <w:p>
      <w:r>
        <w:rPr>
          <w:rFonts w:ascii="Arial" w:cs="Arial" w:eastAsia="Arial" w:hAnsi="Arial"/>
          <w:sz w:val="24"/>
          <w:szCs w:val="24"/>
        </w:rPr>
        <w:t xml:space="preserve">Are there novel S6K or 4E-BP1-selective inhibitors in the Quiver atlas distinct from known tools?</w:t>
      </w:r>
    </w:p>
    <w:p>
      <w:r>
        <w:rPr>
          <w:rFonts w:ascii="Arial" w:cs="Arial" w:eastAsia="Arial" w:hAnsi="Arial"/>
          <w:sz w:val="24"/>
          <w:szCs w:val="24"/>
        </w:rPr>
        <w:t xml:space="preserve">Which compounds show EP rescue profiles consistent with selective mTOR-pathway modulation?</w:t>
      </w:r>
    </w:p>
    <w:p>
      <w:r>
        <w:rPr>
          <w:rFonts w:ascii="Arial" w:cs="Arial" w:eastAsia="Arial" w:hAnsi="Arial"/>
          <w:sz w:val="24"/>
          <w:szCs w:val="24"/>
        </w:rPr>
        <w:t xml:space="preserve">Can we identify compounds that are selective for mTORC1 over mTORC2 (or vice versa)?</w:t>
      </w:r>
    </w:p>
    <w:p>
      <w:r>
        <w:rPr>
          <w:rFonts w:ascii="Arial" w:cs="Arial" w:eastAsia="Arial" w:hAnsi="Arial"/>
          <w:sz w:val="24"/>
          <w:szCs w:val="24"/>
        </w:rPr>
        <w:t xml:space="preserve">Are there hit compounds with better selectivity and ADME than rapamycin?</w:t>
      </w:r>
    </w:p>
    <w:p>
      <w:r>
        <w:rPr>
          <w:rFonts w:ascii="Arial" w:cs="Arial" w:eastAsia="Arial" w:hAnsi="Arial"/>
          <w:sz w:val="24"/>
          <w:szCs w:val="24"/>
        </w:rPr>
        <w:t xml:space="preserve">Do any compounds show synergistic EP rescue when combined with other depression-targeted pathways?</w:t>
      </w:r>
    </w:p>
    <w:p>
      <w:r>
        <w:rPr>
          <w:rFonts w:ascii="Arial" w:cs="Arial" w:eastAsia="Arial" w:hAnsi="Arial"/>
          <w:b/>
          <w:bCs/>
          <w:sz w:val="24"/>
          <w:szCs w:val="24"/>
        </w:rPr>
        <w:t xml:space="preserve">Expected Outputs:</w:t>
      </w:r>
    </w:p>
    <w:p>
      <w:r>
        <w:rPr>
          <w:rFonts w:ascii="Arial" w:cs="Arial" w:eastAsia="Arial" w:hAnsi="Arial"/>
          <w:sz w:val="24"/>
          <w:szCs w:val="24"/>
        </w:rPr>
        <w:t xml:space="preserve">Hit compounds per target: top 10–20 compounds selective for S6K, 4E-BP1, GSK3β, ULK1 (predicted or validated)</w:t>
      </w:r>
    </w:p>
    <w:p>
      <w:r>
        <w:rPr>
          <w:rFonts w:ascii="Arial" w:cs="Arial" w:eastAsia="Arial" w:hAnsi="Arial"/>
          <w:sz w:val="24"/>
          <w:szCs w:val="24"/>
        </w:rPr>
        <w:t xml:space="preserve">EP rescue profiles: which depression features each hit compound addresses</w:t>
      </w:r>
    </w:p>
    <w:p>
      <w:r>
        <w:rPr>
          <w:rFonts w:ascii="Arial" w:cs="Arial" w:eastAsia="Arial" w:hAnsi="Arial"/>
          <w:sz w:val="24"/>
          <w:szCs w:val="24"/>
        </w:rPr>
        <w:t xml:space="preserve">Selectivity validation summary: predicted target profiles, off-target risk assessment</w:t>
      </w:r>
    </w:p>
    <w:p>
      <w:r>
        <w:rPr>
          <w:rFonts w:ascii="Arial" w:cs="Arial" w:eastAsia="Arial" w:hAnsi="Arial"/>
          <w:sz w:val="24"/>
          <w:szCs w:val="24"/>
        </w:rPr>
        <w:t xml:space="preserve">ADME summaries: solubility, permeability, metabolism, brain penetration for lead hits</w:t>
      </w:r>
    </w:p>
    <w:p>
      <w:r>
        <w:rPr>
          <w:rFonts w:ascii="Arial" w:cs="Arial" w:eastAsia="Arial" w:hAnsi="Arial"/>
          <w:sz w:val="24"/>
          <w:szCs w:val="24"/>
        </w:rPr>
        <w:t xml:space="preserve">Structural diversity analysis: chemotypes, scaffolds representing each target class</w:t>
      </w:r>
    </w:p>
    <w:p>
      <w:r>
        <w:rPr>
          <w:rFonts w:ascii="Arial" w:cs="Arial" w:eastAsia="Arial" w:hAnsi="Arial"/>
          <w:sz w:val="24"/>
          <w:szCs w:val="24"/>
        </w:rPr>
        <w:t xml:space="preserve">Lead compound selection: 2–3 candidates per target advancing to validation</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4: Mechanistic Validation via Phosphoproteomics &amp; Circuit Analysis</w:t>
      </w:r>
    </w:p>
    <w:p>
      <w:r>
        <w:rPr>
          <w:rFonts w:ascii="Arial" w:cs="Arial" w:eastAsia="Arial" w:hAnsi="Arial"/>
          <w:b/>
          <w:bCs/>
          <w:sz w:val="24"/>
          <w:szCs w:val="24"/>
        </w:rPr>
        <w:t xml:space="preserve">Purpose: </w:t>
      </w:r>
      <w:r>
        <w:rPr>
          <w:rFonts w:ascii="Arial" w:cs="Arial" w:eastAsia="Arial" w:hAnsi="Arial"/>
          <w:sz w:val="24"/>
          <w:szCs w:val="24"/>
        </w:rPr>
        <w:t xml:space="preserve">Confirm target engagement and downstream signaling modulation for lead compounds using phosphoproteomics, verify EP rescue in depression circuit models, and map mechanism-to-phenotype relationships.</w:t>
      </w:r>
    </w:p>
    <w:p>
      <w:r>
        <w:rPr>
          <w:rFonts w:ascii="Arial" w:cs="Arial" w:eastAsia="Arial" w:hAnsi="Arial"/>
          <w:b/>
          <w:bCs/>
          <w:sz w:val="24"/>
          <w:szCs w:val="24"/>
        </w:rPr>
        <w:t xml:space="preserve">Inputs:</w:t>
      </w:r>
    </w:p>
    <w:p>
      <w:r>
        <w:rPr>
          <w:rFonts w:ascii="Arial" w:cs="Arial" w:eastAsia="Arial" w:hAnsi="Arial"/>
          <w:sz w:val="24"/>
          <w:szCs w:val="24"/>
        </w:rPr>
        <w:t xml:space="preserve">Lead compounds (2–3 per target class) from Stage 3</w:t>
      </w:r>
    </w:p>
    <w:p>
      <w:r>
        <w:rPr>
          <w:rFonts w:ascii="Arial" w:cs="Arial" w:eastAsia="Arial" w:hAnsi="Arial"/>
          <w:sz w:val="24"/>
          <w:szCs w:val="24"/>
        </w:rPr>
        <w:t xml:space="preserve">Depression models: hippocampal-prefrontal slice preparations, patient-derived neurons under chronic stress conditions</w:t>
      </w:r>
    </w:p>
    <w:p>
      <w:r>
        <w:rPr>
          <w:rFonts w:ascii="Arial" w:cs="Arial" w:eastAsia="Arial" w:hAnsi="Arial"/>
          <w:sz w:val="24"/>
          <w:szCs w:val="24"/>
        </w:rPr>
        <w:t xml:space="preserve">Phosphoprotein panels: p-mTOR (S2448), p-RPTOR, p-S6K (T389), p-4E-BP1 (T37/46), p-ULK1 (S757), p-GSK3β (S9)</w:t>
      </w:r>
    </w:p>
    <w:p>
      <w:r>
        <w:rPr>
          <w:rFonts w:ascii="Arial" w:cs="Arial" w:eastAsia="Arial" w:hAnsi="Arial"/>
          <w:sz w:val="24"/>
          <w:szCs w:val="24"/>
        </w:rPr>
        <w:t xml:space="preserve">Synaptic markers: PSD-95, GluR1, synapsin, BDNF, p-CaMKII as readouts of plasticity</w:t>
      </w:r>
    </w:p>
    <w:p>
      <w:r>
        <w:rPr>
          <w:rFonts w:ascii="Arial" w:cs="Arial" w:eastAsia="Arial" w:hAnsi="Arial"/>
          <w:sz w:val="24"/>
          <w:szCs w:val="24"/>
        </w:rPr>
        <w:t xml:space="preserve">Multi-electrode arrays: circuit-level recording of depression-relevant firing patterns</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Phosphoproteomics platforms: Western blot / immunofluorescence for phosphorylation site validation</w:t>
      </w:r>
    </w:p>
    <w:p>
      <w:r>
        <w:rPr>
          <w:rFonts w:ascii="Arial" w:cs="Arial" w:eastAsia="Arial" w:hAnsi="Arial"/>
          <w:sz w:val="24"/>
          <w:szCs w:val="24"/>
        </w:rPr>
        <w:t xml:space="preserve">Quantitative phosphoproteomics: TMT mass spectrometry for pathway-wide profiling (optional)</w:t>
      </w:r>
    </w:p>
    <w:p>
      <w:r>
        <w:rPr>
          <w:rFonts w:ascii="Arial" w:cs="Arial" w:eastAsia="Arial" w:hAnsi="Arial"/>
          <w:sz w:val="24"/>
          <w:szCs w:val="24"/>
        </w:rPr>
        <w:t xml:space="preserve">Immunofluorescence / confocal imaging: subcellular localization of phosphoproteins (active vs. inactive pools)</w:t>
      </w:r>
    </w:p>
    <w:p>
      <w:r>
        <w:rPr>
          <w:rFonts w:ascii="Arial" w:cs="Arial" w:eastAsia="Arial" w:hAnsi="Arial"/>
          <w:sz w:val="24"/>
          <w:szCs w:val="24"/>
        </w:rPr>
        <w:t xml:space="preserve">Multi-electrode array (MEA) software: circuit dynamics, burst analysis, synchrony metrics</w:t>
      </w:r>
    </w:p>
    <w:p>
      <w:r>
        <w:rPr>
          <w:rFonts w:ascii="Arial" w:cs="Arial" w:eastAsia="Arial" w:hAnsi="Arial"/>
          <w:sz w:val="24"/>
          <w:szCs w:val="24"/>
        </w:rPr>
        <w:t xml:space="preserve">Systems pharmacology: dose-dependent phosphoprotein modulation and EP correlates</w:t>
      </w:r>
    </w:p>
    <w:p>
      <w:r>
        <w:rPr>
          <w:rFonts w:ascii="Arial" w:cs="Arial" w:eastAsia="Arial" w:hAnsi="Arial"/>
          <w:sz w:val="24"/>
          <w:szCs w:val="24"/>
        </w:rPr>
        <w:t xml:space="preserve">Pathway cross-talk analysis: identify compensatory pathways activated upon mTOR-target modulation</w:t>
      </w:r>
    </w:p>
    <w:p>
      <w:r>
        <w:rPr>
          <w:rFonts w:ascii="Arial" w:cs="Arial" w:eastAsia="Arial" w:hAnsi="Arial"/>
          <w:b/>
          <w:bCs/>
          <w:sz w:val="24"/>
          <w:szCs w:val="24"/>
        </w:rPr>
        <w:t xml:space="preserve">Exemplary Sub-Prompts:</w:t>
      </w:r>
    </w:p>
    <w:p>
      <w:r>
        <w:rPr>
          <w:rFonts w:ascii="Arial" w:cs="Arial" w:eastAsia="Arial" w:hAnsi="Arial"/>
          <w:sz w:val="24"/>
          <w:szCs w:val="24"/>
        </w:rPr>
        <w:t xml:space="preserve">Do lead compounds achieve predicted target selectivity (p-S6K modulation without mTOR inhibition, for example)?</w:t>
      </w:r>
    </w:p>
    <w:p>
      <w:r>
        <w:rPr>
          <w:rFonts w:ascii="Arial" w:cs="Arial" w:eastAsia="Arial" w:hAnsi="Arial"/>
          <w:sz w:val="24"/>
          <w:szCs w:val="24"/>
        </w:rPr>
        <w:t xml:space="preserve">What is the minimal target engagement needed to rescue depression EP phenotypes?</w:t>
      </w:r>
    </w:p>
    <w:p>
      <w:r>
        <w:rPr>
          <w:rFonts w:ascii="Arial" w:cs="Arial" w:eastAsia="Arial" w:hAnsi="Arial"/>
          <w:sz w:val="24"/>
          <w:szCs w:val="24"/>
        </w:rPr>
        <w:t xml:space="preserve">Are there off-target pathways (MAPK, AKT, PKC) being activated or suppressed?</w:t>
      </w:r>
    </w:p>
    <w:p>
      <w:r>
        <w:rPr>
          <w:rFonts w:ascii="Arial" w:cs="Arial" w:eastAsia="Arial" w:hAnsi="Arial"/>
          <w:sz w:val="24"/>
          <w:szCs w:val="24"/>
        </w:rPr>
        <w:t xml:space="preserve">How do phosphoprotein changes correlate with EP feature restoration (burst firing, LTP)?</w:t>
      </w:r>
    </w:p>
    <w:p>
      <w:r>
        <w:rPr>
          <w:rFonts w:ascii="Arial" w:cs="Arial" w:eastAsia="Arial" w:hAnsi="Arial"/>
          <w:sz w:val="24"/>
          <w:szCs w:val="24"/>
        </w:rPr>
        <w:t xml:space="preserve">Is there a dose-dependent relationship between target engagement and phenotype rescue?</w:t>
      </w:r>
    </w:p>
    <w:p>
      <w:r>
        <w:rPr>
          <w:rFonts w:ascii="Arial" w:cs="Arial" w:eastAsia="Arial" w:hAnsi="Arial"/>
          <w:b/>
          <w:bCs/>
          <w:sz w:val="24"/>
          <w:szCs w:val="24"/>
        </w:rPr>
        <w:t xml:space="preserve">Expected Outputs:</w:t>
      </w:r>
    </w:p>
    <w:p>
      <w:r>
        <w:rPr>
          <w:rFonts w:ascii="Arial" w:cs="Arial" w:eastAsia="Arial" w:hAnsi="Arial"/>
          <w:sz w:val="24"/>
          <w:szCs w:val="24"/>
        </w:rPr>
        <w:t xml:space="preserve">Phosphoprotein dose-response curves: p-target and downstream markers vs. compound concentration</w:t>
      </w:r>
    </w:p>
    <w:p>
      <w:r>
        <w:rPr>
          <w:rFonts w:ascii="Arial" w:cs="Arial" w:eastAsia="Arial" w:hAnsi="Arial"/>
          <w:sz w:val="24"/>
          <w:szCs w:val="24"/>
        </w:rPr>
        <w:t xml:space="preserve">Target selectivity confirmation: on-target vs. off-target phosphoprotein modulation</w:t>
      </w:r>
    </w:p>
    <w:p>
      <w:r>
        <w:rPr>
          <w:rFonts w:ascii="Arial" w:cs="Arial" w:eastAsia="Arial" w:hAnsi="Arial"/>
          <w:sz w:val="24"/>
          <w:szCs w:val="24"/>
        </w:rPr>
        <w:t xml:space="preserve">EP rescue correlation: phosphoprotein changes mapped to restored firing patterns, LTP</w:t>
      </w:r>
    </w:p>
    <w:p>
      <w:r>
        <w:rPr>
          <w:rFonts w:ascii="Arial" w:cs="Arial" w:eastAsia="Arial" w:hAnsi="Arial"/>
          <w:sz w:val="24"/>
          <w:szCs w:val="24"/>
        </w:rPr>
        <w:t xml:space="preserve">Pathway-cross-talk analysis: which compensatory pathways are engaged (and can they be blocked)?</w:t>
      </w:r>
    </w:p>
    <w:p>
      <w:r>
        <w:rPr>
          <w:rFonts w:ascii="Arial" w:cs="Arial" w:eastAsia="Arial" w:hAnsi="Arial"/>
          <w:sz w:val="24"/>
          <w:szCs w:val="24"/>
        </w:rPr>
        <w:t xml:space="preserve">Mechanistic clarity: validated target-to-phenotype mappings for each lead compound</w:t>
      </w:r>
    </w:p>
    <w:p>
      <w:r>
        <w:rPr>
          <w:rFonts w:ascii="Arial" w:cs="Arial" w:eastAsia="Arial" w:hAnsi="Arial"/>
          <w:sz w:val="24"/>
          <w:szCs w:val="24"/>
        </w:rPr>
        <w:t xml:space="preserve">Lead compound advancement: 1–2 candidates per target class selected for in vivo validation</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5: In Vivo Target Validation in Depression Animal Models</w:t>
      </w:r>
    </w:p>
    <w:p>
      <w:r>
        <w:rPr>
          <w:rFonts w:ascii="Arial" w:cs="Arial" w:eastAsia="Arial" w:hAnsi="Arial"/>
          <w:b/>
          <w:bCs/>
          <w:sz w:val="24"/>
          <w:szCs w:val="24"/>
        </w:rPr>
        <w:t xml:space="preserve">Purpose: </w:t>
      </w:r>
      <w:r>
        <w:rPr>
          <w:rFonts w:ascii="Arial" w:cs="Arial" w:eastAsia="Arial" w:hAnsi="Arial"/>
          <w:sz w:val="24"/>
          <w:szCs w:val="24"/>
        </w:rPr>
        <w:t xml:space="preserve">Test lead target-selective compounds in chronic stress, social defeat, or genetic depression models to confirm behavioral rescue and in vivo target engagement.</w:t>
      </w:r>
    </w:p>
    <w:p>
      <w:r>
        <w:rPr>
          <w:rFonts w:ascii="Arial" w:cs="Arial" w:eastAsia="Arial" w:hAnsi="Arial"/>
          <w:b/>
          <w:bCs/>
          <w:sz w:val="24"/>
          <w:szCs w:val="24"/>
        </w:rPr>
        <w:t xml:space="preserve">Inputs:</w:t>
      </w:r>
    </w:p>
    <w:p>
      <w:r>
        <w:rPr>
          <w:rFonts w:ascii="Arial" w:cs="Arial" w:eastAsia="Arial" w:hAnsi="Arial"/>
          <w:sz w:val="24"/>
          <w:szCs w:val="24"/>
        </w:rPr>
        <w:t xml:space="preserve">Lead compounds (1–2 per target) from Stage 4</w:t>
      </w:r>
    </w:p>
    <w:p>
      <w:r>
        <w:rPr>
          <w:rFonts w:ascii="Arial" w:cs="Arial" w:eastAsia="Arial" w:hAnsi="Arial"/>
          <w:sz w:val="24"/>
          <w:szCs w:val="24"/>
        </w:rPr>
        <w:t xml:space="preserve">Depression animal models: chronic unpredictable mild stress (CUMS), chronic social defeat stress (CSDS), learned helplessness (LH), genetic models (FSL, BDL rats)</w:t>
      </w:r>
    </w:p>
    <w:p>
      <w:r>
        <w:rPr>
          <w:rFonts w:ascii="Arial" w:cs="Arial" w:eastAsia="Arial" w:hAnsi="Arial"/>
          <w:sz w:val="24"/>
          <w:szCs w:val="24"/>
        </w:rPr>
        <w:t xml:space="preserve">Behavioral assays: forced swim test (FST), tail suspension test (TST), sucrose preference, social interaction, novelty exploration</w:t>
      </w:r>
    </w:p>
    <w:p>
      <w:r>
        <w:rPr>
          <w:rFonts w:ascii="Arial" w:cs="Arial" w:eastAsia="Arial" w:hAnsi="Arial"/>
          <w:sz w:val="24"/>
          <w:szCs w:val="24"/>
        </w:rPr>
        <w:t xml:space="preserve">In vivo electrophysiology: extracellular recordings in hippocampus (CA1), prefrontal cortex, ventral tegmental area</w:t>
      </w:r>
    </w:p>
    <w:p>
      <w:r>
        <w:rPr>
          <w:rFonts w:ascii="Arial" w:cs="Arial" w:eastAsia="Arial" w:hAnsi="Arial"/>
          <w:sz w:val="24"/>
          <w:szCs w:val="24"/>
        </w:rPr>
        <w:t xml:space="preserve">Biomarkers: plasma corticosterone, CSF BDNF, hippocampal pGSK3β/GSK3β ratio, phosphoproteins</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In vivo electrophysiology: tetrode or probe recordings, spike sorting (Phy), LFP analysis</w:t>
      </w:r>
    </w:p>
    <w:p>
      <w:r>
        <w:rPr>
          <w:rFonts w:ascii="Arial" w:cs="Arial" w:eastAsia="Arial" w:hAnsi="Arial"/>
          <w:sz w:val="24"/>
          <w:szCs w:val="24"/>
        </w:rPr>
        <w:t xml:space="preserve">Behavioral tracking: automated systems (ANY-maze, DeepLabCut) for objective scoring</w:t>
      </w:r>
    </w:p>
    <w:p>
      <w:r>
        <w:rPr>
          <w:rFonts w:ascii="Arial" w:cs="Arial" w:eastAsia="Arial" w:hAnsi="Arial"/>
          <w:sz w:val="24"/>
          <w:szCs w:val="24"/>
        </w:rPr>
        <w:t xml:space="preserve">Tissue collection / Western blot: rapid tissue collection post-behavior, phosphoprotein validation</w:t>
      </w:r>
    </w:p>
    <w:p>
      <w:r>
        <w:rPr>
          <w:rFonts w:ascii="Arial" w:cs="Arial" w:eastAsia="Arial" w:hAnsi="Arial"/>
          <w:sz w:val="24"/>
          <w:szCs w:val="24"/>
        </w:rPr>
        <w:t xml:space="preserve">Stress hormone measurement: HPLC or radioimmunoassay for corticosterone, ACTH</w:t>
      </w:r>
    </w:p>
    <w:p>
      <w:r>
        <w:rPr>
          <w:rFonts w:ascii="Arial" w:cs="Arial" w:eastAsia="Arial" w:hAnsi="Arial"/>
          <w:sz w:val="24"/>
          <w:szCs w:val="24"/>
        </w:rPr>
        <w:t xml:space="preserve">Imaging: in vivo fiber photometry for neural circuit activity, optogenetic interrogation of mTOR-pathway effects</w:t>
      </w:r>
    </w:p>
    <w:p>
      <w:r>
        <w:rPr>
          <w:rFonts w:ascii="Arial" w:cs="Arial" w:eastAsia="Arial" w:hAnsi="Arial"/>
          <w:sz w:val="24"/>
          <w:szCs w:val="24"/>
        </w:rPr>
        <w:t xml:space="preserve">Statistics: mixed-effects models with repeated measures, survival analysis for treatment response</w:t>
      </w:r>
    </w:p>
    <w:p>
      <w:r>
        <w:rPr>
          <w:rFonts w:ascii="Arial" w:cs="Arial" w:eastAsia="Arial" w:hAnsi="Arial"/>
          <w:b/>
          <w:bCs/>
          <w:sz w:val="24"/>
          <w:szCs w:val="24"/>
        </w:rPr>
        <w:t xml:space="preserve">Exemplary Sub-Prompts:</w:t>
      </w:r>
    </w:p>
    <w:p>
      <w:r>
        <w:rPr>
          <w:rFonts w:ascii="Arial" w:cs="Arial" w:eastAsia="Arial" w:hAnsi="Arial"/>
          <w:sz w:val="24"/>
          <w:szCs w:val="24"/>
        </w:rPr>
        <w:t xml:space="preserve">Do lead compounds produce behavioral antidepressant effects comparable to or superior to rapamycin?</w:t>
      </w:r>
    </w:p>
    <w:p>
      <w:r>
        <w:rPr>
          <w:rFonts w:ascii="Arial" w:cs="Arial" w:eastAsia="Arial" w:hAnsi="Arial"/>
          <w:sz w:val="24"/>
          <w:szCs w:val="24"/>
        </w:rPr>
        <w:t xml:space="preserve">Is there restored hippocampal burst firing and theta-gamma oscillations in treated animals?</w:t>
      </w:r>
    </w:p>
    <w:p>
      <w:r>
        <w:rPr>
          <w:rFonts w:ascii="Arial" w:cs="Arial" w:eastAsia="Arial" w:hAnsi="Arial"/>
          <w:sz w:val="24"/>
          <w:szCs w:val="24"/>
        </w:rPr>
        <w:t xml:space="preserve">Do compounds selectively modulate target phosphoproteins in brain tissue (not just cell culture)?</w:t>
      </w:r>
    </w:p>
    <w:p>
      <w:r>
        <w:rPr>
          <w:rFonts w:ascii="Arial" w:cs="Arial" w:eastAsia="Arial" w:hAnsi="Arial"/>
          <w:sz w:val="24"/>
          <w:szCs w:val="24"/>
        </w:rPr>
        <w:t xml:space="preserve">Which behavioral domains (motivation, anhedonia, cognitive) are rescued by each target?</w:t>
      </w:r>
    </w:p>
    <w:p>
      <w:r>
        <w:rPr>
          <w:rFonts w:ascii="Arial" w:cs="Arial" w:eastAsia="Arial" w:hAnsi="Arial"/>
          <w:sz w:val="24"/>
          <w:szCs w:val="24"/>
        </w:rPr>
        <w:t xml:space="preserve">Are there adverse effects (metabolic, immune, weight loss) that distinguish targets?</w:t>
      </w:r>
    </w:p>
    <w:p>
      <w:r>
        <w:rPr>
          <w:rFonts w:ascii="Arial" w:cs="Arial" w:eastAsia="Arial" w:hAnsi="Arial"/>
          <w:b/>
          <w:bCs/>
          <w:sz w:val="24"/>
          <w:szCs w:val="24"/>
        </w:rPr>
        <w:t xml:space="preserve">Expected Outputs:</w:t>
      </w:r>
    </w:p>
    <w:p>
      <w:r>
        <w:rPr>
          <w:rFonts w:ascii="Arial" w:cs="Arial" w:eastAsia="Arial" w:hAnsi="Arial"/>
          <w:sz w:val="24"/>
          <w:szCs w:val="24"/>
        </w:rPr>
        <w:t xml:space="preserve">Behavioral rescue summary: effect sizes for FST, TST, sucrose preference, social interaction</w:t>
      </w:r>
    </w:p>
    <w:p>
      <w:r>
        <w:rPr>
          <w:rFonts w:ascii="Arial" w:cs="Arial" w:eastAsia="Arial" w:hAnsi="Arial"/>
          <w:sz w:val="24"/>
          <w:szCs w:val="24"/>
        </w:rPr>
        <w:t xml:space="preserve">In vivo target engagement: phosphoprotein changes in hippocampus and prefrontal cortex</w:t>
      </w:r>
    </w:p>
    <w:p>
      <w:r>
        <w:rPr>
          <w:rFonts w:ascii="Arial" w:cs="Arial" w:eastAsia="Arial" w:hAnsi="Arial"/>
          <w:sz w:val="24"/>
          <w:szCs w:val="24"/>
        </w:rPr>
        <w:t xml:space="preserve">Circuit-level electrophysiology: burst firing frequency, theta power, gamma band activity restoration</w:t>
      </w:r>
    </w:p>
    <w:p>
      <w:r>
        <w:rPr>
          <w:rFonts w:ascii="Arial" w:cs="Arial" w:eastAsia="Arial" w:hAnsi="Arial"/>
          <w:sz w:val="24"/>
          <w:szCs w:val="24"/>
        </w:rPr>
        <w:t xml:space="preserve">Stress hormone modulation: corticosterone normalization, HPA axis recovery</w:t>
      </w:r>
    </w:p>
    <w:p>
      <w:r>
        <w:rPr>
          <w:rFonts w:ascii="Arial" w:cs="Arial" w:eastAsia="Arial" w:hAnsi="Arial"/>
          <w:sz w:val="24"/>
          <w:szCs w:val="24"/>
        </w:rPr>
        <w:t xml:space="preserve">Adverse effect monitoring: body weight, metabolic parameters, immune cell counts</w:t>
      </w:r>
    </w:p>
    <w:p>
      <w:r>
        <w:rPr>
          <w:rFonts w:ascii="Arial" w:cs="Arial" w:eastAsia="Arial" w:hAnsi="Arial"/>
          <w:sz w:val="24"/>
          <w:szCs w:val="24"/>
        </w:rPr>
        <w:t xml:space="preserve">Lead candidate selection: 1 compound per target class advancing to clinical translation</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6: Clinical Translation Strategy &amp; Combination Therapy Design</w:t>
      </w:r>
    </w:p>
    <w:p>
      <w:r>
        <w:rPr>
          <w:rFonts w:ascii="Arial" w:cs="Arial" w:eastAsia="Arial" w:hAnsi="Arial"/>
          <w:b/>
          <w:bCs/>
          <w:sz w:val="24"/>
          <w:szCs w:val="24"/>
        </w:rPr>
        <w:t xml:space="preserve">Purpose: </w:t>
      </w:r>
      <w:r>
        <w:rPr>
          <w:rFonts w:ascii="Arial" w:cs="Arial" w:eastAsia="Arial" w:hAnsi="Arial"/>
          <w:sz w:val="24"/>
          <w:szCs w:val="24"/>
        </w:rPr>
        <w:t xml:space="preserve">Design Phase I/II trial concepts for mTOR-adjacent target modulators, explore synergistic combinations, and establish biomarker-driven patient stratification for MDD trials.</w:t>
      </w:r>
    </w:p>
    <w:p>
      <w:r>
        <w:rPr>
          <w:rFonts w:ascii="Arial" w:cs="Arial" w:eastAsia="Arial" w:hAnsi="Arial"/>
          <w:b/>
          <w:bCs/>
          <w:sz w:val="24"/>
          <w:szCs w:val="24"/>
        </w:rPr>
        <w:t xml:space="preserve">Inputs:</w:t>
      </w:r>
    </w:p>
    <w:p>
      <w:r>
        <w:rPr>
          <w:rFonts w:ascii="Arial" w:cs="Arial" w:eastAsia="Arial" w:hAnsi="Arial"/>
          <w:sz w:val="24"/>
          <w:szCs w:val="24"/>
        </w:rPr>
        <w:t xml:space="preserve">Lead in-vivo-validated compounds from Stage 5</w:t>
      </w:r>
    </w:p>
    <w:p>
      <w:r>
        <w:rPr>
          <w:rFonts w:ascii="Arial" w:cs="Arial" w:eastAsia="Arial" w:hAnsi="Arial"/>
          <w:sz w:val="24"/>
          <w:szCs w:val="24"/>
        </w:rPr>
        <w:t xml:space="preserve">Clinical MDD population: DSM-5 criteria, treatment history (first-episode vs. treatment-resistant), severity (mild to severe)</w:t>
      </w:r>
    </w:p>
    <w:p>
      <w:r>
        <w:rPr>
          <w:rFonts w:ascii="Arial" w:cs="Arial" w:eastAsia="Arial" w:hAnsi="Arial"/>
          <w:sz w:val="24"/>
          <w:szCs w:val="24"/>
        </w:rPr>
        <w:t xml:space="preserve">Biomarker candidates: serum BDNF, phosphoproteins (p-S6K, p-4E-BP1, p-GSK3β), inflammatory markers (IL-6, TNF-α, CRP)</w:t>
      </w:r>
    </w:p>
    <w:p>
      <w:r>
        <w:rPr>
          <w:rFonts w:ascii="Arial" w:cs="Arial" w:eastAsia="Arial" w:hAnsi="Arial"/>
          <w:sz w:val="24"/>
          <w:szCs w:val="24"/>
        </w:rPr>
        <w:t xml:space="preserve">Combination partners: conventional SSRIs, psychotherapy (CBT), innovative approaches (psilocybin, ketamine) for synergistic potential</w:t>
      </w:r>
    </w:p>
    <w:p>
      <w:r>
        <w:rPr>
          <w:rFonts w:ascii="Arial" w:cs="Arial" w:eastAsia="Arial" w:hAnsi="Arial"/>
          <w:sz w:val="24"/>
          <w:szCs w:val="24"/>
        </w:rPr>
        <w:t xml:space="preserve">Trial design precedents: FDA guidance for depression, adaptive trials, enriched populations</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Trial design software: nQuery, PASS for sample size and power calculations</w:t>
      </w:r>
    </w:p>
    <w:p>
      <w:r>
        <w:rPr>
          <w:rFonts w:ascii="Arial" w:cs="Arial" w:eastAsia="Arial" w:hAnsi="Arial"/>
          <w:sz w:val="24"/>
          <w:szCs w:val="24"/>
        </w:rPr>
        <w:t xml:space="preserve">Biomarker integration platforms: Tempus, Recursion Pharma for stratification algorithms</w:t>
      </w:r>
    </w:p>
    <w:p>
      <w:r>
        <w:rPr>
          <w:rFonts w:ascii="Arial" w:cs="Arial" w:eastAsia="Arial" w:hAnsi="Arial"/>
          <w:sz w:val="24"/>
          <w:szCs w:val="24"/>
        </w:rPr>
        <w:t xml:space="preserve">Combination synergy prediction: target network analysis, systems pharmacology models</w:t>
      </w:r>
    </w:p>
    <w:p>
      <w:r>
        <w:rPr>
          <w:rFonts w:ascii="Arial" w:cs="Arial" w:eastAsia="Arial" w:hAnsi="Arial"/>
          <w:sz w:val="24"/>
          <w:szCs w:val="24"/>
        </w:rPr>
        <w:t xml:space="preserve">Regulatory intelligence: FDA Small Molecule Guidance, combination therapy pathways</w:t>
      </w:r>
    </w:p>
    <w:p>
      <w:r>
        <w:rPr>
          <w:rFonts w:ascii="Arial" w:cs="Arial" w:eastAsia="Arial" w:hAnsi="Arial"/>
          <w:sz w:val="24"/>
          <w:szCs w:val="24"/>
        </w:rPr>
        <w:t xml:space="preserve">Safety monitoring: pharmacovigilance platforms, DSMB templates for MDD trials</w:t>
      </w:r>
    </w:p>
    <w:p>
      <w:r>
        <w:rPr>
          <w:rFonts w:ascii="Arial" w:cs="Arial" w:eastAsia="Arial" w:hAnsi="Arial"/>
          <w:sz w:val="24"/>
          <w:szCs w:val="24"/>
        </w:rPr>
        <w:t xml:space="preserve">Patient-reported outcomes: QIDS-SR16, PHQ-9, functional scales (Sheehan Disability Scale)</w:t>
      </w:r>
    </w:p>
    <w:p>
      <w:r>
        <w:rPr>
          <w:rFonts w:ascii="Arial" w:cs="Arial" w:eastAsia="Arial" w:hAnsi="Arial"/>
          <w:b/>
          <w:bCs/>
          <w:sz w:val="24"/>
          <w:szCs w:val="24"/>
        </w:rPr>
        <w:t xml:space="preserve">Exemplary Sub-Prompts:</w:t>
      </w:r>
    </w:p>
    <w:p>
      <w:r>
        <w:rPr>
          <w:rFonts w:ascii="Arial" w:cs="Arial" w:eastAsia="Arial" w:hAnsi="Arial"/>
          <w:sz w:val="24"/>
          <w:szCs w:val="24"/>
        </w:rPr>
        <w:t xml:space="preserve">Should trials focus on first-episode MDD or treatment-resistant populations to maximize signal?</w:t>
      </w:r>
    </w:p>
    <w:p>
      <w:r>
        <w:rPr>
          <w:rFonts w:ascii="Arial" w:cs="Arial" w:eastAsia="Arial" w:hAnsi="Arial"/>
          <w:sz w:val="24"/>
          <w:szCs w:val="24"/>
        </w:rPr>
        <w:t xml:space="preserve">Which biomarkers best stratify responders (e.g., low baseline BDNF, high inflammation)?</w:t>
      </w:r>
    </w:p>
    <w:p>
      <w:r>
        <w:rPr>
          <w:rFonts w:ascii="Arial" w:cs="Arial" w:eastAsia="Arial" w:hAnsi="Arial"/>
          <w:sz w:val="24"/>
          <w:szCs w:val="24"/>
        </w:rPr>
        <w:t xml:space="preserve">What combination with conventional antidepressants or psychotherapies would be synergistic?</w:t>
      </w:r>
    </w:p>
    <w:p>
      <w:r>
        <w:rPr>
          <w:rFonts w:ascii="Arial" w:cs="Arial" w:eastAsia="Arial" w:hAnsi="Arial"/>
          <w:sz w:val="24"/>
          <w:szCs w:val="24"/>
        </w:rPr>
        <w:t xml:space="preserve">What are optimal dosing and titration schedules based on target engagement requirements?</w:t>
      </w:r>
    </w:p>
    <w:p>
      <w:r>
        <w:rPr>
          <w:rFonts w:ascii="Arial" w:cs="Arial" w:eastAsia="Arial" w:hAnsi="Arial"/>
          <w:sz w:val="24"/>
          <w:szCs w:val="24"/>
        </w:rPr>
        <w:t xml:space="preserve">Can rapid-response biomarkers (phosphoproteins, circuit imaging) predict clinical response within 1–2 weeks?</w:t>
      </w:r>
    </w:p>
    <w:p>
      <w:r>
        <w:rPr>
          <w:rFonts w:ascii="Arial" w:cs="Arial" w:eastAsia="Arial" w:hAnsi="Arial"/>
          <w:b/>
          <w:bCs/>
          <w:sz w:val="24"/>
          <w:szCs w:val="24"/>
        </w:rPr>
        <w:t xml:space="preserve">Expected Outputs:</w:t>
      </w:r>
    </w:p>
    <w:p>
      <w:r>
        <w:rPr>
          <w:rFonts w:ascii="Arial" w:cs="Arial" w:eastAsia="Arial" w:hAnsi="Arial"/>
          <w:sz w:val="24"/>
          <w:szCs w:val="24"/>
        </w:rPr>
        <w:t xml:space="preserve">Phase I/II trial protocols: dosing, patient selection, safety monitoring, biomarker collection</w:t>
      </w:r>
    </w:p>
    <w:p>
      <w:r>
        <w:rPr>
          <w:rFonts w:ascii="Arial" w:cs="Arial" w:eastAsia="Arial" w:hAnsi="Arial"/>
          <w:sz w:val="24"/>
          <w:szCs w:val="24"/>
        </w:rPr>
        <w:t xml:space="preserve">Biomarker stratification plan: serum BDNF, phosphoproteins, inflammation markers predicting response</w:t>
      </w:r>
    </w:p>
    <w:p>
      <w:r>
        <w:rPr>
          <w:rFonts w:ascii="Arial" w:cs="Arial" w:eastAsia="Arial" w:hAnsi="Arial"/>
          <w:sz w:val="24"/>
          <w:szCs w:val="24"/>
        </w:rPr>
        <w:t xml:space="preserve">Combination therapy rationales: synergistic mechanisms (e.g., mTOR + SSRI, GSK3β + psychotherapy)</w:t>
      </w:r>
    </w:p>
    <w:p>
      <w:r>
        <w:rPr>
          <w:rFonts w:ascii="Arial" w:cs="Arial" w:eastAsia="Arial" w:hAnsi="Arial"/>
          <w:sz w:val="24"/>
          <w:szCs w:val="24"/>
        </w:rPr>
        <w:t xml:space="preserve">Endpoint hierarchy: primary (MADRS, CGI-I), secondary (biomarkers, cognitive, functional), exploratory (circuit imaging)</w:t>
      </w:r>
    </w:p>
    <w:p>
      <w:r>
        <w:rPr>
          <w:rFonts w:ascii="Arial" w:cs="Arial" w:eastAsia="Arial" w:hAnsi="Arial"/>
          <w:sz w:val="24"/>
          <w:szCs w:val="24"/>
        </w:rPr>
        <w:t xml:space="preserve">Adaptive trial design: interim analysis rules, biomarker-driven arm assignments</w:t>
      </w:r>
    </w:p>
    <w:p>
      <w:r>
        <w:rPr>
          <w:rFonts w:ascii="Arial" w:cs="Arial" w:eastAsia="Arial" w:hAnsi="Arial"/>
          <w:sz w:val="24"/>
          <w:szCs w:val="24"/>
        </w:rPr>
        <w:t xml:space="preserve">Regulatory package outline: IND submission strategy, anticipated timelines, risk mitigation</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Tools &amp; Databases Summary</w:t>
      </w:r>
    </w:p>
    <w:p>
      <w:r>
        <w:rPr>
          <w:rFonts w:ascii="Arial" w:cs="Arial" w:eastAsia="Arial" w:hAnsi="Arial"/>
          <w:sz w:val="24"/>
          <w:szCs w:val="24"/>
        </w:rPr>
        <w:t xml:space="preserve">Quiver EP CRISPR Atlas: 18,000+ gene perturbations with full electrophysiology readouts and phenotypic annotations</w:t>
      </w:r>
    </w:p>
    <w:p>
      <w:r>
        <w:rPr>
          <w:rFonts w:ascii="Arial" w:cs="Arial" w:eastAsia="Arial" w:hAnsi="Arial"/>
          <w:sz w:val="24"/>
          <w:szCs w:val="24"/>
        </w:rPr>
        <w:t xml:space="preserve">Quiver Compound Library: 3,500 characterized small molecules with EP signatures and target predictions</w:t>
      </w:r>
    </w:p>
    <w:p>
      <w:r>
        <w:rPr>
          <w:rFonts w:ascii="Arial" w:cs="Arial" w:eastAsia="Arial" w:hAnsi="Arial"/>
          <w:sz w:val="24"/>
          <w:szCs w:val="24"/>
        </w:rPr>
        <w:t xml:space="preserve">Sapphire Embedding Engine: machine learning models for phenotype-space searches and compound matching</w:t>
      </w:r>
    </w:p>
    <w:p>
      <w:r>
        <w:rPr>
          <w:rFonts w:ascii="Arial" w:cs="Arial" w:eastAsia="Arial" w:hAnsi="Arial"/>
          <w:sz w:val="24"/>
          <w:szCs w:val="24"/>
        </w:rPr>
        <w:t xml:space="preserve">Target Prediction Tools: SEA (Similarity Ensemble Approach), SwissTargetPrediction, ChEMBL for target deconvolution</w:t>
      </w:r>
    </w:p>
    <w:p>
      <w:r>
        <w:rPr>
          <w:rFonts w:ascii="Arial" w:cs="Arial" w:eastAsia="Arial" w:hAnsi="Arial"/>
          <w:sz w:val="24"/>
          <w:szCs w:val="24"/>
        </w:rPr>
        <w:t xml:space="preserve">Electrophysiology Analysis: Clampfit, OpenEphys, Phy for raw data processing and feature extraction</w:t>
      </w:r>
    </w:p>
    <w:p>
      <w:r>
        <w:rPr>
          <w:rFonts w:ascii="Arial" w:cs="Arial" w:eastAsia="Arial" w:hAnsi="Arial"/>
          <w:sz w:val="24"/>
          <w:szCs w:val="24"/>
        </w:rPr>
        <w:t xml:space="preserve">Network Tools: String, Cytoscape, Reactome for pathway enrichment and mechanistic visualization</w:t>
      </w:r>
    </w:p>
    <w:p>
      <w:r>
        <w:rPr>
          <w:rFonts w:ascii="Arial" w:cs="Arial" w:eastAsia="Arial" w:hAnsi="Arial"/>
          <w:sz w:val="24"/>
          <w:szCs w:val="24"/>
        </w:rPr>
        <w:t xml:space="preserve">Statistical Frameworks: scikit-learn, XGBoost, SHAP for predictive models and feature importance</w:t>
      </w:r>
    </w:p>
    <w:p>
      <w:r>
        <w:rPr>
          <w:rFonts w:ascii="Arial" w:cs="Arial" w:eastAsia="Arial" w:hAnsi="Arial"/>
          <w:sz w:val="24"/>
          <w:szCs w:val="24"/>
        </w:rPr>
        <w:t xml:space="preserve">Bioinformatics Platforms: Scanpy, SEurat for single-cell analysis; UMAP, t-SNE for dimensionality reduction</w:t>
      </w:r>
    </w:p>
    <w:p>
      <w:r>
        <w:rPr>
          <w:rFonts w:ascii="Arial" w:cs="Arial" w:eastAsia="Arial" w:hAnsi="Arial"/>
          <w:sz w:val="24"/>
          <w:szCs w:val="24"/>
        </w:rPr>
        <w:t xml:space="preserve">ADME &amp; Safety: SwissADME, ChemAxon, BBB-Pred for drug-like property assessment</w:t>
      </w:r>
    </w:p>
    <w:p>
      <w:r>
        <w:rPr>
          <w:rFonts w:ascii="Arial" w:cs="Arial" w:eastAsia="Arial" w:hAnsi="Arial"/>
          <w:sz w:val="24"/>
          <w:szCs w:val="24"/>
        </w:rPr>
        <w:t xml:space="preserve">Clinical Trial Design: nQuery, PASS for sample size; REDCap for data management</w:t>
      </w:r>
    </w:p>
    <w:p>
      <w:r>
        <w:rPr>
          <w:rFonts w:ascii="Arial" w:cs="Arial" w:eastAsia="Arial" w:hAnsi="Arial"/>
          <w:sz w:val="24"/>
          <w:szCs w:val="24"/>
        </w:rPr>
        <w:t xml:space="preserve">Real-World Evidence: Registry data integration, patient-reported outcome platforms</w:t>
      </w:r>
    </w:p>
    <w:p>
      <w:r>
        <w:rPr>
          <w:rFonts w:ascii="Arial" w:cs="Arial" w:eastAsia="Arial" w:hAnsi="Arial"/>
          <w:sz w:val="24"/>
          <w:szCs w:val="24"/>
        </w:rPr>
        <w:t xml:space="preserve">Regulatory Intelligence: FDA guidance documents, Orange Book, clinical trial registries</w:t>
      </w:r>
    </w:p>
    <w:p>
      <w:r>
        <w:rPr>
          <w:rFonts w:ascii="Arial" w:cs="Arial" w:eastAsia="Arial" w:hAnsi="Arial"/>
          <w:sz w:val="24"/>
          <w:szCs w:val="24"/>
        </w:rPr>
        <w:t xml:space="preserve">Mass Spectrometry: Quantitative phosphoproteomics, transcriptomics for mechanistic validation</w:t>
      </w:r>
    </w:p>
    <w:p>
      <w:r>
        <w:rPr>
          <w:rFonts w:ascii="Arial" w:cs="Arial" w:eastAsia="Arial" w:hAnsi="Arial"/>
          <w:sz w:val="24"/>
          <w:szCs w:val="24"/>
        </w:rPr>
        <w:t xml:space="preserve">Imaging: fMRI, MEG, optogenetics software for circuit-level validation</w:t>
      </w:r>
    </w:p>
    <w:p>
      <w:r>
        <w:rPr>
          <w:rFonts w:ascii="Arial" w:cs="Arial" w:eastAsia="Arial" w:hAnsi="Arial"/>
          <w:sz w:val="24"/>
          <w:szCs w:val="24"/>
        </w:rPr>
        <w:t xml:space="preserve">Behavioral Automation: DeepLabCut, ANY-maze for objective animal and human behavioral phenotyping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2026-03-03T22:36:57.874Z</dcterms:created>
  <dcterms:modified xsi:type="dcterms:W3CDTF">2026-03-03T22:36:57.874Z</dcterms:modified>
</cp:coreProperties>
</file>

<file path=docProps/custom.xml><?xml version="1.0" encoding="utf-8"?>
<Properties xmlns="http://schemas.openxmlformats.org/officeDocument/2006/custom-properties" xmlns:vt="http://schemas.openxmlformats.org/officeDocument/2006/docPropsVTypes"/>
</file>