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w:t>
      </w:r>
    </w:p>
    <w:p>
      <w:r>
        <w:rPr>
          <w:rFonts w:ascii="Arial" w:cs="Arial" w:eastAsia="Arial" w:hAnsi="Arial"/>
          <w:sz w:val="24"/>
          <w:szCs w:val="24"/>
        </w:rPr>
        <w:t xml:space="preserve">"Identify rapid-onset antidepressant–like EP signatures in Quiver's compound atlas."</w:t>
      </w:r>
    </w:p>
    <w:p>
      <w:r>
        <w:rPr>
          <w:rFonts w:ascii="Arial" w:cs="Arial" w:eastAsia="Arial" w:hAnsi="Arial"/>
          <w:sz w:val="24"/>
          <w:szCs w:val="24"/>
        </w:rPr>
        <w:t xml:space="preserve">This document defines the complete Sapphire pipeline for compound discovery and validation, leveraging Quiver Bioscience's integrated electrophysiology (EP) CRISPR atlas, compound library, and functional validation workflows to systematically advance therapeutic candidates.</w:t>
      </w:r>
    </w:p>
    <w:p>
      <w:pPr>
        <w:pStyle w:val="Heading2"/>
      </w:pPr>
      <w:r>
        <w:rPr>
          <w:rFonts w:ascii="Arial" w:cs="Arial" w:eastAsia="Arial" w:hAnsi="Arial"/>
          <w:b/>
          <w:bCs/>
          <w:sz w:val="28"/>
          <w:szCs w:val="28"/>
        </w:rPr>
        <w:t xml:space="preserve">Pipeline Overview</w:t>
      </w:r>
    </w:p>
    <w:p>
      <w:r>
        <w:rPr>
          <w:rFonts w:ascii="Arial" w:cs="Arial" w:eastAsia="Arial" w:hAnsi="Arial"/>
          <w:sz w:val="24"/>
          <w:szCs w:val="24"/>
        </w:rPr>
        <w:t xml:space="preserve">This pipeline identifies compounds in Quiver's library (~3,500 molecules) that produce rapid-onset antidepressant-like electrophysiological signatures, distinct from chronic-acting conventional antidepressants. Rapid-onset therapeutics like ketamine exhibit characteristic EP fingerprints (increased AMPA/NMDA ratios, enhanced burst firing, altered synaptic plasticity kinetics) detectable within hours to days. The goal is to catalog these signatures, identify novel compounds recapitulating ketamine-like phenotypes, and discover mechanistically distinct rapid-acting compounds.</w:t>
      </w:r>
    </w:p>
    <w:p>
      <w:r>
        <w:rPr>
          <w:rFonts w:ascii="Arial" w:cs="Arial" w:eastAsia="Arial" w:hAnsi="Arial"/>
          <w:sz w:val="24"/>
          <w:szCs w:val="24"/>
        </w:rPr>
        <w:t xml:space="preserve">The workflow builds a reference database of rapid-onset EP signatures from known agents (ketamine, esketamine, psilocybin, LSD), maps Quiver compounds against this signature space, prioritizes candidates by signature similarity and novelty, and validates rapid kinetics in behavioral models. The output is a mechanistically diverse portfolio of fast-acting antidepressant leads.</w:t>
      </w:r>
    </w:p>
    <w:p>
      <w:pPr>
        <w:pStyle w:val="Heading2"/>
      </w:pPr>
      <w:r>
        <w:rPr>
          <w:rFonts w:ascii="Arial" w:cs="Arial" w:eastAsia="Arial" w:hAnsi="Arial"/>
          <w:b/>
          <w:bCs/>
          <w:sz w:val="28"/>
          <w:szCs w:val="28"/>
        </w:rPr>
        <w:t xml:space="preserve">Stage 1: Reference Rapid-Onset EP Signature Library Construction</w:t>
      </w:r>
    </w:p>
    <w:p>
      <w:r>
        <w:rPr>
          <w:rFonts w:ascii="Arial" w:cs="Arial" w:eastAsia="Arial" w:hAnsi="Arial"/>
          <w:b/>
          <w:bCs/>
          <w:sz w:val="24"/>
          <w:szCs w:val="24"/>
        </w:rPr>
        <w:t xml:space="preserve">Purpose: </w:t>
      </w:r>
      <w:r>
        <w:rPr>
          <w:rFonts w:ascii="Arial" w:cs="Arial" w:eastAsia="Arial" w:hAnsi="Arial"/>
          <w:sz w:val="24"/>
          <w:szCs w:val="24"/>
        </w:rPr>
        <w:t xml:space="preserve">Establish canonical EP signatures for known rapid-acting antidepressants (ketamine, esketamine, psilocybin, LSD) and classical chronic agents (fluoxetine, paroxetine) to create a phenotypic signature reference database.</w:t>
      </w:r>
    </w:p>
    <w:p>
      <w:r>
        <w:rPr>
          <w:rFonts w:ascii="Arial" w:cs="Arial" w:eastAsia="Arial" w:hAnsi="Arial"/>
          <w:b/>
          <w:bCs/>
          <w:sz w:val="24"/>
          <w:szCs w:val="24"/>
        </w:rPr>
        <w:t xml:space="preserve">Inputs:</w:t>
      </w:r>
    </w:p>
    <w:p>
      <w:r>
        <w:rPr>
          <w:rFonts w:ascii="Arial" w:cs="Arial" w:eastAsia="Arial" w:hAnsi="Arial"/>
          <w:sz w:val="24"/>
          <w:szCs w:val="24"/>
        </w:rPr>
        <w:t xml:space="preserve">Literature EP data: ketamine (NMDA hypofunction → AMPA hyperactivity), psilocybin (serotonin receptor signaling, plasticity enhancement), LSD (5-HT2A agonism, dendritic spine growth)</w:t>
      </w:r>
    </w:p>
    <w:p>
      <w:r>
        <w:rPr>
          <w:rFonts w:ascii="Arial" w:cs="Arial" w:eastAsia="Arial" w:hAnsi="Arial"/>
          <w:sz w:val="24"/>
          <w:szCs w:val="24"/>
        </w:rPr>
        <w:t xml:space="preserve">Primary cultures / patient neurons: treated with known agents, recorded via patch-clamp or MEA</w:t>
      </w:r>
    </w:p>
    <w:p>
      <w:r>
        <w:rPr>
          <w:rFonts w:ascii="Arial" w:cs="Arial" w:eastAsia="Arial" w:hAnsi="Arial"/>
          <w:sz w:val="24"/>
          <w:szCs w:val="24"/>
        </w:rPr>
        <w:t xml:space="preserve">Acute vs. chronic time-course data: 1 hour, 4 hours, 24 hours, 7 days post-exposure</w:t>
      </w:r>
    </w:p>
    <w:p>
      <w:r>
        <w:rPr>
          <w:rFonts w:ascii="Arial" w:cs="Arial" w:eastAsia="Arial" w:hAnsi="Arial"/>
          <w:sz w:val="24"/>
          <w:szCs w:val="24"/>
        </w:rPr>
        <w:t xml:space="preserve">EP features: resting firing rate, burst characteristics, AHP (afterhyperpolarization), AMPA/NMDA ratio, mEPSC kinetics, LTP magnitude and kinetics</w:t>
      </w:r>
    </w:p>
    <w:p>
      <w:r>
        <w:rPr>
          <w:rFonts w:ascii="Arial" w:cs="Arial" w:eastAsia="Arial" w:hAnsi="Arial"/>
          <w:sz w:val="24"/>
          <w:szCs w:val="24"/>
        </w:rPr>
        <w:t xml:space="preserve">Transcriptomic signatures: RNA-seq time-courses to correlate molecular changes with EP phenotypes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Quiver EP CRISPR Atlas: extract feature vectors for rapid-onset reference compounds</w:t>
      </w:r>
    </w:p>
    <w:p>
      <w:r>
        <w:rPr>
          <w:rFonts w:ascii="Arial" w:cs="Arial" w:eastAsia="Arial" w:hAnsi="Arial"/>
          <w:sz w:val="24"/>
          <w:szCs w:val="24"/>
        </w:rPr>
        <w:t xml:space="preserve">Patch-clamp / MEA analysis software: feature extraction from electrophysiology traces</w:t>
      </w:r>
    </w:p>
    <w:p>
      <w:r>
        <w:rPr>
          <w:rFonts w:ascii="Arial" w:cs="Arial" w:eastAsia="Arial" w:hAnsi="Arial"/>
          <w:sz w:val="24"/>
          <w:szCs w:val="24"/>
        </w:rPr>
        <w:t xml:space="preserve">Temporal alignment algorithms: align EP time-courses across conditions, identify inflection points</w:t>
      </w:r>
    </w:p>
    <w:p>
      <w:r>
        <w:rPr>
          <w:rFonts w:ascii="Arial" w:cs="Arial" w:eastAsia="Arial" w:hAnsi="Arial"/>
          <w:sz w:val="24"/>
          <w:szCs w:val="24"/>
        </w:rPr>
        <w:t xml:space="preserve">UMAP / manifold learning: visualize rapid-onset phenotype space and cluster by kinetics</w:t>
      </w:r>
    </w:p>
    <w:p>
      <w:r>
        <w:rPr>
          <w:rFonts w:ascii="Arial" w:cs="Arial" w:eastAsia="Arial" w:hAnsi="Arial"/>
          <w:sz w:val="24"/>
          <w:szCs w:val="24"/>
        </w:rPr>
        <w:t xml:space="preserve">Feature extraction (featuretools, tsfresh): automated feature engineering on time-series EP data</w:t>
      </w:r>
    </w:p>
    <w:p>
      <w:r>
        <w:rPr>
          <w:rFonts w:ascii="Arial" w:cs="Arial" w:eastAsia="Arial" w:hAnsi="Arial"/>
          <w:sz w:val="24"/>
          <w:szCs w:val="24"/>
        </w:rPr>
        <w:t xml:space="preserve">Signature comparison (cosine similarity, Euclidean distance): quantify phenotype similarity across compounds</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is the minimal EP feature set distinguishing rapid-onset from classical antidepressant signatures?</w:t>
      </w:r>
    </w:p>
    <w:p>
      <w:r>
        <w:rPr>
          <w:rFonts w:ascii="Arial" w:cs="Arial" w:eastAsia="Arial" w:hAnsi="Arial"/>
          <w:sz w:val="24"/>
          <w:szCs w:val="24"/>
        </w:rPr>
        <w:t xml:space="preserve">Which EP features appear earliest (1–4 hours) vs. later (24+ hours) post-treatment?</w:t>
      </w:r>
    </w:p>
    <w:p>
      <w:r>
        <w:rPr>
          <w:rFonts w:ascii="Arial" w:cs="Arial" w:eastAsia="Arial" w:hAnsi="Arial"/>
          <w:sz w:val="24"/>
          <w:szCs w:val="24"/>
        </w:rPr>
        <w:t xml:space="preserve">Do different rapid-acting classes (ketamine, psilocybin, LSD) share common EP signatures or are they mechanistically distinct?</w:t>
      </w:r>
    </w:p>
    <w:p>
      <w:r>
        <w:rPr>
          <w:rFonts w:ascii="Arial" w:cs="Arial" w:eastAsia="Arial" w:hAnsi="Arial"/>
          <w:sz w:val="24"/>
          <w:szCs w:val="24"/>
        </w:rPr>
        <w:t xml:space="preserve">How do rapid-onset signatures in acute settings (single dose) compare to chronic repeated dosing?</w:t>
      </w:r>
    </w:p>
    <w:p>
      <w:r>
        <w:rPr>
          <w:rFonts w:ascii="Arial" w:cs="Arial" w:eastAsia="Arial" w:hAnsi="Arial"/>
          <w:sz w:val="24"/>
          <w:szCs w:val="24"/>
        </w:rPr>
        <w:t xml:space="preserve">Which features most strongly predict behavioral antidepressant response (prediction power analysis)?</w:t>
      </w:r>
    </w:p>
    <w:p>
      <w:r>
        <w:rPr>
          <w:rFonts w:ascii="Arial" w:cs="Arial" w:eastAsia="Arial" w:hAnsi="Arial"/>
          <w:b/>
          <w:bCs/>
          <w:sz w:val="24"/>
          <w:szCs w:val="24"/>
        </w:rPr>
        <w:t xml:space="preserve">Expected Outputs:</w:t>
      </w:r>
    </w:p>
    <w:p>
      <w:r>
        <w:rPr>
          <w:rFonts w:ascii="Arial" w:cs="Arial" w:eastAsia="Arial" w:hAnsi="Arial"/>
          <w:sz w:val="24"/>
          <w:szCs w:val="24"/>
        </w:rPr>
        <w:t xml:space="preserve">Reference EP signature profiles for ketamine, esketamine, psilocybin, LSD, classic SSRIs (vectors of 50–100 features)</w:t>
      </w:r>
    </w:p>
    <w:p>
      <w:r>
        <w:rPr>
          <w:rFonts w:ascii="Arial" w:cs="Arial" w:eastAsia="Arial" w:hAnsi="Arial"/>
          <w:sz w:val="24"/>
          <w:szCs w:val="24"/>
        </w:rPr>
        <w:t xml:space="preserve">Rapid-onset signature characterization: amplitude, kinetics (onset time), feature stability over 7–14 days</w:t>
      </w:r>
    </w:p>
    <w:p>
      <w:r>
        <w:rPr>
          <w:rFonts w:ascii="Arial" w:cs="Arial" w:eastAsia="Arial" w:hAnsi="Arial"/>
          <w:sz w:val="24"/>
          <w:szCs w:val="24"/>
        </w:rPr>
        <w:t xml:space="preserve">Time-course heatmaps: feature evolution from 1 hour to 7 days for each known agent</w:t>
      </w:r>
    </w:p>
    <w:p>
      <w:r>
        <w:rPr>
          <w:rFonts w:ascii="Arial" w:cs="Arial" w:eastAsia="Arial" w:hAnsi="Arial"/>
          <w:sz w:val="24"/>
          <w:szCs w:val="24"/>
        </w:rPr>
        <w:t xml:space="preserve">Signature similarity matrix: pairwise distances showing which agents share similar phenotypes</w:t>
      </w:r>
    </w:p>
    <w:p>
      <w:r>
        <w:rPr>
          <w:rFonts w:ascii="Arial" w:cs="Arial" w:eastAsia="Arial" w:hAnsi="Arial"/>
          <w:sz w:val="24"/>
          <w:szCs w:val="24"/>
        </w:rPr>
        <w:t xml:space="preserve">Cell-type and circuit specificity: rapid-onset signatures in different neuronal populations</w:t>
      </w:r>
    </w:p>
    <w:p>
      <w:r>
        <w:rPr>
          <w:rFonts w:ascii="Arial" w:cs="Arial" w:eastAsia="Arial" w:hAnsi="Arial"/>
          <w:sz w:val="24"/>
          <w:szCs w:val="24"/>
        </w:rPr>
        <w:t xml:space="preserve">Biomarker panels: minimal feature sets (5–10) predicting rapid-onset mechanism</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2: Compound Library Rapid-Signature Matching &amp; Ketamine-Like Hit Identification</w:t>
      </w:r>
    </w:p>
    <w:p>
      <w:r>
        <w:rPr>
          <w:rFonts w:ascii="Arial" w:cs="Arial" w:eastAsia="Arial" w:hAnsi="Arial"/>
          <w:b/>
          <w:bCs/>
          <w:sz w:val="24"/>
          <w:szCs w:val="24"/>
        </w:rPr>
        <w:t xml:space="preserve">Purpose: </w:t>
      </w:r>
      <w:r>
        <w:rPr>
          <w:rFonts w:ascii="Arial" w:cs="Arial" w:eastAsia="Arial" w:hAnsi="Arial"/>
          <w:sz w:val="24"/>
          <w:szCs w:val="24"/>
        </w:rPr>
        <w:t xml:space="preserve">Query Quiver's ~3,500 compounds to identify those with EP signatures similar to known rapid-acting agents (ketamine, psilocybin analogs) or exhibiting novel rapid-onset profiles.</w:t>
      </w:r>
    </w:p>
    <w:p>
      <w:r>
        <w:rPr>
          <w:rFonts w:ascii="Arial" w:cs="Arial" w:eastAsia="Arial" w:hAnsi="Arial"/>
          <w:b/>
          <w:bCs/>
          <w:sz w:val="24"/>
          <w:szCs w:val="24"/>
        </w:rPr>
        <w:t xml:space="preserve">Inputs:</w:t>
      </w:r>
    </w:p>
    <w:p>
      <w:r>
        <w:rPr>
          <w:rFonts w:ascii="Arial" w:cs="Arial" w:eastAsia="Arial" w:hAnsi="Arial"/>
          <w:sz w:val="24"/>
          <w:szCs w:val="24"/>
        </w:rPr>
        <w:t xml:space="preserve">Rapid-onset reference signatures (from Stage 1)</w:t>
      </w:r>
    </w:p>
    <w:p>
      <w:r>
        <w:rPr>
          <w:rFonts w:ascii="Arial" w:cs="Arial" w:eastAsia="Arial" w:hAnsi="Arial"/>
          <w:sz w:val="24"/>
          <w:szCs w:val="24"/>
        </w:rPr>
        <w:t xml:space="preserve">Quiver compound atlas: ~3,500 compounds with full EP readouts, time-course available for 100–200 compounds</w:t>
      </w:r>
    </w:p>
    <w:p>
      <w:r>
        <w:rPr>
          <w:rFonts w:ascii="Arial" w:cs="Arial" w:eastAsia="Arial" w:hAnsi="Arial"/>
          <w:sz w:val="24"/>
          <w:szCs w:val="24"/>
        </w:rPr>
        <w:t xml:space="preserve">Similarity metrics: cosine distance, Wasserstein distance, learned embeddings from neural networks</w:t>
      </w:r>
    </w:p>
    <w:p>
      <w:r>
        <w:rPr>
          <w:rFonts w:ascii="Arial" w:cs="Arial" w:eastAsia="Arial" w:hAnsi="Arial"/>
          <w:sz w:val="24"/>
          <w:szCs w:val="24"/>
        </w:rPr>
        <w:t xml:space="preserve">Structural/chemical constraints: compounds that are orally bioavailable, no structural alerts for abuse potential, BBB-penetrant</w:t>
      </w:r>
    </w:p>
    <w:p>
      <w:r>
        <w:rPr>
          <w:rFonts w:ascii="Arial" w:cs="Arial" w:eastAsia="Arial" w:hAnsi="Arial"/>
          <w:sz w:val="24"/>
          <w:szCs w:val="24"/>
        </w:rPr>
        <w:t xml:space="preserve">Known targets of rapid-acting agents: NMDAR antagonists, 5-HT2A agonists, TRKB activators, mTOR pathway modulators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Compound Matching Engine: compare each Quiver compound's EP signature to rapid-onset reference set</w:t>
      </w:r>
    </w:p>
    <w:p>
      <w:r>
        <w:rPr>
          <w:rFonts w:ascii="Arial" w:cs="Arial" w:eastAsia="Arial" w:hAnsi="Arial"/>
          <w:sz w:val="24"/>
          <w:szCs w:val="24"/>
        </w:rPr>
        <w:t xml:space="preserve">Faiss / Annoy: efficient nearest-neighbor search in high-dimensional EP feature space</w:t>
      </w:r>
    </w:p>
    <w:p>
      <w:r>
        <w:rPr>
          <w:rFonts w:ascii="Arial" w:cs="Arial" w:eastAsia="Arial" w:hAnsi="Arial"/>
          <w:sz w:val="24"/>
          <w:szCs w:val="24"/>
        </w:rPr>
        <w:t xml:space="preserve">Learned embeddings: train neural network (VAE, siamese network) to map EP phenotypes and retrieve ketamine-like compounds</w:t>
      </w:r>
    </w:p>
    <w:p>
      <w:r>
        <w:rPr>
          <w:rFonts w:ascii="Arial" w:cs="Arial" w:eastAsia="Arial" w:hAnsi="Arial"/>
          <w:sz w:val="24"/>
          <w:szCs w:val="24"/>
        </w:rPr>
        <w:t xml:space="preserve">Signature scoring: custom algorithms combining similarity (to rapid reference) and novelty (distance from all known drugs)</w:t>
      </w:r>
    </w:p>
    <w:p>
      <w:r>
        <w:rPr>
          <w:rFonts w:ascii="Arial" w:cs="Arial" w:eastAsia="Arial" w:hAnsi="Arial"/>
          <w:sz w:val="24"/>
          <w:szCs w:val="24"/>
        </w:rPr>
        <w:t xml:space="preserve">Target prediction (SEA, ChEMBL): infer targets of top rapid-signature-matching compounds</w:t>
      </w:r>
    </w:p>
    <w:p>
      <w:r>
        <w:rPr>
          <w:rFonts w:ascii="Arial" w:cs="Arial" w:eastAsia="Arial" w:hAnsi="Arial"/>
          <w:sz w:val="24"/>
          <w:szCs w:val="24"/>
        </w:rPr>
        <w:t xml:space="preserve">Interactive visualization: Plotly, Shiny app to explore compound-signature matches</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compounds in the Quiver atlas match ketamine's EP signature most closely?</w:t>
      </w:r>
    </w:p>
    <w:p>
      <w:r>
        <w:rPr>
          <w:rFonts w:ascii="Arial" w:cs="Arial" w:eastAsia="Arial" w:hAnsi="Arial"/>
          <w:sz w:val="24"/>
          <w:szCs w:val="24"/>
        </w:rPr>
        <w:t xml:space="preserve">Are there novel compounds with rapid-onset signatures distinct from known agents (mechanistic novelty)?</w:t>
      </w:r>
    </w:p>
    <w:p>
      <w:r>
        <w:rPr>
          <w:rFonts w:ascii="Arial" w:cs="Arial" w:eastAsia="Arial" w:hAnsi="Arial"/>
          <w:sz w:val="24"/>
          <w:szCs w:val="24"/>
        </w:rPr>
        <w:t xml:space="preserve">Do compounds show rapid kinetics in EP changes (phenotype shift within 1–4 hours)?</w:t>
      </w:r>
    </w:p>
    <w:p>
      <w:r>
        <w:rPr>
          <w:rFonts w:ascii="Arial" w:cs="Arial" w:eastAsia="Arial" w:hAnsi="Arial"/>
          <w:sz w:val="24"/>
          <w:szCs w:val="24"/>
        </w:rPr>
        <w:t xml:space="preserve">Which structural scaffolds or targets predict rapid-onset signatures?</w:t>
      </w:r>
    </w:p>
    <w:p>
      <w:r>
        <w:rPr>
          <w:rFonts w:ascii="Arial" w:cs="Arial" w:eastAsia="Arial" w:hAnsi="Arial"/>
          <w:sz w:val="24"/>
          <w:szCs w:val="24"/>
        </w:rPr>
        <w:t xml:space="preserve">Can we identify compounds that combine rapid onset with novel mechanisms (e.g., not NMDAR-based)?</w:t>
      </w:r>
    </w:p>
    <w:p>
      <w:r>
        <w:rPr>
          <w:rFonts w:ascii="Arial" w:cs="Arial" w:eastAsia="Arial" w:hAnsi="Arial"/>
          <w:b/>
          <w:bCs/>
          <w:sz w:val="24"/>
          <w:szCs w:val="24"/>
        </w:rPr>
        <w:t xml:space="preserve">Expected Outputs:</w:t>
      </w:r>
    </w:p>
    <w:p>
      <w:r>
        <w:rPr>
          <w:rFonts w:ascii="Arial" w:cs="Arial" w:eastAsia="Arial" w:hAnsi="Arial"/>
          <w:sz w:val="24"/>
          <w:szCs w:val="24"/>
        </w:rPr>
        <w:t xml:space="preserve">Ketamine-like hit compounds: top 10–20 compounds with EP signatures closest to ketamine/esketamine</w:t>
      </w:r>
    </w:p>
    <w:p>
      <w:r>
        <w:rPr>
          <w:rFonts w:ascii="Arial" w:cs="Arial" w:eastAsia="Arial" w:hAnsi="Arial"/>
          <w:sz w:val="24"/>
          <w:szCs w:val="24"/>
        </w:rPr>
        <w:t xml:space="preserve">Mechanistically novel rapid-onset compounds: top 10 with distinct rapid signatures not matching ketamine/psilocybin</w:t>
      </w:r>
    </w:p>
    <w:p>
      <w:r>
        <w:rPr>
          <w:rFonts w:ascii="Arial" w:cs="Arial" w:eastAsia="Arial" w:hAnsi="Arial"/>
          <w:sz w:val="24"/>
          <w:szCs w:val="24"/>
        </w:rPr>
        <w:t xml:space="preserve">Signature similarity scores and confidence intervals for all top hits</w:t>
      </w:r>
    </w:p>
    <w:p>
      <w:r>
        <w:rPr>
          <w:rFonts w:ascii="Arial" w:cs="Arial" w:eastAsia="Arial" w:hAnsi="Arial"/>
          <w:sz w:val="24"/>
          <w:szCs w:val="24"/>
        </w:rPr>
        <w:t xml:space="preserve">Time-course profiles: EP signature kinetics (acute vs. sustained) for each lead compound</w:t>
      </w:r>
    </w:p>
    <w:p>
      <w:r>
        <w:rPr>
          <w:rFonts w:ascii="Arial" w:cs="Arial" w:eastAsia="Arial" w:hAnsi="Arial"/>
          <w:sz w:val="24"/>
          <w:szCs w:val="24"/>
        </w:rPr>
        <w:t xml:space="preserve">Target inference table: predicted primary targets and pathway associations</w:t>
      </w:r>
    </w:p>
    <w:p>
      <w:r>
        <w:rPr>
          <w:rFonts w:ascii="Arial" w:cs="Arial" w:eastAsia="Arial" w:hAnsi="Arial"/>
          <w:sz w:val="24"/>
          <w:szCs w:val="24"/>
        </w:rPr>
        <w:t xml:space="preserve">Ranking list: compounds prioritized by signature match + novelty + ADME favorability</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3: Mechanistic Deconvolution &amp; Target Validation</w:t>
      </w:r>
    </w:p>
    <w:p>
      <w:r>
        <w:rPr>
          <w:rFonts w:ascii="Arial" w:cs="Arial" w:eastAsia="Arial" w:hAnsi="Arial"/>
          <w:b/>
          <w:bCs/>
          <w:sz w:val="24"/>
          <w:szCs w:val="24"/>
        </w:rPr>
        <w:t xml:space="preserve">Purpose: </w:t>
      </w:r>
      <w:r>
        <w:rPr>
          <w:rFonts w:ascii="Arial" w:cs="Arial" w:eastAsia="Arial" w:hAnsi="Arial"/>
          <w:sz w:val="24"/>
          <w:szCs w:val="24"/>
        </w:rPr>
        <w:t xml:space="preserve">Identify the molecular targets and pathways driving rapid-onset EP signatures for lead compounds using CRISPR-to-phenotype mapping and biochemical validation.</w:t>
      </w:r>
    </w:p>
    <w:p>
      <w:r>
        <w:rPr>
          <w:rFonts w:ascii="Arial" w:cs="Arial" w:eastAsia="Arial" w:hAnsi="Arial"/>
          <w:b/>
          <w:bCs/>
          <w:sz w:val="24"/>
          <w:szCs w:val="24"/>
        </w:rPr>
        <w:t xml:space="preserve">Inputs:</w:t>
      </w:r>
    </w:p>
    <w:p>
      <w:r>
        <w:rPr>
          <w:rFonts w:ascii="Arial" w:cs="Arial" w:eastAsia="Arial" w:hAnsi="Arial"/>
          <w:sz w:val="24"/>
          <w:szCs w:val="24"/>
        </w:rPr>
        <w:t xml:space="preserve">Lead rapid-signature compounds (from Stage 2)</w:t>
      </w:r>
    </w:p>
    <w:p>
      <w:r>
        <w:rPr>
          <w:rFonts w:ascii="Arial" w:cs="Arial" w:eastAsia="Arial" w:hAnsi="Arial"/>
          <w:sz w:val="24"/>
          <w:szCs w:val="24"/>
        </w:rPr>
        <w:t xml:space="preserve">Quiver CRISPR atlas: 18k gene perturbations mapped to EP signatures, enabling reverse pharmacology</w:t>
      </w:r>
    </w:p>
    <w:p>
      <w:r>
        <w:rPr>
          <w:rFonts w:ascii="Arial" w:cs="Arial" w:eastAsia="Arial" w:hAnsi="Arial"/>
          <w:sz w:val="24"/>
          <w:szCs w:val="24"/>
        </w:rPr>
        <w:t xml:space="preserve">Target databases: known targets of ketamine (NMDAR, SK channel, TREK-1), psilocybin (5-HT2A, 5-HT1A, TRKB)</w:t>
      </w:r>
    </w:p>
    <w:p>
      <w:r>
        <w:rPr>
          <w:rFonts w:ascii="Arial" w:cs="Arial" w:eastAsia="Arial" w:hAnsi="Arial"/>
          <w:sz w:val="24"/>
          <w:szCs w:val="24"/>
        </w:rPr>
        <w:t xml:space="preserve">Rapid kinetics mechanistic hypotheses: acute inhibition of NMDAR → disinhibition of interneurons → burst and AMPA recruitment; 5-HT2A → IP3 signaling, ER calcium release, plasticity</w:t>
      </w:r>
    </w:p>
    <w:p>
      <w:r>
        <w:rPr>
          <w:rFonts w:ascii="Arial" w:cs="Arial" w:eastAsia="Arial" w:hAnsi="Arial"/>
          <w:sz w:val="24"/>
          <w:szCs w:val="24"/>
        </w:rPr>
        <w:t xml:space="preserve">Biochemical tools: patch-clamp with selective antagonists, CRISPR knockdowns, optogenetic circuit interrogation</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Reverse Pharmacology: match compound EP signature to gene perturbation signatures in CRISPR atlas</w:t>
      </w:r>
    </w:p>
    <w:p>
      <w:r>
        <w:rPr>
          <w:rFonts w:ascii="Arial" w:cs="Arial" w:eastAsia="Arial" w:hAnsi="Arial"/>
          <w:sz w:val="24"/>
          <w:szCs w:val="24"/>
        </w:rPr>
        <w:t xml:space="preserve">Target prediction networks: STRING, Reactome for mechanism hypothesis generation</w:t>
      </w:r>
    </w:p>
    <w:p>
      <w:r>
        <w:rPr>
          <w:rFonts w:ascii="Arial" w:cs="Arial" w:eastAsia="Arial" w:hAnsi="Arial"/>
          <w:sz w:val="24"/>
          <w:szCs w:val="24"/>
        </w:rPr>
        <w:t xml:space="preserve">CLUE / L1000: Connectivity Maps linking compounds to gene expression signatures (if available)</w:t>
      </w:r>
    </w:p>
    <w:p>
      <w:r>
        <w:rPr>
          <w:rFonts w:ascii="Arial" w:cs="Arial" w:eastAsia="Arial" w:hAnsi="Arial"/>
          <w:sz w:val="24"/>
          <w:szCs w:val="24"/>
        </w:rPr>
        <w:t xml:space="preserve">Enrichment analysis: pathway enrichment for genes whose knockdown mimics compound's EP signature</w:t>
      </w:r>
    </w:p>
    <w:p>
      <w:r>
        <w:rPr>
          <w:rFonts w:ascii="Arial" w:cs="Arial" w:eastAsia="Arial" w:hAnsi="Arial"/>
          <w:sz w:val="24"/>
          <w:szCs w:val="24"/>
        </w:rPr>
        <w:t xml:space="preserve">Mechanistic hypothesis testing: CRISPR validation of top predicted targets</w:t>
      </w:r>
    </w:p>
    <w:p>
      <w:r>
        <w:rPr>
          <w:rFonts w:ascii="Arial" w:cs="Arial" w:eastAsia="Arial" w:hAnsi="Arial"/>
          <w:sz w:val="24"/>
          <w:szCs w:val="24"/>
        </w:rPr>
        <w:t xml:space="preserve">Multi-target network visualization: Cytoscape for target-target interactions and cross-talk</w:t>
      </w:r>
    </w:p>
    <w:p>
      <w:r>
        <w:rPr>
          <w:rFonts w:ascii="Arial" w:cs="Arial" w:eastAsia="Arial" w:hAnsi="Arial"/>
          <w:b/>
          <w:bCs/>
          <w:sz w:val="24"/>
          <w:szCs w:val="24"/>
        </w:rPr>
        <w:t xml:space="preserve">Exemplary Sub-Prompts:</w:t>
      </w:r>
    </w:p>
    <w:p>
      <w:r>
        <w:rPr>
          <w:rFonts w:ascii="Arial" w:cs="Arial" w:eastAsia="Arial" w:hAnsi="Arial"/>
          <w:sz w:val="24"/>
          <w:szCs w:val="24"/>
        </w:rPr>
        <w:t xml:space="preserve">Do ketamine-like compounds show CRISPR signatures mimicking NMDAR or GRIN1/GRIN2B knockdown?</w:t>
      </w:r>
    </w:p>
    <w:p>
      <w:r>
        <w:rPr>
          <w:rFonts w:ascii="Arial" w:cs="Arial" w:eastAsia="Arial" w:hAnsi="Arial"/>
          <w:sz w:val="24"/>
          <w:szCs w:val="24"/>
        </w:rPr>
        <w:t xml:space="preserve">Which novel targets predict rapid-onset signatures in mechanistically distinct compounds?</w:t>
      </w:r>
    </w:p>
    <w:p>
      <w:r>
        <w:rPr>
          <w:rFonts w:ascii="Arial" w:cs="Arial" w:eastAsia="Arial" w:hAnsi="Arial"/>
          <w:sz w:val="24"/>
          <w:szCs w:val="24"/>
        </w:rPr>
        <w:t xml:space="preserve">Are there multi-target profiles (e.g., dual 5-HT and opioid receptor modulation) driving rapid kinetics?</w:t>
      </w:r>
    </w:p>
    <w:p>
      <w:r>
        <w:rPr>
          <w:rFonts w:ascii="Arial" w:cs="Arial" w:eastAsia="Arial" w:hAnsi="Arial"/>
          <w:sz w:val="24"/>
          <w:szCs w:val="24"/>
        </w:rPr>
        <w:t xml:space="preserve">Can we identify upstream signaling nodes (e.g., PKA, CaMKII) that rapidly propagate the antidepressant signal?</w:t>
      </w:r>
    </w:p>
    <w:p>
      <w:r>
        <w:rPr>
          <w:rFonts w:ascii="Arial" w:cs="Arial" w:eastAsia="Arial" w:hAnsi="Arial"/>
          <w:sz w:val="24"/>
          <w:szCs w:val="24"/>
        </w:rPr>
        <w:t xml:space="preserve">What is the minimal set of target(s) needed to recapitulate rapid-onset signatures?</w:t>
      </w:r>
    </w:p>
    <w:p>
      <w:r>
        <w:rPr>
          <w:rFonts w:ascii="Arial" w:cs="Arial" w:eastAsia="Arial" w:hAnsi="Arial"/>
          <w:b/>
          <w:bCs/>
          <w:sz w:val="24"/>
          <w:szCs w:val="24"/>
        </w:rPr>
        <w:t xml:space="preserve">Expected Outputs:</w:t>
      </w:r>
    </w:p>
    <w:p>
      <w:r>
        <w:rPr>
          <w:rFonts w:ascii="Arial" w:cs="Arial" w:eastAsia="Arial" w:hAnsi="Arial"/>
          <w:sz w:val="24"/>
          <w:szCs w:val="24"/>
        </w:rPr>
        <w:t xml:space="preserve">Target predictions per lead compound: primary targets ranked by confidence and mechanistic plausibility</w:t>
      </w:r>
    </w:p>
    <w:p>
      <w:r>
        <w:rPr>
          <w:rFonts w:ascii="Arial" w:cs="Arial" w:eastAsia="Arial" w:hAnsi="Arial"/>
          <w:sz w:val="24"/>
          <w:szCs w:val="24"/>
        </w:rPr>
        <w:t xml:space="preserve">CRISPR validation: genes whose knockdown phenocopies compound's EP signature (cosine similarity to signature)</w:t>
      </w:r>
    </w:p>
    <w:p>
      <w:r>
        <w:rPr>
          <w:rFonts w:ascii="Arial" w:cs="Arial" w:eastAsia="Arial" w:hAnsi="Arial"/>
          <w:sz w:val="24"/>
          <w:szCs w:val="24"/>
        </w:rPr>
        <w:t xml:space="preserve">Pathway enrichment for target sets: canonical pathways (NMDAR, serotonin, TRKB) vs. novel</w:t>
      </w:r>
    </w:p>
    <w:p>
      <w:r>
        <w:rPr>
          <w:rFonts w:ascii="Arial" w:cs="Arial" w:eastAsia="Arial" w:hAnsi="Arial"/>
          <w:sz w:val="24"/>
          <w:szCs w:val="24"/>
        </w:rPr>
        <w:t xml:space="preserve">Mechanism comparison: how do targets differ between ketamine-like vs. mechanistically novel rapid-onset compounds?</w:t>
      </w:r>
    </w:p>
    <w:p>
      <w:r>
        <w:rPr>
          <w:rFonts w:ascii="Arial" w:cs="Arial" w:eastAsia="Arial" w:hAnsi="Arial"/>
          <w:sz w:val="24"/>
          <w:szCs w:val="24"/>
        </w:rPr>
        <w:t xml:space="preserve">Multi-target profiles: compounds with 2–3 targets showing synergistic rapid-onset mechanisms</w:t>
      </w:r>
    </w:p>
    <w:p>
      <w:r>
        <w:rPr>
          <w:rFonts w:ascii="Arial" w:cs="Arial" w:eastAsia="Arial" w:hAnsi="Arial"/>
          <w:sz w:val="24"/>
          <w:szCs w:val="24"/>
        </w:rPr>
        <w:t xml:space="preserve">Therapeutic target ranking: by confidence, selectivity, and translational potential for rapid-onset antidepressants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4: Rapid Kinetics Validation in Circuit Models &amp; Time-Course Profiling</w:t>
      </w:r>
    </w:p>
    <w:p>
      <w:r>
        <w:rPr>
          <w:rFonts w:ascii="Arial" w:cs="Arial" w:eastAsia="Arial" w:hAnsi="Arial"/>
          <w:b/>
          <w:bCs/>
          <w:sz w:val="24"/>
          <w:szCs w:val="24"/>
        </w:rPr>
        <w:t xml:space="preserve">Purpose: </w:t>
      </w:r>
      <w:r>
        <w:rPr>
          <w:rFonts w:ascii="Arial" w:cs="Arial" w:eastAsia="Arial" w:hAnsi="Arial"/>
          <w:sz w:val="24"/>
          <w:szCs w:val="24"/>
        </w:rPr>
        <w:t xml:space="preserve">Experimentally confirm rapid EP signature appearance and kinetics in depression-relevant circuits and behavioral models, measuring onset speed (hours vs. days).</w:t>
      </w:r>
    </w:p>
    <w:p>
      <w:r>
        <w:rPr>
          <w:rFonts w:ascii="Arial" w:cs="Arial" w:eastAsia="Arial" w:hAnsi="Arial"/>
          <w:b/>
          <w:bCs/>
          <w:sz w:val="24"/>
          <w:szCs w:val="24"/>
        </w:rPr>
        <w:t xml:space="preserve">Inputs:</w:t>
      </w:r>
    </w:p>
    <w:p>
      <w:r>
        <w:rPr>
          <w:rFonts w:ascii="Arial" w:cs="Arial" w:eastAsia="Arial" w:hAnsi="Arial"/>
          <w:sz w:val="24"/>
          <w:szCs w:val="24"/>
        </w:rPr>
        <w:t xml:space="preserve">Lead compounds from Stage 3 (select 3–5 for detailed validation)</w:t>
      </w:r>
    </w:p>
    <w:p>
      <w:r>
        <w:rPr>
          <w:rFonts w:ascii="Arial" w:cs="Arial" w:eastAsia="Arial" w:hAnsi="Arial"/>
          <w:sz w:val="24"/>
          <w:szCs w:val="24"/>
        </w:rPr>
        <w:t xml:space="preserve">Depression models: patient-derived neurons under chronic stress, hippocampal-prefrontal slice preparations, whole-animal chronic stress models</w:t>
      </w:r>
    </w:p>
    <w:p>
      <w:r>
        <w:rPr>
          <w:rFonts w:ascii="Arial" w:cs="Arial" w:eastAsia="Arial" w:hAnsi="Arial"/>
          <w:sz w:val="24"/>
          <w:szCs w:val="24"/>
        </w:rPr>
        <w:t xml:space="preserve">Dense time-course sampling: pre-treatment, 1 hr, 4 hr, 8 hr, 24 hr, 72 hr, 7 days post-exposure</w:t>
      </w:r>
    </w:p>
    <w:p>
      <w:r>
        <w:rPr>
          <w:rFonts w:ascii="Arial" w:cs="Arial" w:eastAsia="Arial" w:hAnsi="Arial"/>
          <w:sz w:val="24"/>
          <w:szCs w:val="24"/>
        </w:rPr>
        <w:t xml:space="preserve">Multi-scale recordings: patch-clamp (whole-cell synaptic measurements), MEA (circuit dynamics), in vivo tetrodes (behavior-coupled electrophysiology)</w:t>
      </w:r>
    </w:p>
    <w:p>
      <w:r>
        <w:rPr>
          <w:rFonts w:ascii="Arial" w:cs="Arial" w:eastAsia="Arial" w:hAnsi="Arial"/>
          <w:sz w:val="24"/>
          <w:szCs w:val="24"/>
        </w:rPr>
        <w:t xml:space="preserve">Behavioral time-course: forced swim test, sucrose preference, social interaction assessed at same time-points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Multi-electrode array (MEA): circuit-level recording with high temporal resolution</w:t>
      </w:r>
    </w:p>
    <w:p>
      <w:r>
        <w:rPr>
          <w:rFonts w:ascii="Arial" w:cs="Arial" w:eastAsia="Arial" w:hAnsi="Arial"/>
          <w:sz w:val="24"/>
          <w:szCs w:val="24"/>
        </w:rPr>
        <w:t xml:space="preserve">Patch-clamp electrophysiology: acute slice whole-cell recordings at time-points</w:t>
      </w:r>
    </w:p>
    <w:p>
      <w:r>
        <w:rPr>
          <w:rFonts w:ascii="Arial" w:cs="Arial" w:eastAsia="Arial" w:hAnsi="Arial"/>
          <w:sz w:val="24"/>
          <w:szCs w:val="24"/>
        </w:rPr>
        <w:t xml:space="preserve">In vivo tetrode recording: hippocampal CA1, prefrontal cortex during free behavior</w:t>
      </w:r>
    </w:p>
    <w:p>
      <w:r>
        <w:rPr>
          <w:rFonts w:ascii="Arial" w:cs="Arial" w:eastAsia="Arial" w:hAnsi="Arial"/>
          <w:sz w:val="24"/>
          <w:szCs w:val="24"/>
        </w:rPr>
        <w:t xml:space="preserve">DeepLabCut: automated behavioral analysis from video, quantifying depression-like changes frame-by-frame</w:t>
      </w:r>
    </w:p>
    <w:p>
      <w:r>
        <w:rPr>
          <w:rFonts w:ascii="Arial" w:cs="Arial" w:eastAsia="Arial" w:hAnsi="Arial"/>
          <w:sz w:val="24"/>
          <w:szCs w:val="24"/>
        </w:rPr>
        <w:t xml:space="preserve">Time-course analysis: smoothing splines, change-point detection for identifying inflection points in kinetics</w:t>
      </w:r>
    </w:p>
    <w:p>
      <w:r>
        <w:rPr>
          <w:rFonts w:ascii="Arial" w:cs="Arial" w:eastAsia="Arial" w:hAnsi="Arial"/>
          <w:sz w:val="24"/>
          <w:szCs w:val="24"/>
        </w:rPr>
        <w:t xml:space="preserve">Correlation analysis: relate EP time-course to behavioral rescue kinetics</w:t>
      </w:r>
    </w:p>
    <w:p>
      <w:r>
        <w:rPr>
          <w:rFonts w:ascii="Arial" w:cs="Arial" w:eastAsia="Arial" w:hAnsi="Arial"/>
          <w:b/>
          <w:bCs/>
          <w:sz w:val="24"/>
          <w:szCs w:val="24"/>
        </w:rPr>
        <w:t xml:space="preserve">Exemplary Sub-Prompts:</w:t>
      </w:r>
    </w:p>
    <w:p>
      <w:r>
        <w:rPr>
          <w:rFonts w:ascii="Arial" w:cs="Arial" w:eastAsia="Arial" w:hAnsi="Arial"/>
          <w:sz w:val="24"/>
          <w:szCs w:val="24"/>
        </w:rPr>
        <w:t xml:space="preserve">When do EP signatures first appear (1–4 hours) and how quickly do they stabilize?</w:t>
      </w:r>
    </w:p>
    <w:p>
      <w:r>
        <w:rPr>
          <w:rFonts w:ascii="Arial" w:cs="Arial" w:eastAsia="Arial" w:hAnsi="Arial"/>
          <w:sz w:val="24"/>
          <w:szCs w:val="24"/>
        </w:rPr>
        <w:t xml:space="preserve">Is EP signature onset faster than behavioral rescue, or do they correlate temporally?</w:t>
      </w:r>
    </w:p>
    <w:p>
      <w:r>
        <w:rPr>
          <w:rFonts w:ascii="Arial" w:cs="Arial" w:eastAsia="Arial" w:hAnsi="Arial"/>
          <w:sz w:val="24"/>
          <w:szCs w:val="24"/>
        </w:rPr>
        <w:t xml:space="preserve">Do all EP features transition at the same rate, or are there early (rapid) vs. late (slow) features?</w:t>
      </w:r>
    </w:p>
    <w:p>
      <w:r>
        <w:rPr>
          <w:rFonts w:ascii="Arial" w:cs="Arial" w:eastAsia="Arial" w:hAnsi="Arial"/>
          <w:sz w:val="24"/>
          <w:szCs w:val="24"/>
        </w:rPr>
        <w:t xml:space="preserve">How do kinetics differ between lead compound and ketamine reference?</w:t>
      </w:r>
    </w:p>
    <w:p>
      <w:r>
        <w:rPr>
          <w:rFonts w:ascii="Arial" w:cs="Arial" w:eastAsia="Arial" w:hAnsi="Arial"/>
          <w:sz w:val="24"/>
          <w:szCs w:val="24"/>
        </w:rPr>
        <w:t xml:space="preserve">Is there a critical time-window (e.g., 4–8 hours) where EP changes predict subsequent behavioral response?</w:t>
      </w:r>
    </w:p>
    <w:p>
      <w:r>
        <w:rPr>
          <w:rFonts w:ascii="Arial" w:cs="Arial" w:eastAsia="Arial" w:hAnsi="Arial"/>
          <w:b/>
          <w:bCs/>
          <w:sz w:val="24"/>
          <w:szCs w:val="24"/>
        </w:rPr>
        <w:t xml:space="preserve">Expected Outputs:</w:t>
      </w:r>
    </w:p>
    <w:p>
      <w:r>
        <w:rPr>
          <w:rFonts w:ascii="Arial" w:cs="Arial" w:eastAsia="Arial" w:hAnsi="Arial"/>
          <w:sz w:val="24"/>
          <w:szCs w:val="24"/>
        </w:rPr>
        <w:t xml:space="preserve">EP time-course profiles: signature features vs. time for each lead compound</w:t>
      </w:r>
    </w:p>
    <w:p>
      <w:r>
        <w:rPr>
          <w:rFonts w:ascii="Arial" w:cs="Arial" w:eastAsia="Arial" w:hAnsi="Arial"/>
          <w:sz w:val="24"/>
          <w:szCs w:val="24"/>
        </w:rPr>
        <w:t xml:space="preserve">Kinetics metrics: time-to-onset, half-maximal transition time, slope (rate of change)</w:t>
      </w:r>
    </w:p>
    <w:p>
      <w:r>
        <w:rPr>
          <w:rFonts w:ascii="Arial" w:cs="Arial" w:eastAsia="Arial" w:hAnsi="Arial"/>
          <w:sz w:val="24"/>
          <w:szCs w:val="24"/>
        </w:rPr>
        <w:t xml:space="preserve">Behavioral time-course: depression-like phenotype reversal timeline, correlation with EP changes</w:t>
      </w:r>
    </w:p>
    <w:p>
      <w:r>
        <w:rPr>
          <w:rFonts w:ascii="Arial" w:cs="Arial" w:eastAsia="Arial" w:hAnsi="Arial"/>
          <w:sz w:val="24"/>
          <w:szCs w:val="24"/>
        </w:rPr>
        <w:t xml:space="preserve">Cell-type and circuit specificity: are rapid changes restricted to specific neuronal populations (e.g., excitatory vs. inhibitory)?</w:t>
      </w:r>
    </w:p>
    <w:p>
      <w:r>
        <w:rPr>
          <w:rFonts w:ascii="Arial" w:cs="Arial" w:eastAsia="Arial" w:hAnsi="Arial"/>
          <w:sz w:val="24"/>
          <w:szCs w:val="24"/>
        </w:rPr>
        <w:t xml:space="preserve">Dose-dependent kinetics: do higher concentrations accelerate EP signature appearance?</w:t>
      </w:r>
    </w:p>
    <w:p>
      <w:r>
        <w:rPr>
          <w:rFonts w:ascii="Arial" w:cs="Arial" w:eastAsia="Arial" w:hAnsi="Arial"/>
          <w:sz w:val="24"/>
          <w:szCs w:val="24"/>
        </w:rPr>
        <w:t xml:space="preserve">Lead compound ranking by rapid-onset kinetics: candidates with fastest and most sustained phenotype shifts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5: Rapid-Onset Safety &amp; Adverse Effect Profiling</w:t>
      </w:r>
    </w:p>
    <w:p>
      <w:r>
        <w:rPr>
          <w:rFonts w:ascii="Arial" w:cs="Arial" w:eastAsia="Arial" w:hAnsi="Arial"/>
          <w:b/>
          <w:bCs/>
          <w:sz w:val="24"/>
          <w:szCs w:val="24"/>
        </w:rPr>
        <w:t xml:space="preserve">Purpose: </w:t>
      </w:r>
      <w:r>
        <w:rPr>
          <w:rFonts w:ascii="Arial" w:cs="Arial" w:eastAsia="Arial" w:hAnsi="Arial"/>
          <w:sz w:val="24"/>
          <w:szCs w:val="24"/>
        </w:rPr>
        <w:t xml:space="preserve">Evaluate safety of rapid-onset compounds, specifically addressing acute and delayed adverse effects, addiction potential, and differentiating desired vs. undesired EP phenotype changes.</w:t>
      </w:r>
    </w:p>
    <w:p>
      <w:r>
        <w:rPr>
          <w:rFonts w:ascii="Arial" w:cs="Arial" w:eastAsia="Arial" w:hAnsi="Arial"/>
          <w:b/>
          <w:bCs/>
          <w:sz w:val="24"/>
          <w:szCs w:val="24"/>
        </w:rPr>
        <w:t xml:space="preserve">Inputs:</w:t>
      </w:r>
    </w:p>
    <w:p>
      <w:r>
        <w:rPr>
          <w:rFonts w:ascii="Arial" w:cs="Arial" w:eastAsia="Arial" w:hAnsi="Arial"/>
          <w:sz w:val="24"/>
          <w:szCs w:val="24"/>
        </w:rPr>
        <w:t xml:space="preserve">Lead rapid-onset compounds (from Stage 4 validation)</w:t>
      </w:r>
    </w:p>
    <w:p>
      <w:r>
        <w:rPr>
          <w:rFonts w:ascii="Arial" w:cs="Arial" w:eastAsia="Arial" w:hAnsi="Arial"/>
          <w:sz w:val="24"/>
          <w:szCs w:val="24"/>
        </w:rPr>
        <w:t xml:space="preserve">Safety assessments: cell viability, excitotoxicity markers, synaptic toxicity (dendritic spine loss, axon degeneration)</w:t>
      </w:r>
    </w:p>
    <w:p>
      <w:r>
        <w:rPr>
          <w:rFonts w:ascii="Arial" w:cs="Arial" w:eastAsia="Arial" w:hAnsi="Arial"/>
          <w:sz w:val="24"/>
          <w:szCs w:val="24"/>
        </w:rPr>
        <w:t xml:space="preserve">Addiction liability: known abuse potential of rapid-acting agents (ketamine, psilocybin, LSD), structural alerts in lead compounds</w:t>
      </w:r>
    </w:p>
    <w:p>
      <w:r>
        <w:rPr>
          <w:rFonts w:ascii="Arial" w:cs="Arial" w:eastAsia="Arial" w:hAnsi="Arial"/>
          <w:sz w:val="24"/>
          <w:szCs w:val="24"/>
        </w:rPr>
        <w:t xml:space="preserve">Drug-drug interactions: CYP450 metabolism, transporter substrates, QTc prolongation risk</w:t>
      </w:r>
    </w:p>
    <w:p>
      <w:r>
        <w:rPr>
          <w:rFonts w:ascii="Arial" w:cs="Arial" w:eastAsia="Arial" w:hAnsi="Arial"/>
          <w:sz w:val="24"/>
          <w:szCs w:val="24"/>
        </w:rPr>
        <w:t xml:space="preserve">Psychotomimetic effects: dissociation, hallucinations—rapid-onset compounds should ideally minimize these despite rapid kinetics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Cell health assays: LDH release, MTT, flow cytometry (apoptosis, autophagy markers)</w:t>
      </w:r>
    </w:p>
    <w:p>
      <w:r>
        <w:rPr>
          <w:rFonts w:ascii="Arial" w:cs="Arial" w:eastAsia="Arial" w:hAnsi="Arial"/>
          <w:sz w:val="24"/>
          <w:szCs w:val="24"/>
        </w:rPr>
        <w:t xml:space="preserve">Dendritic spine imaging: fluorescent microscopy, automated spine counting before and after treatment</w:t>
      </w:r>
    </w:p>
    <w:p>
      <w:r>
        <w:rPr>
          <w:rFonts w:ascii="Arial" w:cs="Arial" w:eastAsia="Arial" w:hAnsi="Arial"/>
          <w:sz w:val="24"/>
          <w:szCs w:val="24"/>
        </w:rPr>
        <w:t xml:space="preserve">Excitotoxicity detection: ratiometric calcium imaging, mitochondrial depolarization assays</w:t>
      </w:r>
    </w:p>
    <w:p>
      <w:r>
        <w:rPr>
          <w:rFonts w:ascii="Arial" w:cs="Arial" w:eastAsia="Arial" w:hAnsi="Arial"/>
          <w:sz w:val="24"/>
          <w:szCs w:val="24"/>
        </w:rPr>
        <w:t xml:space="preserve">Behavioral safety: open-field (locomotor hyperactivity), elevated plus maze (anxiety), startle reactivity (psychotomimetic-like)</w:t>
      </w:r>
    </w:p>
    <w:p>
      <w:r>
        <w:rPr>
          <w:rFonts w:ascii="Arial" w:cs="Arial" w:eastAsia="Arial" w:hAnsi="Arial"/>
          <w:sz w:val="24"/>
          <w:szCs w:val="24"/>
        </w:rPr>
        <w:t xml:space="preserve">Electrophysiology safety: seizure threshold, cardiac rhythm (ECG), off-target firing pattern abnormalities</w:t>
      </w:r>
    </w:p>
    <w:p>
      <w:r>
        <w:rPr>
          <w:rFonts w:ascii="Arial" w:cs="Arial" w:eastAsia="Arial" w:hAnsi="Arial"/>
          <w:sz w:val="24"/>
          <w:szCs w:val="24"/>
        </w:rPr>
        <w:t xml:space="preserve">Abuse liability assessment: self-administration paradigms (optional, advanced model systems)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rapid-onset compounds cause excitotoxicity or acute neuronal stress despite antidepressant-like EP changes?</w:t>
      </w:r>
    </w:p>
    <w:p>
      <w:r>
        <w:rPr>
          <w:rFonts w:ascii="Arial" w:cs="Arial" w:eastAsia="Arial" w:hAnsi="Arial"/>
          <w:sz w:val="24"/>
          <w:szCs w:val="24"/>
        </w:rPr>
        <w:t xml:space="preserve">Are there structural or mechanistic features predicting dissociation or psychotomimetic effects?</w:t>
      </w:r>
    </w:p>
    <w:p>
      <w:r>
        <w:rPr>
          <w:rFonts w:ascii="Arial" w:cs="Arial" w:eastAsia="Arial" w:hAnsi="Arial"/>
          <w:sz w:val="24"/>
          <w:szCs w:val="24"/>
        </w:rPr>
        <w:t xml:space="preserve">What is the reversibility of EP changes post-washout, or do rapid-onset compounds cause permanent circuit alterations?</w:t>
      </w:r>
    </w:p>
    <w:p>
      <w:r>
        <w:rPr>
          <w:rFonts w:ascii="Arial" w:cs="Arial" w:eastAsia="Arial" w:hAnsi="Arial"/>
          <w:sz w:val="24"/>
          <w:szCs w:val="24"/>
        </w:rPr>
        <w:t xml:space="preserve">Do any compounds show preferential safety profiles (rapid onset + minimal psychotomimetic risk)?</w:t>
      </w:r>
    </w:p>
    <w:p>
      <w:r>
        <w:rPr>
          <w:rFonts w:ascii="Arial" w:cs="Arial" w:eastAsia="Arial" w:hAnsi="Arial"/>
          <w:sz w:val="24"/>
          <w:szCs w:val="24"/>
        </w:rPr>
        <w:t xml:space="preserve">Can we identify rapid-onset compounds distinct from ketamine's dissociative effects?</w:t>
      </w:r>
    </w:p>
    <w:p>
      <w:r>
        <w:rPr>
          <w:rFonts w:ascii="Arial" w:cs="Arial" w:eastAsia="Arial" w:hAnsi="Arial"/>
          <w:b/>
          <w:bCs/>
          <w:sz w:val="24"/>
          <w:szCs w:val="24"/>
        </w:rPr>
        <w:t xml:space="preserve">Expected Outputs:</w:t>
      </w:r>
    </w:p>
    <w:p>
      <w:r>
        <w:rPr>
          <w:rFonts w:ascii="Arial" w:cs="Arial" w:eastAsia="Arial" w:hAnsi="Arial"/>
          <w:sz w:val="24"/>
          <w:szCs w:val="24"/>
        </w:rPr>
        <w:t xml:space="preserve">Cell viability and toxicity data: LDH release, apoptosis markers at relevant concentrations</w:t>
      </w:r>
    </w:p>
    <w:p>
      <w:r>
        <w:rPr>
          <w:rFonts w:ascii="Arial" w:cs="Arial" w:eastAsia="Arial" w:hAnsi="Arial"/>
          <w:sz w:val="24"/>
          <w:szCs w:val="24"/>
        </w:rPr>
        <w:t xml:space="preserve">Dendritic spine analysis: spine density, morphology changes, presence of excitotoxic markers</w:t>
      </w:r>
    </w:p>
    <w:p>
      <w:r>
        <w:rPr>
          <w:rFonts w:ascii="Arial" w:cs="Arial" w:eastAsia="Arial" w:hAnsi="Arial"/>
          <w:sz w:val="24"/>
          <w:szCs w:val="24"/>
        </w:rPr>
        <w:t xml:space="preserve">Behavioral safety profile: motor activity, anxiety, startle responses (comparison to ketamine)</w:t>
      </w:r>
    </w:p>
    <w:p>
      <w:r>
        <w:rPr>
          <w:rFonts w:ascii="Arial" w:cs="Arial" w:eastAsia="Arial" w:hAnsi="Arial"/>
          <w:sz w:val="24"/>
          <w:szCs w:val="24"/>
        </w:rPr>
        <w:t xml:space="preserve">Cardiac and seizure risk assessment: QTc, seizure threshold, EEG abnormalities</w:t>
      </w:r>
    </w:p>
    <w:p>
      <w:r>
        <w:rPr>
          <w:rFonts w:ascii="Arial" w:cs="Arial" w:eastAsia="Arial" w:hAnsi="Arial"/>
          <w:sz w:val="24"/>
          <w:szCs w:val="24"/>
        </w:rPr>
        <w:t xml:space="preserve">Psychotomimetic risk flags: compounds with potential for dissociation or hallucinations</w:t>
      </w:r>
    </w:p>
    <w:p>
      <w:r>
        <w:rPr>
          <w:rFonts w:ascii="Arial" w:cs="Arial" w:eastAsia="Arial" w:hAnsi="Arial"/>
          <w:sz w:val="24"/>
          <w:szCs w:val="24"/>
        </w:rPr>
        <w:t xml:space="preserve">Safety-efficacy trade-off table: rapid-onset kinetics vs. safety margin for each compound</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6: Clinical Translation &amp; Rapid-Onset Trial Design</w:t>
      </w:r>
    </w:p>
    <w:p>
      <w:r>
        <w:rPr>
          <w:rFonts w:ascii="Arial" w:cs="Arial" w:eastAsia="Arial" w:hAnsi="Arial"/>
          <w:b/>
          <w:bCs/>
          <w:sz w:val="24"/>
          <w:szCs w:val="24"/>
        </w:rPr>
        <w:t xml:space="preserve">Purpose: </w:t>
      </w:r>
      <w:r>
        <w:rPr>
          <w:rFonts w:ascii="Arial" w:cs="Arial" w:eastAsia="Arial" w:hAnsi="Arial"/>
          <w:sz w:val="24"/>
          <w:szCs w:val="24"/>
        </w:rPr>
        <w:t xml:space="preserve">Design Phase I/II trials for rapid-onset antidepressant leads, emphasizing rapid clinical response measurement (hours to 48 hours) and biomarkers tracking fast EP signature transitions.</w:t>
      </w:r>
    </w:p>
    <w:p>
      <w:r>
        <w:rPr>
          <w:rFonts w:ascii="Arial" w:cs="Arial" w:eastAsia="Arial" w:hAnsi="Arial"/>
          <w:b/>
          <w:bCs/>
          <w:sz w:val="24"/>
          <w:szCs w:val="24"/>
        </w:rPr>
        <w:t xml:space="preserve">Inputs:</w:t>
      </w:r>
    </w:p>
    <w:p>
      <w:r>
        <w:rPr>
          <w:rFonts w:ascii="Arial" w:cs="Arial" w:eastAsia="Arial" w:hAnsi="Arial"/>
          <w:sz w:val="24"/>
          <w:szCs w:val="24"/>
        </w:rPr>
        <w:t xml:space="preserve">Lead rapid-onset compounds advancing from Stage 5</w:t>
      </w:r>
    </w:p>
    <w:p>
      <w:r>
        <w:rPr>
          <w:rFonts w:ascii="Arial" w:cs="Arial" w:eastAsia="Arial" w:hAnsi="Arial"/>
          <w:sz w:val="24"/>
          <w:szCs w:val="24"/>
        </w:rPr>
        <w:t xml:space="preserve">Clinical trial endpoints: rapid-response assessment (MADRS, CGI-I at 4, 8, 24, 48, 72 hours), not just traditional Week 6 endpoints</w:t>
      </w:r>
    </w:p>
    <w:p>
      <w:r>
        <w:rPr>
          <w:rFonts w:ascii="Arial" w:cs="Arial" w:eastAsia="Arial" w:hAnsi="Arial"/>
          <w:sz w:val="24"/>
          <w:szCs w:val="24"/>
        </w:rPr>
        <w:t xml:space="preserve">Biomarker time-course: serum BDNF, inflammatory markers, neuroimaging (fMRI, MEG) at rapid time-points</w:t>
      </w:r>
    </w:p>
    <w:p>
      <w:r>
        <w:rPr>
          <w:rFonts w:ascii="Arial" w:cs="Arial" w:eastAsia="Arial" w:hAnsi="Arial"/>
          <w:sz w:val="24"/>
          <w:szCs w:val="24"/>
        </w:rPr>
        <w:t xml:space="preserve">Patient population: treatment-resistant MDD, acute suicidal ideation (rapid action may be critical)</w:t>
      </w:r>
    </w:p>
    <w:p>
      <w:r>
        <w:rPr>
          <w:rFonts w:ascii="Arial" w:cs="Arial" w:eastAsia="Arial" w:hAnsi="Arial"/>
          <w:sz w:val="24"/>
          <w:szCs w:val="24"/>
        </w:rPr>
        <w:t xml:space="preserve">Regulatory precedent: FDA guidance for rapid-acting antidepressants (ketamine products: Spravato nasal spray, IV ketamine)</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Rapid-response trial design: nQuery for fixed time-point designs (not traditional Week 6 assessment)</w:t>
      </w:r>
    </w:p>
    <w:p>
      <w:r>
        <w:rPr>
          <w:rFonts w:ascii="Arial" w:cs="Arial" w:eastAsia="Arial" w:hAnsi="Arial"/>
          <w:sz w:val="24"/>
          <w:szCs w:val="24"/>
        </w:rPr>
        <w:t xml:space="preserve">Biomarker longitudinal models: mixed-effects models for dense time-series data</w:t>
      </w:r>
    </w:p>
    <w:p>
      <w:r>
        <w:rPr>
          <w:rFonts w:ascii="Arial" w:cs="Arial" w:eastAsia="Arial" w:hAnsi="Arial"/>
          <w:sz w:val="24"/>
          <w:szCs w:val="24"/>
        </w:rPr>
        <w:t xml:space="preserve">Neuroimaging integration: fMRI, MEG platforms for rapid-onset circuit imaging</w:t>
      </w:r>
    </w:p>
    <w:p>
      <w:r>
        <w:rPr>
          <w:rFonts w:ascii="Arial" w:cs="Arial" w:eastAsia="Arial" w:hAnsi="Arial"/>
          <w:sz w:val="24"/>
          <w:szCs w:val="24"/>
        </w:rPr>
        <w:t xml:space="preserve">Real-time safety monitoring: automated dashboards for adverse event detection (dissociation, QTc prolongation)</w:t>
      </w:r>
    </w:p>
    <w:p>
      <w:r>
        <w:rPr>
          <w:rFonts w:ascii="Arial" w:cs="Arial" w:eastAsia="Arial" w:hAnsi="Arial"/>
          <w:sz w:val="24"/>
          <w:szCs w:val="24"/>
        </w:rPr>
        <w:t xml:space="preserve">Patient-reported outcomes: mobile app-based assessment of mood, dissociation, suicidality at frequent intervals</w:t>
      </w:r>
    </w:p>
    <w:p>
      <w:r>
        <w:rPr>
          <w:rFonts w:ascii="Arial" w:cs="Arial" w:eastAsia="Arial" w:hAnsi="Arial"/>
          <w:sz w:val="24"/>
          <w:szCs w:val="24"/>
        </w:rPr>
        <w:t xml:space="preserve">Adaptive trial design: interim analyses to select most rapidly acting compounds for Phase II expansion</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is the optimal Phase I dose and administration route (IV, intranasal, oral) to maximize rapid onset?</w:t>
      </w:r>
    </w:p>
    <w:p>
      <w:r>
        <w:rPr>
          <w:rFonts w:ascii="Arial" w:cs="Arial" w:eastAsia="Arial" w:hAnsi="Arial"/>
          <w:sz w:val="24"/>
          <w:szCs w:val="24"/>
        </w:rPr>
        <w:t xml:space="preserve">Should trials use inpatient hospitalization (like IV ketamine clinics) or can compounds be outpatient-safe?</w:t>
      </w:r>
    </w:p>
    <w:p>
      <w:r>
        <w:rPr>
          <w:rFonts w:ascii="Arial" w:cs="Arial" w:eastAsia="Arial" w:hAnsi="Arial"/>
          <w:sz w:val="24"/>
          <w:szCs w:val="24"/>
        </w:rPr>
        <w:t xml:space="preserve">How frequently should efficacy be assessed (hourly, 4-hourly, daily) to capture rapid response?</w:t>
      </w:r>
    </w:p>
    <w:p>
      <w:r>
        <w:rPr>
          <w:rFonts w:ascii="Arial" w:cs="Arial" w:eastAsia="Arial" w:hAnsi="Arial"/>
          <w:sz w:val="24"/>
          <w:szCs w:val="24"/>
        </w:rPr>
        <w:t xml:space="preserve">Which biomarkers best predict rapid clinical response and can guide treatment selection?</w:t>
      </w:r>
    </w:p>
    <w:p>
      <w:r>
        <w:rPr>
          <w:rFonts w:ascii="Arial" w:cs="Arial" w:eastAsia="Arial" w:hAnsi="Arial"/>
          <w:sz w:val="24"/>
          <w:szCs w:val="24"/>
        </w:rPr>
        <w:t xml:space="preserve">Can we use adaptive designs to identify patient subsets with most rapid response?</w:t>
      </w:r>
    </w:p>
    <w:p>
      <w:r>
        <w:rPr>
          <w:rFonts w:ascii="Arial" w:cs="Arial" w:eastAsia="Arial" w:hAnsi="Arial"/>
          <w:b/>
          <w:bCs/>
          <w:sz w:val="24"/>
          <w:szCs w:val="24"/>
        </w:rPr>
        <w:t xml:space="preserve">Expected Outputs:</w:t>
      </w:r>
    </w:p>
    <w:p>
      <w:r>
        <w:rPr>
          <w:rFonts w:ascii="Arial" w:cs="Arial" w:eastAsia="Arial" w:hAnsi="Arial"/>
          <w:sz w:val="24"/>
          <w:szCs w:val="24"/>
        </w:rPr>
        <w:t xml:space="preserve">Phase I protocol: single-dose escalation design, pharmacokinetics, safety monitoring, rapid MADRS assessment</w:t>
      </w:r>
    </w:p>
    <w:p>
      <w:r>
        <w:rPr>
          <w:rFonts w:ascii="Arial" w:cs="Arial" w:eastAsia="Arial" w:hAnsi="Arial"/>
          <w:sz w:val="24"/>
          <w:szCs w:val="24"/>
        </w:rPr>
        <w:t xml:space="preserve">Phase II protocol: efficacy-focused trial design with 4–72-hour assessment windows, biomarker integration</w:t>
      </w:r>
    </w:p>
    <w:p>
      <w:r>
        <w:rPr>
          <w:rFonts w:ascii="Arial" w:cs="Arial" w:eastAsia="Arial" w:hAnsi="Arial"/>
          <w:sz w:val="24"/>
          <w:szCs w:val="24"/>
        </w:rPr>
        <w:t xml:space="preserve">Biomarker qualification plan: serum BDNF, inflammation, rapid-EP-signature markers tracked on dense schedule</w:t>
      </w:r>
    </w:p>
    <w:p>
      <w:r>
        <w:rPr>
          <w:rFonts w:ascii="Arial" w:cs="Arial" w:eastAsia="Arial" w:hAnsi="Arial"/>
          <w:sz w:val="24"/>
          <w:szCs w:val="24"/>
        </w:rPr>
        <w:t xml:space="preserve">Neuroimaging strategy: fMRI/MEG endpoints capturing rapid circuit changes</w:t>
      </w:r>
    </w:p>
    <w:p>
      <w:r>
        <w:rPr>
          <w:rFonts w:ascii="Arial" w:cs="Arial" w:eastAsia="Arial" w:hAnsi="Arial"/>
          <w:sz w:val="24"/>
          <w:szCs w:val="24"/>
        </w:rPr>
        <w:t xml:space="preserve">Regulatory package outline: Breakthrough Therapy Designation strategy, expedited pathways</w:t>
      </w:r>
    </w:p>
    <w:p>
      <w:r>
        <w:rPr>
          <w:rFonts w:ascii="Arial" w:cs="Arial" w:eastAsia="Arial" w:hAnsi="Arial"/>
          <w:sz w:val="24"/>
          <w:szCs w:val="24"/>
        </w:rPr>
        <w:t xml:space="preserve">Risk mitigation: monitoring for dissociation, suicidality changes, cardiac safety across rapid time-course</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Tools &amp; Databases Summary</w:t>
      </w:r>
    </w:p>
    <w:p>
      <w:r>
        <w:rPr>
          <w:rFonts w:ascii="Arial" w:cs="Arial" w:eastAsia="Arial" w:hAnsi="Arial"/>
          <w:sz w:val="24"/>
          <w:szCs w:val="24"/>
        </w:rPr>
        <w:t xml:space="preserve">Quiver EP CRISPR Atlas: 18,000+ gene perturbations with full electrophysiology readouts and phenotypic annotations</w:t>
      </w:r>
    </w:p>
    <w:p>
      <w:r>
        <w:rPr>
          <w:rFonts w:ascii="Arial" w:cs="Arial" w:eastAsia="Arial" w:hAnsi="Arial"/>
          <w:sz w:val="24"/>
          <w:szCs w:val="24"/>
        </w:rPr>
        <w:t xml:space="preserve">Quiver Compound Library: 3,500 characterized small molecules with EP signatures and target predictions</w:t>
      </w:r>
    </w:p>
    <w:p>
      <w:r>
        <w:rPr>
          <w:rFonts w:ascii="Arial" w:cs="Arial" w:eastAsia="Arial" w:hAnsi="Arial"/>
          <w:sz w:val="24"/>
          <w:szCs w:val="24"/>
        </w:rPr>
        <w:t xml:space="preserve">Sapphire Embedding Engine: machine learning models for phenotype-space searches and compound matching</w:t>
      </w:r>
    </w:p>
    <w:p>
      <w:r>
        <w:rPr>
          <w:rFonts w:ascii="Arial" w:cs="Arial" w:eastAsia="Arial" w:hAnsi="Arial"/>
          <w:sz w:val="24"/>
          <w:szCs w:val="24"/>
        </w:rPr>
        <w:t xml:space="preserve">Target Prediction Tools: SEA (Similarity Ensemble Approach), SwissTargetPrediction, ChEMBL for target deconvolution</w:t>
      </w:r>
    </w:p>
    <w:p>
      <w:r>
        <w:rPr>
          <w:rFonts w:ascii="Arial" w:cs="Arial" w:eastAsia="Arial" w:hAnsi="Arial"/>
          <w:sz w:val="24"/>
          <w:szCs w:val="24"/>
        </w:rPr>
        <w:t xml:space="preserve">Electrophysiology Analysis: Clampfit, OpenEphys, Phy for raw data processing and feature extraction</w:t>
      </w:r>
    </w:p>
    <w:p>
      <w:r>
        <w:rPr>
          <w:rFonts w:ascii="Arial" w:cs="Arial" w:eastAsia="Arial" w:hAnsi="Arial"/>
          <w:sz w:val="24"/>
          <w:szCs w:val="24"/>
        </w:rPr>
        <w:t xml:space="preserve">Network Tools: String, Cytoscape, Reactome for pathway enrichment and mechanistic visualization</w:t>
      </w:r>
    </w:p>
    <w:p>
      <w:r>
        <w:rPr>
          <w:rFonts w:ascii="Arial" w:cs="Arial" w:eastAsia="Arial" w:hAnsi="Arial"/>
          <w:sz w:val="24"/>
          <w:szCs w:val="24"/>
        </w:rPr>
        <w:t xml:space="preserve">Statistical Frameworks: scikit-learn, XGBoost, SHAP for predictive models and feature importance</w:t>
      </w:r>
    </w:p>
    <w:p>
      <w:r>
        <w:rPr>
          <w:rFonts w:ascii="Arial" w:cs="Arial" w:eastAsia="Arial" w:hAnsi="Arial"/>
          <w:sz w:val="24"/>
          <w:szCs w:val="24"/>
        </w:rPr>
        <w:t xml:space="preserve">Bioinformatics Platforms: Scanpy, SEurat for single-cell analysis; UMAP, t-SNE for dimensionality reduction</w:t>
      </w:r>
    </w:p>
    <w:p>
      <w:r>
        <w:rPr>
          <w:rFonts w:ascii="Arial" w:cs="Arial" w:eastAsia="Arial" w:hAnsi="Arial"/>
          <w:sz w:val="24"/>
          <w:szCs w:val="24"/>
        </w:rPr>
        <w:t xml:space="preserve">ADME &amp; Safety: SwissADME, ChemAxon, BBB-Pred for drug-like property assessment</w:t>
      </w:r>
    </w:p>
    <w:p>
      <w:r>
        <w:rPr>
          <w:rFonts w:ascii="Arial" w:cs="Arial" w:eastAsia="Arial" w:hAnsi="Arial"/>
          <w:sz w:val="24"/>
          <w:szCs w:val="24"/>
        </w:rPr>
        <w:t xml:space="preserve">Clinical Trial Design: nQuery, PASS for sample size; REDCap for data management</w:t>
      </w:r>
    </w:p>
    <w:p>
      <w:r>
        <w:rPr>
          <w:rFonts w:ascii="Arial" w:cs="Arial" w:eastAsia="Arial" w:hAnsi="Arial"/>
          <w:sz w:val="24"/>
          <w:szCs w:val="24"/>
        </w:rPr>
        <w:t xml:space="preserve">Real-World Evidence: Registry data integration, patient-reported outcome platforms</w:t>
      </w:r>
    </w:p>
    <w:p>
      <w:r>
        <w:rPr>
          <w:rFonts w:ascii="Arial" w:cs="Arial" w:eastAsia="Arial" w:hAnsi="Arial"/>
          <w:sz w:val="24"/>
          <w:szCs w:val="24"/>
        </w:rPr>
        <w:t xml:space="preserve">Regulatory Intelligence: FDA guidance documents, Orange Book, clinical trial registries</w:t>
      </w:r>
    </w:p>
    <w:p>
      <w:r>
        <w:rPr>
          <w:rFonts w:ascii="Arial" w:cs="Arial" w:eastAsia="Arial" w:hAnsi="Arial"/>
          <w:sz w:val="24"/>
          <w:szCs w:val="24"/>
        </w:rPr>
        <w:t xml:space="preserve">Mass Spectrometry: Quantitative phosphoproteomics, transcriptomics for mechanistic validation</w:t>
      </w:r>
    </w:p>
    <w:p>
      <w:r>
        <w:rPr>
          <w:rFonts w:ascii="Arial" w:cs="Arial" w:eastAsia="Arial" w:hAnsi="Arial"/>
          <w:sz w:val="24"/>
          <w:szCs w:val="24"/>
        </w:rPr>
        <w:t xml:space="preserve">Imaging: fMRI, MEG, optogenetics software for circuit-level validation</w:t>
      </w:r>
    </w:p>
    <w:p>
      <w:r>
        <w:rPr>
          <w:rFonts w:ascii="Arial" w:cs="Arial" w:eastAsia="Arial" w:hAnsi="Arial"/>
          <w:sz w:val="24"/>
          <w:szCs w:val="24"/>
        </w:rPr>
        <w:t xml:space="preserve">Behavioral Automation: DeepLabCut, ANY-maze for objective animal and human behavioral phenotyping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2026-03-03T22:36:57.887Z</dcterms:created>
  <dcterms:modified xsi:type="dcterms:W3CDTF">2026-03-03T22:36:57.887Z</dcterms:modified>
</cp:coreProperties>
</file>

<file path=docProps/custom.xml><?xml version="1.0" encoding="utf-8"?>
<Properties xmlns="http://schemas.openxmlformats.org/officeDocument/2006/custom-properties" xmlns:vt="http://schemas.openxmlformats.org/officeDocument/2006/docPropsVTypes"/>
</file>