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w:t>
      </w:r>
    </w:p>
    <w:p>
      <w:pPr>
        <w:pStyle w:val="Heading2"/>
      </w:pPr>
      <w:r>
        <w:rPr>
          <w:rFonts w:ascii="Arial" w:cs="Arial" w:eastAsia="Arial" w:hAnsi="Arial"/>
          <w:b/>
          <w:bCs/>
          <w:sz w:val="28"/>
          <w:szCs w:val="28"/>
        </w:rPr>
        <w:t xml:space="preserve">Prompt</w:t>
      </w:r>
    </w:p>
    <w:p>
      <w:r>
        <w:rPr>
          <w:rFonts w:ascii="Arial" w:cs="Arial" w:eastAsia="Arial" w:hAnsi="Arial"/>
          <w:sz w:val="24"/>
          <w:szCs w:val="24"/>
        </w:rPr>
        <w:t xml:space="preserve">"Find drugs rescuing chronic stress–induced EP phenotypes."</w:t>
      </w:r>
    </w:p>
    <w:p>
      <w:r>
        <w:rPr>
          <w:rFonts w:ascii="Arial" w:cs="Arial" w:eastAsia="Arial" w:hAnsi="Arial"/>
          <w:sz w:val="24"/>
          <w:szCs w:val="24"/>
        </w:rPr>
        <w:t xml:space="preserve">This document defines the complete Sapphire pipeline for compound discovery and validation, leveraging Quiver Bioscience's integrated electrophysiology (EP) CRISPR atlas, compound library, and functional validation workflows to systematically advance therapeutic candidates.</w:t>
      </w:r>
    </w:p>
    <w:p>
      <w:pPr>
        <w:pStyle w:val="Heading2"/>
      </w:pPr>
      <w:r>
        <w:rPr>
          <w:rFonts w:ascii="Arial" w:cs="Arial" w:eastAsia="Arial" w:hAnsi="Arial"/>
          <w:b/>
          <w:bCs/>
          <w:sz w:val="28"/>
          <w:szCs w:val="28"/>
        </w:rPr>
        <w:t xml:space="preserve">Pipeline Overview</w:t>
      </w:r>
    </w:p>
    <w:p>
      <w:r>
        <w:rPr>
          <w:rFonts w:ascii="Arial" w:cs="Arial" w:eastAsia="Arial" w:hAnsi="Arial"/>
          <w:sz w:val="24"/>
          <w:szCs w:val="24"/>
        </w:rPr>
        <w:t xml:space="preserve">This pipeline identifies compounds from Quiver's library that rescue the electrophysiological phenotypes induced by chronic stress exposure, a hallmark of stress-related psychiatric disorders (depression, anxiety, PTSD). Chronic stress produces characteristic neuronal dysfunction: reduced long-term potentiation (LTP), altered intrinsic excitability, reduced burst firing in reward circuits, elevated fear-circuit activity, and dysfunctional synaptic plasticity. The goal is to catalog stress-induced EP signatures, screen compounds for rescue, and validate mechanistic pathways (HPA axis, glucocorticoid signaling, BDNF, resilience factors).</w:t>
      </w:r>
    </w:p>
    <w:p>
      <w:r>
        <w:rPr>
          <w:rFonts w:ascii="Arial" w:cs="Arial" w:eastAsia="Arial" w:hAnsi="Arial"/>
          <w:sz w:val="24"/>
          <w:szCs w:val="24"/>
        </w:rPr>
        <w:t xml:space="preserve">The workflow builds stress-phenotype models, maps Quiver compounds against stress EP signatures, prioritizes rescue candidates, deconvolutes mechanisms via CRISPR reverse pharmacology, and validates in behavioral stress-resilience models. The output is a portfolio of compounds that restore stress-resilient neural phenotypes and restore behavioral coping.</w:t>
      </w:r>
    </w:p>
    <w:p>
      <w:pPr>
        <w:pStyle w:val="Heading2"/>
      </w:pPr>
      <w:r>
        <w:rPr>
          <w:rFonts w:ascii="Arial" w:cs="Arial" w:eastAsia="Arial" w:hAnsi="Arial"/>
          <w:b/>
          <w:bCs/>
          <w:sz w:val="28"/>
          <w:szCs w:val="28"/>
        </w:rPr>
        <w:t xml:space="preserve">Stage 1: Chronic Stress EP Phenotyping &amp; Resilience Factor Definition</w:t>
      </w:r>
    </w:p>
    <w:p>
      <w:r>
        <w:rPr>
          <w:rFonts w:ascii="Arial" w:cs="Arial" w:eastAsia="Arial" w:hAnsi="Arial"/>
          <w:b/>
          <w:bCs/>
          <w:sz w:val="24"/>
          <w:szCs w:val="24"/>
        </w:rPr>
        <w:t xml:space="preserve">Purpose: </w:t>
      </w:r>
      <w:r>
        <w:rPr>
          <w:rFonts w:ascii="Arial" w:cs="Arial" w:eastAsia="Arial" w:hAnsi="Arial"/>
          <w:sz w:val="24"/>
          <w:szCs w:val="24"/>
        </w:rPr>
        <w:t xml:space="preserve">Establish the canonical EP signatures of chronic stress-induced neuronal dysfunction and identify resilience-associated protective EP markers using patient and animal-derived models.</w:t>
      </w:r>
    </w:p>
    <w:p>
      <w:r>
        <w:rPr>
          <w:rFonts w:ascii="Arial" w:cs="Arial" w:eastAsia="Arial" w:hAnsi="Arial"/>
          <w:b/>
          <w:bCs/>
          <w:sz w:val="24"/>
          <w:szCs w:val="24"/>
        </w:rPr>
        <w:t xml:space="preserve">Inputs:</w:t>
      </w:r>
    </w:p>
    <w:p>
      <w:r>
        <w:rPr>
          <w:rFonts w:ascii="Arial" w:cs="Arial" w:eastAsia="Arial" w:hAnsi="Arial"/>
          <w:sz w:val="24"/>
          <w:szCs w:val="24"/>
        </w:rPr>
        <w:t xml:space="preserve">Chronic stress models: chronic unpredictable mild stress (CUMS), chronic social defeat stress (CSDS), maternal separation, prenatal stress in rodent models</w:t>
      </w:r>
    </w:p>
    <w:p>
      <w:r>
        <w:rPr>
          <w:rFonts w:ascii="Arial" w:cs="Arial" w:eastAsia="Arial" w:hAnsi="Arial"/>
          <w:sz w:val="24"/>
          <w:szCs w:val="24"/>
        </w:rPr>
        <w:t xml:space="preserve">Patient samples: postmortem tissue (prefrontal cortex, hippocampus) from depression/PTSD cases, stratified by stress exposure and resilience</w:t>
      </w:r>
    </w:p>
    <w:p>
      <w:r>
        <w:rPr>
          <w:rFonts w:ascii="Arial" w:cs="Arial" w:eastAsia="Arial" w:hAnsi="Arial"/>
          <w:sz w:val="24"/>
          <w:szCs w:val="24"/>
        </w:rPr>
        <w:t xml:space="preserve">Patient-derived neurons: iPSC-differentiated neurons from stress-resilient vs. vulnerable individuals</w:t>
      </w:r>
    </w:p>
    <w:p>
      <w:r>
        <w:rPr>
          <w:rFonts w:ascii="Arial" w:cs="Arial" w:eastAsia="Arial" w:hAnsi="Arial"/>
          <w:sz w:val="24"/>
          <w:szCs w:val="24"/>
        </w:rPr>
        <w:t xml:space="preserve">EP measurements: whole-cell patch-clamp, multi-electrode array (MEA), in vivo tetrode recordings during stress and recovery phases</w:t>
      </w:r>
    </w:p>
    <w:p>
      <w:r>
        <w:rPr>
          <w:rFonts w:ascii="Arial" w:cs="Arial" w:eastAsia="Arial" w:hAnsi="Arial"/>
          <w:sz w:val="24"/>
          <w:szCs w:val="24"/>
        </w:rPr>
        <w:t xml:space="preserve">EP phenotypes: LTP magnitude (E-LTP and L-LTP), LTD, resting firing rate, burst probability, AHP duration, dendritic integration, theta/gamma oscillations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Quiver EP CRISPR Atlas: extract stress-sensitive and resilience-related EP features</w:t>
      </w:r>
    </w:p>
    <w:p>
      <w:r>
        <w:rPr>
          <w:rFonts w:ascii="Arial" w:cs="Arial" w:eastAsia="Arial" w:hAnsi="Arial"/>
          <w:sz w:val="24"/>
          <w:szCs w:val="24"/>
        </w:rPr>
        <w:t xml:space="preserve">Acute slice electrophysiology: whole-cell recording from neurons in stress vs. control animals</w:t>
      </w:r>
    </w:p>
    <w:p>
      <w:r>
        <w:rPr>
          <w:rFonts w:ascii="Arial" w:cs="Arial" w:eastAsia="Arial" w:hAnsi="Arial"/>
          <w:sz w:val="24"/>
          <w:szCs w:val="24"/>
        </w:rPr>
        <w:t xml:space="preserve">MEA analysis: circuit-level plasticity (network bursting, synchrony changes post-stress)</w:t>
      </w:r>
    </w:p>
    <w:p>
      <w:r>
        <w:rPr>
          <w:rFonts w:ascii="Arial" w:cs="Arial" w:eastAsia="Arial" w:hAnsi="Arial"/>
          <w:sz w:val="24"/>
          <w:szCs w:val="24"/>
        </w:rPr>
        <w:t xml:space="preserve">In vivo tetrode analysis: hippocampal and prefrontal recording during stress exposure and recovery</w:t>
      </w:r>
    </w:p>
    <w:p>
      <w:r>
        <w:rPr>
          <w:rFonts w:ascii="Arial" w:cs="Arial" w:eastAsia="Arial" w:hAnsi="Arial"/>
          <w:sz w:val="24"/>
          <w:szCs w:val="24"/>
        </w:rPr>
        <w:t xml:space="preserve">UMAP / PCA: phenotype space visualization showing stress-induced drift and resilience-associated trajectories</w:t>
      </w:r>
    </w:p>
    <w:p>
      <w:r>
        <w:rPr>
          <w:rFonts w:ascii="Arial" w:cs="Arial" w:eastAsia="Arial" w:hAnsi="Arial"/>
          <w:sz w:val="24"/>
          <w:szCs w:val="24"/>
        </w:rPr>
        <w:t xml:space="preserve">Temporal trajectory analysis: identify early (acute stress) vs. late (chronic stress) EP changes</w:t>
      </w:r>
    </w:p>
    <w:p>
      <w:r>
        <w:rPr>
          <w:rFonts w:ascii="Arial" w:cs="Arial" w:eastAsia="Arial" w:hAnsi="Arial"/>
          <w:b/>
          <w:bCs/>
          <w:sz w:val="24"/>
          <w:szCs w:val="24"/>
        </w:rPr>
        <w:t xml:space="preserve">Exemplary Sub-Prompts:</w:t>
      </w:r>
    </w:p>
    <w:p>
      <w:r>
        <w:rPr>
          <w:rFonts w:ascii="Arial" w:cs="Arial" w:eastAsia="Arial" w:hAnsi="Arial"/>
          <w:sz w:val="24"/>
          <w:szCs w:val="24"/>
        </w:rPr>
        <w:t xml:space="preserve">What are the most reliable EP markers of chronic stress (LTP impairment, firing rate changes, plasticity deficits)?</w:t>
      </w:r>
    </w:p>
    <w:p>
      <w:r>
        <w:rPr>
          <w:rFonts w:ascii="Arial" w:cs="Arial" w:eastAsia="Arial" w:hAnsi="Arial"/>
          <w:sz w:val="24"/>
          <w:szCs w:val="24"/>
        </w:rPr>
        <w:t xml:space="preserve">Do stress phenotypes differ across brain regions (hippocampus vs. prefrontal vs. amygdala)?</w:t>
      </w:r>
    </w:p>
    <w:p>
      <w:r>
        <w:rPr>
          <w:rFonts w:ascii="Arial" w:cs="Arial" w:eastAsia="Arial" w:hAnsi="Arial"/>
          <w:sz w:val="24"/>
          <w:szCs w:val="24"/>
        </w:rPr>
        <w:t xml:space="preserve">Which EP features correlate with resilience—remaining relatively unchanged despite stress exposure?</w:t>
      </w:r>
    </w:p>
    <w:p>
      <w:r>
        <w:rPr>
          <w:rFonts w:ascii="Arial" w:cs="Arial" w:eastAsia="Arial" w:hAnsi="Arial"/>
          <w:sz w:val="24"/>
          <w:szCs w:val="24"/>
        </w:rPr>
        <w:t xml:space="preserve">Are there cell-type-specific stress responses (pyramidal vs. interneurons, dopaminergic vs. glutamatergic)?</w:t>
      </w:r>
    </w:p>
    <w:p>
      <w:r>
        <w:rPr>
          <w:rFonts w:ascii="Arial" w:cs="Arial" w:eastAsia="Arial" w:hAnsi="Arial"/>
          <w:sz w:val="24"/>
          <w:szCs w:val="24"/>
        </w:rPr>
        <w:t xml:space="preserve">How do acute (24-hr) stress EP changes evolve into chronic (weeks) maladaptive phenotypes?</w:t>
      </w:r>
    </w:p>
    <w:p>
      <w:r>
        <w:rPr>
          <w:rFonts w:ascii="Arial" w:cs="Arial" w:eastAsia="Arial" w:hAnsi="Arial"/>
          <w:b/>
          <w:bCs/>
          <w:sz w:val="24"/>
          <w:szCs w:val="24"/>
        </w:rPr>
        <w:t xml:space="preserve">Expected Outputs:</w:t>
      </w:r>
    </w:p>
    <w:p>
      <w:r>
        <w:rPr>
          <w:rFonts w:ascii="Arial" w:cs="Arial" w:eastAsia="Arial" w:hAnsi="Arial"/>
          <w:sz w:val="24"/>
          <w:szCs w:val="24"/>
        </w:rPr>
        <w:t xml:space="preserve">Chronic stress EP phenotype signature: vector of 50–100 features showing LTP impairment, altered firing, plasticity deficits</w:t>
      </w:r>
    </w:p>
    <w:p>
      <w:r>
        <w:rPr>
          <w:rFonts w:ascii="Arial" w:cs="Arial" w:eastAsia="Arial" w:hAnsi="Arial"/>
          <w:sz w:val="24"/>
          <w:szCs w:val="24"/>
        </w:rPr>
        <w:t xml:space="preserve">Resilience-associated EP markers: features that remain protective or recover quickly despite stress</w:t>
      </w:r>
    </w:p>
    <w:p>
      <w:r>
        <w:rPr>
          <w:rFonts w:ascii="Arial" w:cs="Arial" w:eastAsia="Arial" w:hAnsi="Arial"/>
          <w:sz w:val="24"/>
          <w:szCs w:val="24"/>
        </w:rPr>
        <w:t xml:space="preserve">Brain-region-specific stress phenotypes: hippocampal (learning/memory), prefrontal (executive/emotion regulation), amygdala (fear)</w:t>
      </w:r>
    </w:p>
    <w:p>
      <w:r>
        <w:rPr>
          <w:rFonts w:ascii="Arial" w:cs="Arial" w:eastAsia="Arial" w:hAnsi="Arial"/>
          <w:sz w:val="24"/>
          <w:szCs w:val="24"/>
        </w:rPr>
        <w:t xml:space="preserve">Time-course heatmaps: EP feature evolution from acute (day 1) to chronic (week 4+) stress</w:t>
      </w:r>
    </w:p>
    <w:p>
      <w:r>
        <w:rPr>
          <w:rFonts w:ascii="Arial" w:cs="Arial" w:eastAsia="Arial" w:hAnsi="Arial"/>
          <w:sz w:val="24"/>
          <w:szCs w:val="24"/>
        </w:rPr>
        <w:t xml:space="preserve">Patient-derived phenotypes: patient-derived neurons from stressed vs. resilient individuals, concordance with animal models</w:t>
      </w:r>
    </w:p>
    <w:p>
      <w:r>
        <w:rPr>
          <w:rFonts w:ascii="Arial" w:cs="Arial" w:eastAsia="Arial" w:hAnsi="Arial"/>
          <w:sz w:val="24"/>
          <w:szCs w:val="24"/>
        </w:rPr>
        <w:t xml:space="preserve">Biomarker panels: minimal EP feature sets predicting stress vulnerability vs. resilience</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2: Stress-Rescue Compound Screening &amp; Hit Identification</w:t>
      </w:r>
    </w:p>
    <w:p>
      <w:r>
        <w:rPr>
          <w:rFonts w:ascii="Arial" w:cs="Arial" w:eastAsia="Arial" w:hAnsi="Arial"/>
          <w:b/>
          <w:bCs/>
          <w:sz w:val="24"/>
          <w:szCs w:val="24"/>
        </w:rPr>
        <w:t xml:space="preserve">Purpose: </w:t>
      </w:r>
      <w:r>
        <w:rPr>
          <w:rFonts w:ascii="Arial" w:cs="Arial" w:eastAsia="Arial" w:hAnsi="Arial"/>
          <w:sz w:val="24"/>
          <w:szCs w:val="24"/>
        </w:rPr>
        <w:t xml:space="preserve">Screen Quiver's ~3,500 compound library to identify drugs that restore stress-impaired EP phenotypes, prioritizing compounds that rescue LTP, restore normal firing, and enhance resilience-associated markers.</w:t>
      </w:r>
    </w:p>
    <w:p>
      <w:r>
        <w:rPr>
          <w:rFonts w:ascii="Arial" w:cs="Arial" w:eastAsia="Arial" w:hAnsi="Arial"/>
          <w:b/>
          <w:bCs/>
          <w:sz w:val="24"/>
          <w:szCs w:val="24"/>
        </w:rPr>
        <w:t xml:space="preserve">Inputs:</w:t>
      </w:r>
    </w:p>
    <w:p>
      <w:r>
        <w:rPr>
          <w:rFonts w:ascii="Arial" w:cs="Arial" w:eastAsia="Arial" w:hAnsi="Arial"/>
          <w:sz w:val="24"/>
          <w:szCs w:val="24"/>
        </w:rPr>
        <w:t xml:space="preserve">Chronic stress EP phenotype signature (from Stage 1)</w:t>
      </w:r>
    </w:p>
    <w:p>
      <w:r>
        <w:rPr>
          <w:rFonts w:ascii="Arial" w:cs="Arial" w:eastAsia="Arial" w:hAnsi="Arial"/>
          <w:sz w:val="24"/>
          <w:szCs w:val="24"/>
        </w:rPr>
        <w:t xml:space="preserve">Quiver compound atlas: ~3,500 compounds with EP readouts, ideally some tested in stressed or resilient conditions</w:t>
      </w:r>
    </w:p>
    <w:p>
      <w:r>
        <w:rPr>
          <w:rFonts w:ascii="Arial" w:cs="Arial" w:eastAsia="Arial" w:hAnsi="Arial"/>
          <w:sz w:val="24"/>
          <w:szCs w:val="24"/>
        </w:rPr>
        <w:t xml:space="preserve">Rescue criteria: compounds that shift stressed phenotype toward healthy or resilience state in EP feature space</w:t>
      </w:r>
    </w:p>
    <w:p>
      <w:r>
        <w:rPr>
          <w:rFonts w:ascii="Arial" w:cs="Arial" w:eastAsia="Arial" w:hAnsi="Arial"/>
          <w:sz w:val="24"/>
          <w:szCs w:val="24"/>
        </w:rPr>
        <w:t xml:space="preserve">Known stress-resilience compounds: ketamine, psilocybin, BDNF, glucocorticoid antagonists, CRHR1 antagonists, exercise (BDNF), social support (oxytocin analogs)</w:t>
      </w:r>
    </w:p>
    <w:p>
      <w:r>
        <w:rPr>
          <w:rFonts w:ascii="Arial" w:cs="Arial" w:eastAsia="Arial" w:hAnsi="Arial"/>
          <w:sz w:val="24"/>
          <w:szCs w:val="24"/>
        </w:rPr>
        <w:t xml:space="preserve">Compound filtering: BBB-penetrant, acceptable ADME, no liability for addiction or psychotomimetic effects in chronic dosing</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Sapphire Compound Matching Engine: compare each compound's EP signature to stress-phenotype signature</w:t>
      </w:r>
    </w:p>
    <w:p>
      <w:r>
        <w:rPr>
          <w:rFonts w:ascii="Arial" w:cs="Arial" w:eastAsia="Arial" w:hAnsi="Arial"/>
          <w:sz w:val="24"/>
          <w:szCs w:val="24"/>
        </w:rPr>
        <w:t xml:space="preserve">Distance metrics: Euclidean, cosine, Wasserstein to quantify phenotype distance (stress vs. rescue)</w:t>
      </w:r>
    </w:p>
    <w:p>
      <w:r>
        <w:rPr>
          <w:rFonts w:ascii="Arial" w:cs="Arial" w:eastAsia="Arial" w:hAnsi="Arial"/>
          <w:sz w:val="24"/>
          <w:szCs w:val="24"/>
        </w:rPr>
        <w:t xml:space="preserve">Nearest-neighbor algorithms (Faiss, Annoy): identify compounds closest to healthy/resilient state</w:t>
      </w:r>
    </w:p>
    <w:p>
      <w:r>
        <w:rPr>
          <w:rFonts w:ascii="Arial" w:cs="Arial" w:eastAsia="Arial" w:hAnsi="Arial"/>
          <w:sz w:val="24"/>
          <w:szCs w:val="24"/>
        </w:rPr>
        <w:t xml:space="preserve">Multi-criteria ranking: rescue effect size + selectivity + ADME favorability</w:t>
      </w:r>
    </w:p>
    <w:p>
      <w:r>
        <w:rPr>
          <w:rFonts w:ascii="Arial" w:cs="Arial" w:eastAsia="Arial" w:hAnsi="Arial"/>
          <w:sz w:val="24"/>
          <w:szCs w:val="24"/>
        </w:rPr>
        <w:t xml:space="preserve">Feature importance (SHAP): identify which stress-impaired features each compound rescues</w:t>
      </w:r>
    </w:p>
    <w:p>
      <w:r>
        <w:rPr>
          <w:rFonts w:ascii="Arial" w:cs="Arial" w:eastAsia="Arial" w:hAnsi="Arial"/>
          <w:sz w:val="24"/>
          <w:szCs w:val="24"/>
        </w:rPr>
        <w:t xml:space="preserve">Visualization: interactive plots showing compound positions in stress vs. healthy phenotype space</w:t>
      </w:r>
    </w:p>
    <w:p>
      <w:r>
        <w:rPr>
          <w:rFonts w:ascii="Arial" w:cs="Arial" w:eastAsia="Arial" w:hAnsi="Arial"/>
          <w:b/>
          <w:bCs/>
          <w:sz w:val="24"/>
          <w:szCs w:val="24"/>
        </w:rPr>
        <w:t xml:space="preserve">Exemplary Sub-Prompts:</w:t>
      </w:r>
    </w:p>
    <w:p>
      <w:r>
        <w:rPr>
          <w:rFonts w:ascii="Arial" w:cs="Arial" w:eastAsia="Arial" w:hAnsi="Arial"/>
          <w:sz w:val="24"/>
          <w:szCs w:val="24"/>
        </w:rPr>
        <w:t xml:space="preserve">Which compounds most effectively restore LTP and stress-suppressed burst firing?</w:t>
      </w:r>
    </w:p>
    <w:p>
      <w:r>
        <w:rPr>
          <w:rFonts w:ascii="Arial" w:cs="Arial" w:eastAsia="Arial" w:hAnsi="Arial"/>
          <w:sz w:val="24"/>
          <w:szCs w:val="24"/>
        </w:rPr>
        <w:t xml:space="preserve">Do known resilience factors (BDNF mimetics, HPA axis modulators) cluster with top hits in compound space?</w:t>
      </w:r>
    </w:p>
    <w:p>
      <w:r>
        <w:rPr>
          <w:rFonts w:ascii="Arial" w:cs="Arial" w:eastAsia="Arial" w:hAnsi="Arial"/>
          <w:sz w:val="24"/>
          <w:szCs w:val="24"/>
        </w:rPr>
        <w:t xml:space="preserve">Are there novel compounds outside traditional antidepressant/anxiolytic classes that rescue stress phenotypes?</w:t>
      </w:r>
    </w:p>
    <w:p>
      <w:r>
        <w:rPr>
          <w:rFonts w:ascii="Arial" w:cs="Arial" w:eastAsia="Arial" w:hAnsi="Arial"/>
          <w:sz w:val="24"/>
          <w:szCs w:val="24"/>
        </w:rPr>
        <w:t xml:space="preserve">Which compounds show brain-region selectivity (e.g., preferentially rescue hippocampal LTP)?</w:t>
      </w:r>
    </w:p>
    <w:p>
      <w:r>
        <w:rPr>
          <w:rFonts w:ascii="Arial" w:cs="Arial" w:eastAsia="Arial" w:hAnsi="Arial"/>
          <w:sz w:val="24"/>
          <w:szCs w:val="24"/>
        </w:rPr>
        <w:t xml:space="preserve">Can we identify compounds that rapidly engage resilience mechanisms without chronic dosing?</w:t>
      </w:r>
    </w:p>
    <w:p>
      <w:r>
        <w:rPr>
          <w:rFonts w:ascii="Arial" w:cs="Arial" w:eastAsia="Arial" w:hAnsi="Arial"/>
          <w:b/>
          <w:bCs/>
          <w:sz w:val="24"/>
          <w:szCs w:val="24"/>
        </w:rPr>
        <w:t xml:space="preserve">Expected Outputs:</w:t>
      </w:r>
    </w:p>
    <w:p>
      <w:r>
        <w:rPr>
          <w:rFonts w:ascii="Arial" w:cs="Arial" w:eastAsia="Arial" w:hAnsi="Arial"/>
          <w:sz w:val="24"/>
          <w:szCs w:val="24"/>
        </w:rPr>
        <w:t xml:space="preserve">Hit compounds ranked by stress rescue score: top 20–30 compounds restoring healthy EP phenotype</w:t>
      </w:r>
    </w:p>
    <w:p>
      <w:r>
        <w:rPr>
          <w:rFonts w:ascii="Arial" w:cs="Arial" w:eastAsia="Arial" w:hAnsi="Arial"/>
          <w:sz w:val="24"/>
          <w:szCs w:val="24"/>
        </w:rPr>
        <w:t xml:space="preserve">Stress-rescue effect profiles: magnitude and specificity of EP feature restoration</w:t>
      </w:r>
    </w:p>
    <w:p>
      <w:r>
        <w:rPr>
          <w:rFonts w:ascii="Arial" w:cs="Arial" w:eastAsia="Arial" w:hAnsi="Arial"/>
          <w:sz w:val="24"/>
          <w:szCs w:val="24"/>
        </w:rPr>
        <w:t xml:space="preserve">Comparison to known resilience compounds: how do novel hits rank vs. ketamine, psilocybin, BDNF, etc.</w:t>
      </w:r>
    </w:p>
    <w:p>
      <w:r>
        <w:rPr>
          <w:rFonts w:ascii="Arial" w:cs="Arial" w:eastAsia="Arial" w:hAnsi="Arial"/>
          <w:sz w:val="24"/>
          <w:szCs w:val="24"/>
        </w:rPr>
        <w:t xml:space="preserve">Brain-region-specific hits: compounds preferentially rescuing stress phenotypes in hippocampus, prefrontal, or amygdala</w:t>
      </w:r>
    </w:p>
    <w:p>
      <w:r>
        <w:rPr>
          <w:rFonts w:ascii="Arial" w:cs="Arial" w:eastAsia="Arial" w:hAnsi="Arial"/>
          <w:sz w:val="24"/>
          <w:szCs w:val="24"/>
        </w:rPr>
        <w:t xml:space="preserve">Temporal profiles: compounds with acute (rapid) vs. sustained stress rescue</w:t>
      </w:r>
    </w:p>
    <w:p>
      <w:r>
        <w:rPr>
          <w:rFonts w:ascii="Arial" w:cs="Arial" w:eastAsia="Arial" w:hAnsi="Arial"/>
          <w:sz w:val="24"/>
          <w:szCs w:val="24"/>
        </w:rPr>
        <w:t xml:space="preserve">Lead compound selection: 1–3 per stress phenotype category advancing to validation</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3: Mechanism of Stress Rescue &amp; HPA Axis / Resilience Pathway Mapping</w:t>
      </w:r>
    </w:p>
    <w:p>
      <w:r>
        <w:rPr>
          <w:rFonts w:ascii="Arial" w:cs="Arial" w:eastAsia="Arial" w:hAnsi="Arial"/>
          <w:b/>
          <w:bCs/>
          <w:sz w:val="24"/>
          <w:szCs w:val="24"/>
        </w:rPr>
        <w:t xml:space="preserve">Purpose: </w:t>
      </w:r>
      <w:r>
        <w:rPr>
          <w:rFonts w:ascii="Arial" w:cs="Arial" w:eastAsia="Arial" w:hAnsi="Arial"/>
          <w:sz w:val="24"/>
          <w:szCs w:val="24"/>
        </w:rPr>
        <w:t xml:space="preserve">Identify molecular mechanisms linking stress-rescue compounds to HPA axis modulation, BDNF signaling, glucocorticoid receptor function, and resilience-associated pathways.</w:t>
      </w:r>
    </w:p>
    <w:p>
      <w:r>
        <w:rPr>
          <w:rFonts w:ascii="Arial" w:cs="Arial" w:eastAsia="Arial" w:hAnsi="Arial"/>
          <w:b/>
          <w:bCs/>
          <w:sz w:val="24"/>
          <w:szCs w:val="24"/>
        </w:rPr>
        <w:t xml:space="preserve">Inputs:</w:t>
      </w:r>
    </w:p>
    <w:p>
      <w:r>
        <w:rPr>
          <w:rFonts w:ascii="Arial" w:cs="Arial" w:eastAsia="Arial" w:hAnsi="Arial"/>
          <w:sz w:val="24"/>
          <w:szCs w:val="24"/>
        </w:rPr>
        <w:t xml:space="preserve">Lead stress-rescue compounds (from Stage 2)</w:t>
      </w:r>
    </w:p>
    <w:p>
      <w:r>
        <w:rPr>
          <w:rFonts w:ascii="Arial" w:cs="Arial" w:eastAsia="Arial" w:hAnsi="Arial"/>
          <w:sz w:val="24"/>
          <w:szCs w:val="24"/>
        </w:rPr>
        <w:t xml:space="preserve">CRISPR atlas: 18k gene perturbations enabling reverse pharmacology to infer compound targets</w:t>
      </w:r>
    </w:p>
    <w:p>
      <w:r>
        <w:rPr>
          <w:rFonts w:ascii="Arial" w:cs="Arial" w:eastAsia="Arial" w:hAnsi="Arial"/>
          <w:sz w:val="24"/>
          <w:szCs w:val="24"/>
        </w:rPr>
        <w:t xml:space="preserve">Stress-response genes: HPA axis (CRHR1, CRHR2, FKBP5, NR3C1/GR, POMC), BDNF, resilience factors (DISC1, COMT, MAO-A, CREB, c-fos)</w:t>
      </w:r>
    </w:p>
    <w:p>
      <w:r>
        <w:rPr>
          <w:rFonts w:ascii="Arial" w:cs="Arial" w:eastAsia="Arial" w:hAnsi="Arial"/>
          <w:sz w:val="24"/>
          <w:szCs w:val="24"/>
        </w:rPr>
        <w:t xml:space="preserve">Glucocorticoid signaling databases: GR co-factors, GRE (glucocorticoid response element) targets, GR polymorphisms</w:t>
      </w:r>
    </w:p>
    <w:p>
      <w:r>
        <w:rPr>
          <w:rFonts w:ascii="Arial" w:cs="Arial" w:eastAsia="Arial" w:hAnsi="Arial"/>
          <w:sz w:val="24"/>
          <w:szCs w:val="24"/>
        </w:rPr>
        <w:t xml:space="preserve">Resilience biomarkers: BDNF levels, hippocampal volume, dendritic density, inflammatory markers (IL-6, TNF-α), oxidative stress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Sapphire Reverse Pharmacology: match compound EP rescue signature to CRISPR knockdown signatures</w:t>
      </w:r>
    </w:p>
    <w:p>
      <w:r>
        <w:rPr>
          <w:rFonts w:ascii="Arial" w:cs="Arial" w:eastAsia="Arial" w:hAnsi="Arial"/>
          <w:sz w:val="24"/>
          <w:szCs w:val="24"/>
        </w:rPr>
        <w:t xml:space="preserve">Pathway enrichment (Reactome, KEGG): identify pathways whose modulation predicts stress rescue</w:t>
      </w:r>
    </w:p>
    <w:p>
      <w:r>
        <w:rPr>
          <w:rFonts w:ascii="Arial" w:cs="Arial" w:eastAsia="Arial" w:hAnsi="Arial"/>
          <w:sz w:val="24"/>
          <w:szCs w:val="24"/>
        </w:rPr>
        <w:t xml:space="preserve">CLUE / L1000: connectivity maps linking compounds to gene expression signatures in stress models</w:t>
      </w:r>
    </w:p>
    <w:p>
      <w:r>
        <w:rPr>
          <w:rFonts w:ascii="Arial" w:cs="Arial" w:eastAsia="Arial" w:hAnsi="Arial"/>
          <w:sz w:val="24"/>
          <w:szCs w:val="24"/>
        </w:rPr>
        <w:t xml:space="preserve">GR signaling network: model glucocorticoid feedback, co-factor recruitment, genomic vs. non-genomic mechanisms</w:t>
      </w:r>
    </w:p>
    <w:p>
      <w:r>
        <w:rPr>
          <w:rFonts w:ascii="Arial" w:cs="Arial" w:eastAsia="Arial" w:hAnsi="Arial"/>
          <w:sz w:val="24"/>
          <w:szCs w:val="24"/>
        </w:rPr>
        <w:t xml:space="preserve">Multi-omics integration: combine EP rescue with transcriptomics, proteomics, metabolomics if available</w:t>
      </w:r>
    </w:p>
    <w:p>
      <w:r>
        <w:rPr>
          <w:rFonts w:ascii="Arial" w:cs="Arial" w:eastAsia="Arial" w:hAnsi="Arial"/>
          <w:sz w:val="24"/>
          <w:szCs w:val="24"/>
        </w:rPr>
        <w:t xml:space="preserve">Network pharmacology: visualize compound target networks and their connection to HPA/resilience pathways</w:t>
      </w:r>
    </w:p>
    <w:p>
      <w:r>
        <w:rPr>
          <w:rFonts w:ascii="Arial" w:cs="Arial" w:eastAsia="Arial" w:hAnsi="Arial"/>
          <w:b/>
          <w:bCs/>
          <w:sz w:val="24"/>
          <w:szCs w:val="24"/>
        </w:rPr>
        <w:t xml:space="preserve">Exemplary Sub-Prompts:</w:t>
      </w:r>
    </w:p>
    <w:p>
      <w:r>
        <w:rPr>
          <w:rFonts w:ascii="Arial" w:cs="Arial" w:eastAsia="Arial" w:hAnsi="Arial"/>
          <w:sz w:val="24"/>
          <w:szCs w:val="24"/>
        </w:rPr>
        <w:t xml:space="preserve">Do stress-rescue compounds modulate HPA axis genes (CRHR1 antagonism, GR enhancement)?</w:t>
      </w:r>
    </w:p>
    <w:p>
      <w:r>
        <w:rPr>
          <w:rFonts w:ascii="Arial" w:cs="Arial" w:eastAsia="Arial" w:hAnsi="Arial"/>
          <w:sz w:val="24"/>
          <w:szCs w:val="24"/>
        </w:rPr>
        <w:t xml:space="preserve">Which CRISPR perturbations in the atlas phenocopy stress-rescue compounds (reverse pharmacology)?</w:t>
      </w:r>
    </w:p>
    <w:p>
      <w:r>
        <w:rPr>
          <w:rFonts w:ascii="Arial" w:cs="Arial" w:eastAsia="Arial" w:hAnsi="Arial"/>
          <w:sz w:val="24"/>
          <w:szCs w:val="24"/>
        </w:rPr>
        <w:t xml:space="preserve">Are there synergistic targets (e.g., combined GR modulation + BDNF signaling) driving rescue?</w:t>
      </w:r>
    </w:p>
    <w:p>
      <w:r>
        <w:rPr>
          <w:rFonts w:ascii="Arial" w:cs="Arial" w:eastAsia="Arial" w:hAnsi="Arial"/>
          <w:sz w:val="24"/>
          <w:szCs w:val="24"/>
        </w:rPr>
        <w:t xml:space="preserve">Can we identify compounds that enhance endogenous resilience mechanisms (e.g., FKBP5, DISC1 modulation)?</w:t>
      </w:r>
    </w:p>
    <w:p>
      <w:r>
        <w:rPr>
          <w:rFonts w:ascii="Arial" w:cs="Arial" w:eastAsia="Arial" w:hAnsi="Arial"/>
          <w:sz w:val="24"/>
          <w:szCs w:val="24"/>
        </w:rPr>
        <w:t xml:space="preserve">Which compounds show mechanisms distinct from traditional antidepressants (SSRIs acting on monoamine systems)?</w:t>
      </w:r>
    </w:p>
    <w:p>
      <w:r>
        <w:rPr>
          <w:rFonts w:ascii="Arial" w:cs="Arial" w:eastAsia="Arial" w:hAnsi="Arial"/>
          <w:b/>
          <w:bCs/>
          <w:sz w:val="24"/>
          <w:szCs w:val="24"/>
        </w:rPr>
        <w:t xml:space="preserve">Expected Outputs:</w:t>
      </w:r>
    </w:p>
    <w:p>
      <w:r>
        <w:rPr>
          <w:rFonts w:ascii="Arial" w:cs="Arial" w:eastAsia="Arial" w:hAnsi="Arial"/>
          <w:sz w:val="24"/>
          <w:szCs w:val="24"/>
        </w:rPr>
        <w:t xml:space="preserve">Target predictions per lead compound: primary targets ranked by evidence strength</w:t>
      </w:r>
    </w:p>
    <w:p>
      <w:r>
        <w:rPr>
          <w:rFonts w:ascii="Arial" w:cs="Arial" w:eastAsia="Arial" w:hAnsi="Arial"/>
          <w:sz w:val="24"/>
          <w:szCs w:val="24"/>
        </w:rPr>
        <w:t xml:space="preserve">CRISPR reverse pharmacology results: genes whose knockdown phenocopies stress rescue</w:t>
      </w:r>
    </w:p>
    <w:p>
      <w:r>
        <w:rPr>
          <w:rFonts w:ascii="Arial" w:cs="Arial" w:eastAsia="Arial" w:hAnsi="Arial"/>
          <w:sz w:val="24"/>
          <w:szCs w:val="24"/>
        </w:rPr>
        <w:t xml:space="preserve">HPA axis mechanism: CRHR1/GR modulation, glucocorticoid feedback loop effects</w:t>
      </w:r>
    </w:p>
    <w:p>
      <w:r>
        <w:rPr>
          <w:rFonts w:ascii="Arial" w:cs="Arial" w:eastAsia="Arial" w:hAnsi="Arial"/>
          <w:sz w:val="24"/>
          <w:szCs w:val="24"/>
        </w:rPr>
        <w:t xml:space="preserve">BDNF and resilience pathway enrichment: genes implicated in neurotrophin and coping mechanisms</w:t>
      </w:r>
    </w:p>
    <w:p>
      <w:r>
        <w:rPr>
          <w:rFonts w:ascii="Arial" w:cs="Arial" w:eastAsia="Arial" w:hAnsi="Arial"/>
          <w:sz w:val="24"/>
          <w:szCs w:val="24"/>
        </w:rPr>
        <w:t xml:space="preserve">Mechanistic diversity: are leads using similar (e.g., all GR agonists) or distinct pathways?</w:t>
      </w:r>
    </w:p>
    <w:p>
      <w:r>
        <w:rPr>
          <w:rFonts w:ascii="Arial" w:cs="Arial" w:eastAsia="Arial" w:hAnsi="Arial"/>
          <w:sz w:val="24"/>
          <w:szCs w:val="24"/>
        </w:rPr>
        <w:t xml:space="preserve">Lead mechanism profiles: validated target and pathway information for advancing candidates</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4: In Vitro Stress Rescue Validation in Patient-Derived Neurons</w:t>
      </w:r>
    </w:p>
    <w:p>
      <w:r>
        <w:rPr>
          <w:rFonts w:ascii="Arial" w:cs="Arial" w:eastAsia="Arial" w:hAnsi="Arial"/>
          <w:b/>
          <w:bCs/>
          <w:sz w:val="24"/>
          <w:szCs w:val="24"/>
        </w:rPr>
        <w:t xml:space="preserve">Purpose: </w:t>
      </w:r>
      <w:r>
        <w:rPr>
          <w:rFonts w:ascii="Arial" w:cs="Arial" w:eastAsia="Arial" w:hAnsi="Arial"/>
          <w:sz w:val="24"/>
          <w:szCs w:val="24"/>
        </w:rPr>
        <w:t xml:space="preserve">Test lead compounds' ability to rescue chronic stress-induced EP deficits in patient-derived neurons and organoid models, stratifying responses by genetic background and stress vulnerability markers.</w:t>
      </w:r>
    </w:p>
    <w:p>
      <w:r>
        <w:rPr>
          <w:rFonts w:ascii="Arial" w:cs="Arial" w:eastAsia="Arial" w:hAnsi="Arial"/>
          <w:b/>
          <w:bCs/>
          <w:sz w:val="24"/>
          <w:szCs w:val="24"/>
        </w:rPr>
        <w:t xml:space="preserve">Inputs:</w:t>
      </w:r>
    </w:p>
    <w:p>
      <w:r>
        <w:rPr>
          <w:rFonts w:ascii="Arial" w:cs="Arial" w:eastAsia="Arial" w:hAnsi="Arial"/>
          <w:sz w:val="24"/>
          <w:szCs w:val="24"/>
        </w:rPr>
        <w:t xml:space="preserve">Lead compounds from Stage 3 (select 2–3)</w:t>
      </w:r>
    </w:p>
    <w:p>
      <w:r>
        <w:rPr>
          <w:rFonts w:ascii="Arial" w:cs="Arial" w:eastAsia="Arial" w:hAnsi="Arial"/>
          <w:sz w:val="24"/>
          <w:szCs w:val="24"/>
        </w:rPr>
        <w:t xml:space="preserve">Patient-derived iPSC neurons: differentiated into glutamatergic and GABAergic neurons from stressed/resilient individuals</w:t>
      </w:r>
    </w:p>
    <w:p>
      <w:r>
        <w:rPr>
          <w:rFonts w:ascii="Arial" w:cs="Arial" w:eastAsia="Arial" w:hAnsi="Arial"/>
          <w:sz w:val="24"/>
          <w:szCs w:val="24"/>
        </w:rPr>
        <w:t xml:space="preserve">Chronic stress model: glucocorticoid exposure, inflammatory cytokine cocktails, oxidative stress to mimic stress effects</w:t>
      </w:r>
    </w:p>
    <w:p>
      <w:r>
        <w:rPr>
          <w:rFonts w:ascii="Arial" w:cs="Arial" w:eastAsia="Arial" w:hAnsi="Arial"/>
          <w:sz w:val="24"/>
          <w:szCs w:val="24"/>
        </w:rPr>
        <w:t xml:space="preserve">EP measurements: whole-cell patch-clamp (LTP/LTD, intrinsic excitability), MEA (network plasticity, oscillations)</w:t>
      </w:r>
    </w:p>
    <w:p>
      <w:r>
        <w:rPr>
          <w:rFonts w:ascii="Arial" w:cs="Arial" w:eastAsia="Arial" w:hAnsi="Arial"/>
          <w:sz w:val="24"/>
          <w:szCs w:val="24"/>
        </w:rPr>
        <w:t xml:space="preserve">Mechanistic validation: HPA axis markers (GR phosphorylation, CRHR1 expression), BDNF, resilience proteins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Whole-cell patch-clamp: LTP induction protocols in acute slices or cultured neurons</w:t>
      </w:r>
    </w:p>
    <w:p>
      <w:r>
        <w:rPr>
          <w:rFonts w:ascii="Arial" w:cs="Arial" w:eastAsia="Arial" w:hAnsi="Arial"/>
          <w:sz w:val="24"/>
          <w:szCs w:val="24"/>
        </w:rPr>
        <w:t xml:space="preserve">MEA recordings: network-level plasticity (burst frequency, synchronization) before and after stress + compound treatment</w:t>
      </w:r>
    </w:p>
    <w:p>
      <w:r>
        <w:rPr>
          <w:rFonts w:ascii="Arial" w:cs="Arial" w:eastAsia="Arial" w:hAnsi="Arial"/>
          <w:sz w:val="24"/>
          <w:szCs w:val="24"/>
        </w:rPr>
        <w:t xml:space="preserve">Immunofluorescence: GR, FKBP5, BDNF, phosphoproteins (p-CREB, p-ERK) localization</w:t>
      </w:r>
    </w:p>
    <w:p>
      <w:r>
        <w:rPr>
          <w:rFonts w:ascii="Arial" w:cs="Arial" w:eastAsia="Arial" w:hAnsi="Arial"/>
          <w:sz w:val="24"/>
          <w:szCs w:val="24"/>
        </w:rPr>
        <w:t xml:space="preserve">Western blot / immunoassay: quantification of stress markers and rescue pathway activation</w:t>
      </w:r>
    </w:p>
    <w:p>
      <w:r>
        <w:rPr>
          <w:rFonts w:ascii="Arial" w:cs="Arial" w:eastAsia="Arial" w:hAnsi="Arial"/>
          <w:sz w:val="24"/>
          <w:szCs w:val="24"/>
        </w:rPr>
        <w:t xml:space="preserve">Patient stratification analysis: identify responders vs. non-responders based on baseline genetics (FKBP5 variants, COMT, MAO-A)</w:t>
      </w:r>
    </w:p>
    <w:p>
      <w:r>
        <w:rPr>
          <w:rFonts w:ascii="Arial" w:cs="Arial" w:eastAsia="Arial" w:hAnsi="Arial"/>
          <w:sz w:val="24"/>
          <w:szCs w:val="24"/>
        </w:rPr>
        <w:t xml:space="preserve">Statistical analysis: two-way ANOVA (stress × compound), dose-response curves, effect sizes</w:t>
      </w:r>
    </w:p>
    <w:p>
      <w:r>
        <w:rPr>
          <w:rFonts w:ascii="Arial" w:cs="Arial" w:eastAsia="Arial" w:hAnsi="Arial"/>
          <w:b/>
          <w:bCs/>
          <w:sz w:val="24"/>
          <w:szCs w:val="24"/>
        </w:rPr>
        <w:t xml:space="preserve">Exemplary Sub-Prompts:</w:t>
      </w:r>
    </w:p>
    <w:p>
      <w:r>
        <w:rPr>
          <w:rFonts w:ascii="Arial" w:cs="Arial" w:eastAsia="Arial" w:hAnsi="Arial"/>
          <w:sz w:val="24"/>
          <w:szCs w:val="24"/>
        </w:rPr>
        <w:t xml:space="preserve">Do lead compounds restore LTP and burst firing in stressed patient-derived neurons?</w:t>
      </w:r>
    </w:p>
    <w:p>
      <w:r>
        <w:rPr>
          <w:rFonts w:ascii="Arial" w:cs="Arial" w:eastAsia="Arial" w:hAnsi="Arial"/>
          <w:sz w:val="24"/>
          <w:szCs w:val="24"/>
        </w:rPr>
        <w:t xml:space="preserve">Is rescue mechanism consistent with predicted targets (e.g., GR modulation improving stress response)?</w:t>
      </w:r>
    </w:p>
    <w:p>
      <w:r>
        <w:rPr>
          <w:rFonts w:ascii="Arial" w:cs="Arial" w:eastAsia="Arial" w:hAnsi="Arial"/>
          <w:sz w:val="24"/>
          <w:szCs w:val="24"/>
        </w:rPr>
        <w:t xml:space="preserve">Are there patient-specific or genetic background effects (FKBP5 rs9470080 polymorphism, COMT genotype)?</w:t>
      </w:r>
    </w:p>
    <w:p>
      <w:r>
        <w:rPr>
          <w:rFonts w:ascii="Arial" w:cs="Arial" w:eastAsia="Arial" w:hAnsi="Arial"/>
          <w:sz w:val="24"/>
          <w:szCs w:val="24"/>
        </w:rPr>
        <w:t xml:space="preserve">Do compounds show stress-specific rescue, or do they also enhance EP features in unstressed conditions?</w:t>
      </w:r>
    </w:p>
    <w:p>
      <w:r>
        <w:rPr>
          <w:rFonts w:ascii="Arial" w:cs="Arial" w:eastAsia="Arial" w:hAnsi="Arial"/>
          <w:sz w:val="24"/>
          <w:szCs w:val="24"/>
        </w:rPr>
        <w:t xml:space="preserve">What is the time-course and reversibility of EP rescue?</w:t>
      </w:r>
    </w:p>
    <w:p>
      <w:r>
        <w:rPr>
          <w:rFonts w:ascii="Arial" w:cs="Arial" w:eastAsia="Arial" w:hAnsi="Arial"/>
          <w:b/>
          <w:bCs/>
          <w:sz w:val="24"/>
          <w:szCs w:val="24"/>
        </w:rPr>
        <w:t xml:space="preserve">Expected Outputs:</w:t>
      </w:r>
    </w:p>
    <w:p>
      <w:r>
        <w:rPr>
          <w:rFonts w:ascii="Arial" w:cs="Arial" w:eastAsia="Arial" w:hAnsi="Arial"/>
          <w:sz w:val="24"/>
          <w:szCs w:val="24"/>
        </w:rPr>
        <w:t xml:space="preserve">LTP and plasticity rescue: magnitude and kinetics of restoration in stressed neurons</w:t>
      </w:r>
    </w:p>
    <w:p>
      <w:r>
        <w:rPr>
          <w:rFonts w:ascii="Arial" w:cs="Arial" w:eastAsia="Arial" w:hAnsi="Arial"/>
          <w:sz w:val="24"/>
          <w:szCs w:val="24"/>
        </w:rPr>
        <w:t xml:space="preserve">Intrinsic excitability recovery: resting potential, firing rate, AHP normalization</w:t>
      </w:r>
    </w:p>
    <w:p>
      <w:r>
        <w:rPr>
          <w:rFonts w:ascii="Arial" w:cs="Arial" w:eastAsia="Arial" w:hAnsi="Arial"/>
          <w:sz w:val="24"/>
          <w:szCs w:val="24"/>
        </w:rPr>
        <w:t xml:space="preserve">Mechanistic validation: GR phosphorylation, BDNF levels, p-CREB/p-ERK activation confirming pathway engagement</w:t>
      </w:r>
    </w:p>
    <w:p>
      <w:r>
        <w:rPr>
          <w:rFonts w:ascii="Arial" w:cs="Arial" w:eastAsia="Arial" w:hAnsi="Arial"/>
          <w:sz w:val="24"/>
          <w:szCs w:val="24"/>
        </w:rPr>
        <w:t xml:space="preserve">Patient stratification: responder phenotypes by genetic background, baseline stress marker levels</w:t>
      </w:r>
    </w:p>
    <w:p>
      <w:r>
        <w:rPr>
          <w:rFonts w:ascii="Arial" w:cs="Arial" w:eastAsia="Arial" w:hAnsi="Arial"/>
          <w:sz w:val="24"/>
          <w:szCs w:val="24"/>
        </w:rPr>
        <w:t xml:space="preserve">Dose-response profiles: optimal compound concentrations balancing rescue and toxicity</w:t>
      </w:r>
    </w:p>
    <w:p>
      <w:r>
        <w:rPr>
          <w:rFonts w:ascii="Arial" w:cs="Arial" w:eastAsia="Arial" w:hAnsi="Arial"/>
          <w:sz w:val="24"/>
          <w:szCs w:val="24"/>
        </w:rPr>
        <w:t xml:space="preserve">Lead advancement: top 1–2 compounds selected for in vivo validation</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5: In Vivo Stress Resilience &amp; Behavioral Rescue Validation</w:t>
      </w:r>
    </w:p>
    <w:p>
      <w:r>
        <w:rPr>
          <w:rFonts w:ascii="Arial" w:cs="Arial" w:eastAsia="Arial" w:hAnsi="Arial"/>
          <w:b/>
          <w:bCs/>
          <w:sz w:val="24"/>
          <w:szCs w:val="24"/>
        </w:rPr>
        <w:t xml:space="preserve">Purpose: </w:t>
      </w:r>
      <w:r>
        <w:rPr>
          <w:rFonts w:ascii="Arial" w:cs="Arial" w:eastAsia="Arial" w:hAnsi="Arial"/>
          <w:sz w:val="24"/>
          <w:szCs w:val="24"/>
        </w:rPr>
        <w:t xml:space="preserve">Validate lead compounds in chronic stress animal models (CUMS, CSDS, social defeat), measuring behavioral resilience, circuit-level EP restoration, HPA axis recovery, and inflammatory normalization.</w:t>
      </w:r>
    </w:p>
    <w:p>
      <w:r>
        <w:rPr>
          <w:rFonts w:ascii="Arial" w:cs="Arial" w:eastAsia="Arial" w:hAnsi="Arial"/>
          <w:b/>
          <w:bCs/>
          <w:sz w:val="24"/>
          <w:szCs w:val="24"/>
        </w:rPr>
        <w:t xml:space="preserve">Inputs:</w:t>
      </w:r>
    </w:p>
    <w:p>
      <w:r>
        <w:rPr>
          <w:rFonts w:ascii="Arial" w:cs="Arial" w:eastAsia="Arial" w:hAnsi="Arial"/>
          <w:sz w:val="24"/>
          <w:szCs w:val="24"/>
        </w:rPr>
        <w:t xml:space="preserve">Lead compounds from Stage 4</w:t>
      </w:r>
    </w:p>
    <w:p>
      <w:r>
        <w:rPr>
          <w:rFonts w:ascii="Arial" w:cs="Arial" w:eastAsia="Arial" w:hAnsi="Arial"/>
          <w:sz w:val="24"/>
          <w:szCs w:val="24"/>
        </w:rPr>
        <w:t xml:space="preserve">Chronic stress models: chronic unpredictable mild stress (CUMS), chronic social defeat stress (CSDS) in rodents; aim for 4–8 weeks of stress exposure</w:t>
      </w:r>
    </w:p>
    <w:p>
      <w:r>
        <w:rPr>
          <w:rFonts w:ascii="Arial" w:cs="Arial" w:eastAsia="Arial" w:hAnsi="Arial"/>
          <w:sz w:val="24"/>
          <w:szCs w:val="24"/>
        </w:rPr>
        <w:t xml:space="preserve">Behavioral resilience assays: forced swim test (FST), sucrose preference, social interaction (CSDS), open-field locomotor activity, anxiety tests</w:t>
      </w:r>
    </w:p>
    <w:p>
      <w:r>
        <w:rPr>
          <w:rFonts w:ascii="Arial" w:cs="Arial" w:eastAsia="Arial" w:hAnsi="Arial"/>
          <w:sz w:val="24"/>
          <w:szCs w:val="24"/>
        </w:rPr>
        <w:t xml:space="preserve">Electrophysiology: in vivo tetrode recordings in hippocampus (CA1), prefrontal cortex, ventral tegmental area measuring LFP, burst firing, theta/gamma</w:t>
      </w:r>
    </w:p>
    <w:p>
      <w:r>
        <w:rPr>
          <w:rFonts w:ascii="Arial" w:cs="Arial" w:eastAsia="Arial" w:hAnsi="Arial"/>
          <w:sz w:val="24"/>
          <w:szCs w:val="24"/>
        </w:rPr>
        <w:t xml:space="preserve">Biomarkers: corticosterone (baseline and post-stress), BDNF (serum and brain), inflammatory cytokines (IL-6, TNF-α, IL-1β), oxidative stress (lipid peroxides)</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Stress induction protocols: CUMS (3–4 weeks mixed stressors), CSDS (social defeat, 10 days + social isolation)</w:t>
      </w:r>
    </w:p>
    <w:p>
      <w:r>
        <w:rPr>
          <w:rFonts w:ascii="Arial" w:cs="Arial" w:eastAsia="Arial" w:hAnsi="Arial"/>
          <w:sz w:val="24"/>
          <w:szCs w:val="24"/>
        </w:rPr>
        <w:t xml:space="preserve">In vivo electrophysiology: tetrode recording with spike sorting (Phy), LFP analysis (power spectra, theta-gamma coupling)</w:t>
      </w:r>
    </w:p>
    <w:p>
      <w:r>
        <w:rPr>
          <w:rFonts w:ascii="Arial" w:cs="Arial" w:eastAsia="Arial" w:hAnsi="Arial"/>
          <w:sz w:val="24"/>
          <w:szCs w:val="24"/>
        </w:rPr>
        <w:t xml:space="preserve">Behavioral software: ANY-maze for automated locomotor/social tracking; forced swim video analysis</w:t>
      </w:r>
    </w:p>
    <w:p>
      <w:r>
        <w:rPr>
          <w:rFonts w:ascii="Arial" w:cs="Arial" w:eastAsia="Arial" w:hAnsi="Arial"/>
          <w:sz w:val="24"/>
          <w:szCs w:val="24"/>
        </w:rPr>
        <w:t xml:space="preserve">Plasma/CSF collection: rapid tissue collection post-behavior, immunoassays for corticosterone, BDNF, inflammatory markers</w:t>
      </w:r>
    </w:p>
    <w:p>
      <w:r>
        <w:rPr>
          <w:rFonts w:ascii="Arial" w:cs="Arial" w:eastAsia="Arial" w:hAnsi="Arial"/>
          <w:sz w:val="24"/>
          <w:szCs w:val="24"/>
        </w:rPr>
        <w:t xml:space="preserve">Neuroinflammation imaging: optionally, immunohistochemistry for microglial activation (IBA1+), astrocyte reactivity (GFAP+)</w:t>
      </w:r>
    </w:p>
    <w:p>
      <w:r>
        <w:rPr>
          <w:rFonts w:ascii="Arial" w:cs="Arial" w:eastAsia="Arial" w:hAnsi="Arial"/>
          <w:sz w:val="24"/>
          <w:szCs w:val="24"/>
        </w:rPr>
        <w:t xml:space="preserve">Statistics: mixed-effects models, survival analysis for treatment response kinetics</w:t>
      </w:r>
    </w:p>
    <w:p>
      <w:r>
        <w:rPr>
          <w:rFonts w:ascii="Arial" w:cs="Arial" w:eastAsia="Arial" w:hAnsi="Arial"/>
          <w:b/>
          <w:bCs/>
          <w:sz w:val="24"/>
          <w:szCs w:val="24"/>
        </w:rPr>
        <w:t xml:space="preserve">Exemplary Sub-Prompts:</w:t>
      </w:r>
    </w:p>
    <w:p>
      <w:r>
        <w:rPr>
          <w:rFonts w:ascii="Arial" w:cs="Arial" w:eastAsia="Arial" w:hAnsi="Arial"/>
          <w:sz w:val="24"/>
          <w:szCs w:val="24"/>
        </w:rPr>
        <w:t xml:space="preserve">Do lead compounds reverse stress-induced decrements in sucrose preference and social interaction?</w:t>
      </w:r>
    </w:p>
    <w:p>
      <w:r>
        <w:rPr>
          <w:rFonts w:ascii="Arial" w:cs="Arial" w:eastAsia="Arial" w:hAnsi="Arial"/>
          <w:sz w:val="24"/>
          <w:szCs w:val="24"/>
        </w:rPr>
        <w:t xml:space="preserve">Is there restoration of hippocampal LTP and prefrontal bursting patterns in stressed animals?</w:t>
      </w:r>
    </w:p>
    <w:p>
      <w:r>
        <w:rPr>
          <w:rFonts w:ascii="Arial" w:cs="Arial" w:eastAsia="Arial" w:hAnsi="Arial"/>
          <w:sz w:val="24"/>
          <w:szCs w:val="24"/>
        </w:rPr>
        <w:t xml:space="preserve">Do compounds normalize HPA axis activity (corticosterone levels, GR signaling)?</w:t>
      </w:r>
    </w:p>
    <w:p>
      <w:r>
        <w:rPr>
          <w:rFonts w:ascii="Arial" w:cs="Arial" w:eastAsia="Arial" w:hAnsi="Arial"/>
          <w:sz w:val="24"/>
          <w:szCs w:val="24"/>
        </w:rPr>
        <w:t xml:space="preserve">Is BDNF restoration correlated with behavioral resilience?</w:t>
      </w:r>
    </w:p>
    <w:p>
      <w:r>
        <w:rPr>
          <w:rFonts w:ascii="Arial" w:cs="Arial" w:eastAsia="Arial" w:hAnsi="Arial"/>
          <w:sz w:val="24"/>
          <w:szCs w:val="24"/>
        </w:rPr>
        <w:t xml:space="preserve">What is the time-course: acute rescue (1–2 weeks treatment) vs. sustained (3–4 weeks)?</w:t>
      </w:r>
    </w:p>
    <w:p>
      <w:r>
        <w:rPr>
          <w:rFonts w:ascii="Arial" w:cs="Arial" w:eastAsia="Arial" w:hAnsi="Arial"/>
          <w:sz w:val="24"/>
          <w:szCs w:val="24"/>
        </w:rPr>
        <w:t xml:space="preserve">Are there compound-specific resilience signatures or cell-type effects (e.g., preferential dopaminergic involvement)?</w:t>
      </w:r>
    </w:p>
    <w:p>
      <w:r>
        <w:rPr>
          <w:rFonts w:ascii="Arial" w:cs="Arial" w:eastAsia="Arial" w:hAnsi="Arial"/>
          <w:b/>
          <w:bCs/>
          <w:sz w:val="24"/>
          <w:szCs w:val="24"/>
        </w:rPr>
        <w:t xml:space="preserve">Expected Outputs:</w:t>
      </w:r>
    </w:p>
    <w:p>
      <w:r>
        <w:rPr>
          <w:rFonts w:ascii="Arial" w:cs="Arial" w:eastAsia="Arial" w:hAnsi="Arial"/>
          <w:sz w:val="24"/>
          <w:szCs w:val="24"/>
        </w:rPr>
        <w:t xml:space="preserve">Behavioral rescue summary: effect sizes for sucrose preference, FST immobility time, social interaction, anxiety measures</w:t>
      </w:r>
    </w:p>
    <w:p>
      <w:r>
        <w:rPr>
          <w:rFonts w:ascii="Arial" w:cs="Arial" w:eastAsia="Arial" w:hAnsi="Arial"/>
          <w:sz w:val="24"/>
          <w:szCs w:val="24"/>
        </w:rPr>
        <w:t xml:space="preserve">Electrophysiology restoration: hippocampal burst firing frequency, theta power, prefrontal gamma band activity</w:t>
      </w:r>
    </w:p>
    <w:p>
      <w:r>
        <w:rPr>
          <w:rFonts w:ascii="Arial" w:cs="Arial" w:eastAsia="Arial" w:hAnsi="Arial"/>
          <w:sz w:val="24"/>
          <w:szCs w:val="24"/>
        </w:rPr>
        <w:t xml:space="preserve">HPA axis recovery: corticosterone normalization, GR signaling restoration</w:t>
      </w:r>
    </w:p>
    <w:p>
      <w:r>
        <w:rPr>
          <w:rFonts w:ascii="Arial" w:cs="Arial" w:eastAsia="Arial" w:hAnsi="Arial"/>
          <w:sz w:val="24"/>
          <w:szCs w:val="24"/>
        </w:rPr>
        <w:t xml:space="preserve">Inflammatory and BDNF markers: serum/brain BDNF levels, cytokine normalization, oxidative stress reduction</w:t>
      </w:r>
    </w:p>
    <w:p>
      <w:r>
        <w:rPr>
          <w:rFonts w:ascii="Arial" w:cs="Arial" w:eastAsia="Arial" w:hAnsi="Arial"/>
          <w:sz w:val="24"/>
          <w:szCs w:val="24"/>
        </w:rPr>
        <w:t xml:space="preserve">Time-course profiles: kinetics of behavioral and neurobiological recovery under compound treatment</w:t>
      </w:r>
    </w:p>
    <w:p>
      <w:r>
        <w:rPr>
          <w:rFonts w:ascii="Arial" w:cs="Arial" w:eastAsia="Arial" w:hAnsi="Arial"/>
          <w:sz w:val="24"/>
          <w:szCs w:val="24"/>
        </w:rPr>
        <w:t xml:space="preserve">Adverse effect monitoring: weight changes, motor side effects, seizure threshold</w:t>
      </w:r>
    </w:p>
    <w:p>
      <w:r>
        <w:rPr>
          <w:rFonts w:ascii="Arial" w:cs="Arial" w:eastAsia="Arial" w:hAnsi="Arial"/>
          <w:sz w:val="24"/>
          <w:szCs w:val="24"/>
        </w:rPr>
        <w:t xml:space="preserve">Lead selection: 1–2 compounds advancing to clinical translation</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Stage 6: Clinical Translation &amp; Stress-Resilience Trial Design</w:t>
      </w:r>
    </w:p>
    <w:p>
      <w:r>
        <w:rPr>
          <w:rFonts w:ascii="Arial" w:cs="Arial" w:eastAsia="Arial" w:hAnsi="Arial"/>
          <w:b/>
          <w:bCs/>
          <w:sz w:val="24"/>
          <w:szCs w:val="24"/>
        </w:rPr>
        <w:t xml:space="preserve">Purpose: </w:t>
      </w:r>
      <w:r>
        <w:rPr>
          <w:rFonts w:ascii="Arial" w:cs="Arial" w:eastAsia="Arial" w:hAnsi="Arial"/>
          <w:sz w:val="24"/>
          <w:szCs w:val="24"/>
        </w:rPr>
        <w:t xml:space="preserve">Design Phase I/II trials for stress-rescue compounds targeting depression/anxiety/PTSD, emphasizing resilience restoration and functional recovery alongside symptom reduction.</w:t>
      </w:r>
    </w:p>
    <w:p>
      <w:r>
        <w:rPr>
          <w:rFonts w:ascii="Arial" w:cs="Arial" w:eastAsia="Arial" w:hAnsi="Arial"/>
          <w:b/>
          <w:bCs/>
          <w:sz w:val="24"/>
          <w:szCs w:val="24"/>
        </w:rPr>
        <w:t xml:space="preserve">Inputs:</w:t>
      </w:r>
    </w:p>
    <w:p>
      <w:r>
        <w:rPr>
          <w:rFonts w:ascii="Arial" w:cs="Arial" w:eastAsia="Arial" w:hAnsi="Arial"/>
          <w:sz w:val="24"/>
          <w:szCs w:val="24"/>
        </w:rPr>
        <w:t xml:space="preserve">Lead in-vivo-validated compounds from Stage 5</w:t>
      </w:r>
    </w:p>
    <w:p>
      <w:r>
        <w:rPr>
          <w:rFonts w:ascii="Arial" w:cs="Arial" w:eastAsia="Arial" w:hAnsi="Arial"/>
          <w:sz w:val="24"/>
          <w:szCs w:val="24"/>
        </w:rPr>
        <w:t xml:space="preserve">Clinical target populations: depression with recent stress exposure (job loss, bereavement), anxiety disorders, PTSD, burnout</w:t>
      </w:r>
    </w:p>
    <w:p>
      <w:r>
        <w:rPr>
          <w:rFonts w:ascii="Arial" w:cs="Arial" w:eastAsia="Arial" w:hAnsi="Arial"/>
          <w:sz w:val="24"/>
          <w:szCs w:val="24"/>
        </w:rPr>
        <w:t xml:space="preserve">Resilience biomarkers: serum BDNF, inflammatory markers (IL-6, TNF-α, CRP), cortisol patterns, genetic variants (FKBP5, COMT)</w:t>
      </w:r>
    </w:p>
    <w:p>
      <w:r>
        <w:rPr>
          <w:rFonts w:ascii="Arial" w:cs="Arial" w:eastAsia="Arial" w:hAnsi="Arial"/>
          <w:sz w:val="24"/>
          <w:szCs w:val="24"/>
        </w:rPr>
        <w:t xml:space="preserve">Functional recovery endpoints: return to work, social engagement, cognitive performance, stress-coping capacity</w:t>
      </w:r>
    </w:p>
    <w:p>
      <w:r>
        <w:rPr>
          <w:rFonts w:ascii="Arial" w:cs="Arial" w:eastAsia="Arial" w:hAnsi="Arial"/>
          <w:sz w:val="24"/>
          <w:szCs w:val="24"/>
        </w:rPr>
        <w:t xml:space="preserve">Adaptive trial design: biomarker-driven patient stratification, adaptive randomization based on early resilience response</w:t>
      </w:r>
    </w:p>
    <w:p>
      <w:r>
        <w:rPr>
          <w:rFonts w:ascii="Arial" w:cs="Arial" w:eastAsia="Arial" w:hAnsi="Arial"/>
          <w:b/>
          <w:bCs/>
          <w:sz w:val="24"/>
          <w:szCs w:val="24"/>
        </w:rPr>
        <w:t xml:space="preserve">Tools &amp; Databases Called:</w:t>
      </w:r>
    </w:p>
    <w:p>
      <w:r>
        <w:rPr>
          <w:rFonts w:ascii="Arial" w:cs="Arial" w:eastAsia="Arial" w:hAnsi="Arial"/>
          <w:sz w:val="24"/>
          <w:szCs w:val="24"/>
        </w:rPr>
        <w:t xml:space="preserve">Trial design software: nQuery, PASS for sample size calculations</w:t>
      </w:r>
    </w:p>
    <w:p>
      <w:r>
        <w:rPr>
          <w:rFonts w:ascii="Arial" w:cs="Arial" w:eastAsia="Arial" w:hAnsi="Arial"/>
          <w:sz w:val="24"/>
          <w:szCs w:val="24"/>
        </w:rPr>
        <w:t xml:space="preserve">Biomarker assay platforms: Luminex for cytokines, ELISA for BDNF/cortisol, genetic testing (FKBP5 SNPs)</w:t>
      </w:r>
    </w:p>
    <w:p>
      <w:r>
        <w:rPr>
          <w:rFonts w:ascii="Arial" w:cs="Arial" w:eastAsia="Arial" w:hAnsi="Arial"/>
          <w:sz w:val="24"/>
          <w:szCs w:val="24"/>
        </w:rPr>
        <w:t xml:space="preserve">Functional outcome scales: PHQ-9 (depression), GAD-7 (anxiety), PCL-5 (PTSD), Sheehan Disability Scale, WHO QoL</w:t>
      </w:r>
    </w:p>
    <w:p>
      <w:r>
        <w:rPr>
          <w:rFonts w:ascii="Arial" w:cs="Arial" w:eastAsia="Arial" w:hAnsi="Arial"/>
          <w:sz w:val="24"/>
          <w:szCs w:val="24"/>
        </w:rPr>
        <w:t xml:space="preserve">Stress resilience assessment: Connor-Davidson Resilience Scale, Brief Resilience Scale</w:t>
      </w:r>
    </w:p>
    <w:p>
      <w:r>
        <w:rPr>
          <w:rFonts w:ascii="Arial" w:cs="Arial" w:eastAsia="Arial" w:hAnsi="Arial"/>
          <w:sz w:val="24"/>
          <w:szCs w:val="24"/>
        </w:rPr>
        <w:t xml:space="preserve">Neuroimaging integration: optional fMRI to assess prefrontal-amygdala connectivity, hippocampal volume recovery</w:t>
      </w:r>
    </w:p>
    <w:p>
      <w:r>
        <w:rPr>
          <w:rFonts w:ascii="Arial" w:cs="Arial" w:eastAsia="Arial" w:hAnsi="Arial"/>
          <w:sz w:val="24"/>
          <w:szCs w:val="24"/>
        </w:rPr>
        <w:t xml:space="preserve">Real-world evidence integration: employment status, healthcare utilization, social connectivity as outcomes</w:t>
      </w:r>
    </w:p>
    <w:p>
      <w:r>
        <w:rPr>
          <w:rFonts w:ascii="Arial" w:cs="Arial" w:eastAsia="Arial" w:hAnsi="Arial"/>
          <w:b/>
          <w:bCs/>
          <w:sz w:val="24"/>
          <w:szCs w:val="24"/>
        </w:rPr>
        <w:t xml:space="preserve">Exemplary Sub-Prompts:</w:t>
      </w:r>
    </w:p>
    <w:p>
      <w:r>
        <w:rPr>
          <w:rFonts w:ascii="Arial" w:cs="Arial" w:eastAsia="Arial" w:hAnsi="Arial"/>
          <w:sz w:val="24"/>
          <w:szCs w:val="24"/>
        </w:rPr>
        <w:t xml:space="preserve">Should trials enrich for recent stress exposure (acute window) vs. chronic stress-related disorders?</w:t>
      </w:r>
    </w:p>
    <w:p>
      <w:r>
        <w:rPr>
          <w:rFonts w:ascii="Arial" w:cs="Arial" w:eastAsia="Arial" w:hAnsi="Arial"/>
          <w:sz w:val="24"/>
          <w:szCs w:val="24"/>
        </w:rPr>
        <w:t xml:space="preserve">Which biomarkers best predict responders (e.g., baseline BDNF, FKBP5 genotype, inflammatory profile)?</w:t>
      </w:r>
    </w:p>
    <w:p>
      <w:r>
        <w:rPr>
          <w:rFonts w:ascii="Arial" w:cs="Arial" w:eastAsia="Arial" w:hAnsi="Arial"/>
          <w:sz w:val="24"/>
          <w:szCs w:val="24"/>
        </w:rPr>
        <w:t xml:space="preserve">Can we design adaptive trials allocating more patients to resilience-enhancing arms?</w:t>
      </w:r>
    </w:p>
    <w:p>
      <w:r>
        <w:rPr>
          <w:rFonts w:ascii="Arial" w:cs="Arial" w:eastAsia="Arial" w:hAnsi="Arial"/>
          <w:sz w:val="24"/>
          <w:szCs w:val="24"/>
        </w:rPr>
        <w:t xml:space="preserve">What is the minimal treatment duration to establish lasting resilience (2–4 weeks, 8 weeks)?</w:t>
      </w:r>
    </w:p>
    <w:p>
      <w:r>
        <w:rPr>
          <w:rFonts w:ascii="Arial" w:cs="Arial" w:eastAsia="Arial" w:hAnsi="Arial"/>
          <w:sz w:val="24"/>
          <w:szCs w:val="24"/>
        </w:rPr>
        <w:t xml:space="preserve">Should trials include psychotherapy (CBT) as complement or use pharmacotherapy alone?</w:t>
      </w:r>
    </w:p>
    <w:p>
      <w:r>
        <w:rPr>
          <w:rFonts w:ascii="Arial" w:cs="Arial" w:eastAsia="Arial" w:hAnsi="Arial"/>
          <w:b/>
          <w:bCs/>
          <w:sz w:val="24"/>
          <w:szCs w:val="24"/>
        </w:rPr>
        <w:t xml:space="preserve">Expected Outputs:</w:t>
      </w:r>
    </w:p>
    <w:p>
      <w:r>
        <w:rPr>
          <w:rFonts w:ascii="Arial" w:cs="Arial" w:eastAsia="Arial" w:hAnsi="Arial"/>
          <w:sz w:val="24"/>
          <w:szCs w:val="24"/>
        </w:rPr>
        <w:t xml:space="preserve">Phase I/II trial protocols: dosing, patient stratification (stress exposure, genetic biomarkers), resilience assessment schedule</w:t>
      </w:r>
    </w:p>
    <w:p>
      <w:r>
        <w:rPr>
          <w:rFonts w:ascii="Arial" w:cs="Arial" w:eastAsia="Arial" w:hAnsi="Arial"/>
          <w:sz w:val="24"/>
          <w:szCs w:val="24"/>
        </w:rPr>
        <w:t xml:space="preserve">Biomarker qualification plan: serum BDNF, inflammatory markers, cortisol, genetic stratification (FKBP5, COMT)</w:t>
      </w:r>
    </w:p>
    <w:p>
      <w:r>
        <w:rPr>
          <w:rFonts w:ascii="Arial" w:cs="Arial" w:eastAsia="Arial" w:hAnsi="Arial"/>
          <w:sz w:val="24"/>
          <w:szCs w:val="24"/>
        </w:rPr>
        <w:t xml:space="preserve">Endpoint hierarchy: primary (PHQ-9, GAD-7 reduction), secondary (resilience scales, functional recovery, biomarker changes), exploratory (neuroimaging)</w:t>
      </w:r>
    </w:p>
    <w:p>
      <w:r>
        <w:rPr>
          <w:rFonts w:ascii="Arial" w:cs="Arial" w:eastAsia="Arial" w:hAnsi="Arial"/>
          <w:sz w:val="24"/>
          <w:szCs w:val="24"/>
        </w:rPr>
        <w:t xml:space="preserve">Adaptive trial design: interim analysis rules for biomarker-driven patient allocation</w:t>
      </w:r>
    </w:p>
    <w:p>
      <w:r>
        <w:rPr>
          <w:rFonts w:ascii="Arial" w:cs="Arial" w:eastAsia="Arial" w:hAnsi="Arial"/>
          <w:sz w:val="24"/>
          <w:szCs w:val="24"/>
        </w:rPr>
        <w:t xml:space="preserve">Functional recovery focus: work return, social reengagement, stress tolerance improvement</w:t>
      </w:r>
    </w:p>
    <w:p>
      <w:r>
        <w:rPr>
          <w:rFonts w:ascii="Arial" w:cs="Arial" w:eastAsia="Arial" w:hAnsi="Arial"/>
          <w:sz w:val="24"/>
          <w:szCs w:val="24"/>
        </w:rPr>
        <w:t xml:space="preserve">Regulatory pathway outline: IND submission, anticipated clinical trial timeline, risk mitigation strategies</w:t>
      </w:r>
    </w:p>
    <w:p>
      <w:r>
        <w:rPr>
          <w:rFonts w:ascii="Arial" w:cs="Arial" w:eastAsia="Arial" w:hAnsi="Arial"/>
          <w:b/>
          <w:bCs/>
          <w:sz w:val="24"/>
          <w:szCs w:val="24"/>
        </w:rPr>
        <w:t xml:space="preserve">Format: </w:t>
      </w:r>
      <w:r>
        <w:rPr>
          <w:rFonts w:ascii="Arial" w:cs="Arial" w:eastAsia="Arial" w:hAnsi="Arial"/>
          <w:sz w:val="24"/>
          <w:szCs w:val="24"/>
        </w:rPr>
        <w:t xml:space="preserve">Detailed scientific outputs suitable for peer review, regulatory submission, or internal stakeholder briefing.</w:t>
      </w:r>
    </w:p>
    <w:p>
      <w:pPr>
        <w:pStyle w:val="Heading2"/>
      </w:pPr>
      <w:r>
        <w:rPr>
          <w:rFonts w:ascii="Arial" w:cs="Arial" w:eastAsia="Arial" w:hAnsi="Arial"/>
          <w:b/>
          <w:bCs/>
          <w:sz w:val="28"/>
          <w:szCs w:val="28"/>
        </w:rPr>
        <w:t xml:space="preserve">Tools &amp; Databases Summary</w:t>
      </w:r>
    </w:p>
    <w:p>
      <w:r>
        <w:rPr>
          <w:rFonts w:ascii="Arial" w:cs="Arial" w:eastAsia="Arial" w:hAnsi="Arial"/>
          <w:sz w:val="24"/>
          <w:szCs w:val="24"/>
        </w:rPr>
        <w:t xml:space="preserve">Quiver EP CRISPR Atlas: 18,000+ gene perturbations with full electrophysiology readouts and phenotypic annotations</w:t>
      </w:r>
    </w:p>
    <w:p>
      <w:r>
        <w:rPr>
          <w:rFonts w:ascii="Arial" w:cs="Arial" w:eastAsia="Arial" w:hAnsi="Arial"/>
          <w:sz w:val="24"/>
          <w:szCs w:val="24"/>
        </w:rPr>
        <w:t xml:space="preserve">Quiver Compound Library: 3,500 characterized small molecules with EP signatures and target predictions</w:t>
      </w:r>
    </w:p>
    <w:p>
      <w:r>
        <w:rPr>
          <w:rFonts w:ascii="Arial" w:cs="Arial" w:eastAsia="Arial" w:hAnsi="Arial"/>
          <w:sz w:val="24"/>
          <w:szCs w:val="24"/>
        </w:rPr>
        <w:t xml:space="preserve">Sapphire Embedding Engine: machine learning models for phenotype-space searches and compound matching</w:t>
      </w:r>
    </w:p>
    <w:p>
      <w:r>
        <w:rPr>
          <w:rFonts w:ascii="Arial" w:cs="Arial" w:eastAsia="Arial" w:hAnsi="Arial"/>
          <w:sz w:val="24"/>
          <w:szCs w:val="24"/>
        </w:rPr>
        <w:t xml:space="preserve">Target Prediction Tools: SEA (Similarity Ensemble Approach), SwissTargetPrediction, ChEMBL for target deconvolution</w:t>
      </w:r>
    </w:p>
    <w:p>
      <w:r>
        <w:rPr>
          <w:rFonts w:ascii="Arial" w:cs="Arial" w:eastAsia="Arial" w:hAnsi="Arial"/>
          <w:sz w:val="24"/>
          <w:szCs w:val="24"/>
        </w:rPr>
        <w:t xml:space="preserve">Electrophysiology Analysis: Clampfit, OpenEphys, Phy for raw data processing and feature extraction</w:t>
      </w:r>
    </w:p>
    <w:p>
      <w:r>
        <w:rPr>
          <w:rFonts w:ascii="Arial" w:cs="Arial" w:eastAsia="Arial" w:hAnsi="Arial"/>
          <w:sz w:val="24"/>
          <w:szCs w:val="24"/>
        </w:rPr>
        <w:t xml:space="preserve">Network Tools: String, Cytoscape, Reactome for pathway enrichment and mechanistic visualization</w:t>
      </w:r>
    </w:p>
    <w:p>
      <w:r>
        <w:rPr>
          <w:rFonts w:ascii="Arial" w:cs="Arial" w:eastAsia="Arial" w:hAnsi="Arial"/>
          <w:sz w:val="24"/>
          <w:szCs w:val="24"/>
        </w:rPr>
        <w:t xml:space="preserve">Statistical Frameworks: scikit-learn, XGBoost, SHAP for predictive models and feature importance</w:t>
      </w:r>
    </w:p>
    <w:p>
      <w:r>
        <w:rPr>
          <w:rFonts w:ascii="Arial" w:cs="Arial" w:eastAsia="Arial" w:hAnsi="Arial"/>
          <w:sz w:val="24"/>
          <w:szCs w:val="24"/>
        </w:rPr>
        <w:t xml:space="preserve">Bioinformatics Platforms: Scanpy, SEurat for single-cell analysis; UMAP, t-SNE for dimensionality reduction</w:t>
      </w:r>
    </w:p>
    <w:p>
      <w:r>
        <w:rPr>
          <w:rFonts w:ascii="Arial" w:cs="Arial" w:eastAsia="Arial" w:hAnsi="Arial"/>
          <w:sz w:val="24"/>
          <w:szCs w:val="24"/>
        </w:rPr>
        <w:t xml:space="preserve">ADME &amp; Safety: SwissADME, ChemAxon, BBB-Pred for drug-like property assessment</w:t>
      </w:r>
    </w:p>
    <w:p>
      <w:r>
        <w:rPr>
          <w:rFonts w:ascii="Arial" w:cs="Arial" w:eastAsia="Arial" w:hAnsi="Arial"/>
          <w:sz w:val="24"/>
          <w:szCs w:val="24"/>
        </w:rPr>
        <w:t xml:space="preserve">Clinical Trial Design: nQuery, PASS for sample size; REDCap for data management</w:t>
      </w:r>
    </w:p>
    <w:p>
      <w:r>
        <w:rPr>
          <w:rFonts w:ascii="Arial" w:cs="Arial" w:eastAsia="Arial" w:hAnsi="Arial"/>
          <w:sz w:val="24"/>
          <w:szCs w:val="24"/>
        </w:rPr>
        <w:t xml:space="preserve">Real-World Evidence: Registry data integration, patient-reported outcome platforms</w:t>
      </w:r>
    </w:p>
    <w:p>
      <w:r>
        <w:rPr>
          <w:rFonts w:ascii="Arial" w:cs="Arial" w:eastAsia="Arial" w:hAnsi="Arial"/>
          <w:sz w:val="24"/>
          <w:szCs w:val="24"/>
        </w:rPr>
        <w:t xml:space="preserve">Regulatory Intelligence: FDA guidance documents, Orange Book, clinical trial registries</w:t>
      </w:r>
    </w:p>
    <w:p>
      <w:r>
        <w:rPr>
          <w:rFonts w:ascii="Arial" w:cs="Arial" w:eastAsia="Arial" w:hAnsi="Arial"/>
          <w:sz w:val="24"/>
          <w:szCs w:val="24"/>
        </w:rPr>
        <w:t xml:space="preserve">Mass Spectrometry: Quantitative phosphoproteomics, transcriptomics for mechanistic validation</w:t>
      </w:r>
    </w:p>
    <w:p>
      <w:r>
        <w:rPr>
          <w:rFonts w:ascii="Arial" w:cs="Arial" w:eastAsia="Arial" w:hAnsi="Arial"/>
          <w:sz w:val="24"/>
          <w:szCs w:val="24"/>
        </w:rPr>
        <w:t xml:space="preserve">Imaging: fMRI, MEG, optogenetics software for circuit-level validation</w:t>
      </w:r>
    </w:p>
    <w:p>
      <w:r>
        <w:rPr>
          <w:rFonts w:ascii="Arial" w:cs="Arial" w:eastAsia="Arial" w:hAnsi="Arial"/>
          <w:sz w:val="24"/>
          <w:szCs w:val="24"/>
        </w:rPr>
        <w:t xml:space="preserve">Behavioral Automation: DeepLabCut, ANY-maze for objective animal and human behavioral phenotyping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2026-03-03T22:36:57.902Z</dcterms:created>
  <dcterms:modified xsi:type="dcterms:W3CDTF">2026-03-03T22:36:57.902Z</dcterms:modified>
</cp:coreProperties>
</file>

<file path=docProps/custom.xml><?xml version="1.0" encoding="utf-8"?>
<Properties xmlns="http://schemas.openxmlformats.org/officeDocument/2006/custom-properties" xmlns:vt="http://schemas.openxmlformats.org/officeDocument/2006/docPropsVTypes"/>
</file>