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Rank novel NMDA-modulating scaffolds by rescue potential and safety.</w:t>
      </w:r>
    </w:p>
    <w:p>
      <w:r>
        <w:t xml:space="preserve">This workflow describes systematic application of Sapphire's EP atlas (~18k gene perturbations, ~3,500 compound perturbations, 500+ EP features) to address the core discovery question: Rank novel NMDA-modulating scaffolds by rescue potential and safety.</w:t>
      </w:r>
    </w:p>
    <w:p>
      <w:pPr>
        <w:pStyle w:val="Heading2"/>
      </w:pPr>
      <w:r>
        <w:t xml:space="preserve">Pipeline Overview</w:t>
      </w:r>
    </w:p>
    <w:p>
      <w:r>
        <w:t xml:space="preserve">This pipeline integrates literature mining, functional genomics EP phenotyping, computational structure-activity analysis, and clinical translation to generate a prioritized ranking of candidates. The workflow emphasizes multi-dimensional validation: mechanistic support from literature and structural databases, functional confirmation via Sapphire EP profiling, drug-like properties assessment, and alignment with clinical precedent or unmet medical needs.</w:t>
      </w:r>
    </w:p>
    <w:p>
      <w:r>
        <w:t xml:space="preserve">Each stage synthesizes multiple data modalities to progressively filter and refine candidates, reducing a broad initial landscape to a focused set of optimized hits ready for experimental validation. The final output includes go/no-go recommendations and detailed preclinical strategy.</w:t>
      </w:r>
    </w:p>
    <w:p>
      <w:pPr>
        <w:pStyle w:val="Heading2"/>
      </w:pPr>
      <w:r>
        <w:t xml:space="preserve">Stage 1: Literature &amp; Structural Database Mining</w:t>
      </w:r>
    </w:p>
    <w:p>
      <w:r>
        <w:rPr>
          <w:b/>
          <w:bCs/>
        </w:rPr>
        <w:t xml:space="preserve">Purpose:</w:t>
      </w:r>
      <w:r>
        <w:t xml:space="preserve"> Systematically identify novel NMDA receptor modulators with distinct scaffolds from published literature, patent databases, and structural repositories.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PubMed/ChemRxiv literature on GluN2A/2B subunit-selective modulators</w:t>
      </w:r>
    </w:p>
    <w:p>
      <w:pPr>
        <w:pStyle w:val="List Bullet"/>
      </w:pPr>
      <w:r>
        <w:t xml:space="preserve">Patent databases (USPTO, WIPO) for novel NMDA allosteric modulators</w:t>
      </w:r>
    </w:p>
    <w:p>
      <w:pPr>
        <w:pStyle w:val="List Bullet"/>
      </w:pPr>
      <w:r>
        <w:t xml:space="preserve">PubChem/ChEMBL filtered for NMDA receptor interactions</w:t>
      </w:r>
    </w:p>
    <w:p>
      <w:pPr>
        <w:pStyle w:val="List Bullet"/>
      </w:pPr>
      <w:r>
        <w:t xml:space="preserve">Structural databases (RCSB PDB) with NMDA crystal structures</w:t>
      </w:r>
    </w:p>
    <w:p>
      <w:pPr>
        <w:pStyle w:val="List Bullet"/>
      </w:pPr>
      <w:r>
        <w:t xml:space="preserve">Clinical trial registries for NMDA-targeted neuropsychiatric compounds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PubMed/Google Scholar API</w:t>
      </w:r>
    </w:p>
    <w:p>
      <w:pPr>
        <w:pStyle w:val="List Bullet"/>
      </w:pPr>
      <w:r>
        <w:t xml:space="preserve">Patent.google.com advanced search</w:t>
      </w:r>
    </w:p>
    <w:p>
      <w:pPr>
        <w:pStyle w:val="List Bullet"/>
      </w:pPr>
      <w:r>
        <w:t xml:space="preserve">PubChem/ChEMBL chemical structure search</w:t>
      </w:r>
    </w:p>
    <w:p>
      <w:pPr>
        <w:pStyle w:val="List Bullet"/>
      </w:pPr>
      <w:r>
        <w:t xml:space="preserve">RCSB PDB protein structure database</w:t>
      </w:r>
    </w:p>
    <w:p>
      <w:pPr>
        <w:pStyle w:val="List Bullet"/>
      </w:pPr>
      <w:r>
        <w:t xml:space="preserve">ClinicalTrials.gov registry</w:t>
      </w:r>
    </w:p>
    <w:p>
      <w:pPr>
        <w:pStyle w:val="List Bullet"/>
      </w:pPr>
      <w:r>
        <w:t xml:space="preserve">Cortellis drug intelligence platform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Extract all reported GluN2A-selective positive allosteric modulators from 2018-2025 literature with reported IC50/EC50 values.</w:t>
      </w:r>
    </w:p>
    <w:p>
      <w:pPr>
        <w:pStyle w:val="List Bullet"/>
      </w:pPr>
      <w:r>
        <w:t xml:space="preserve">Identify novel glycine site modulators distinct from traditional coagonist structures.</w:t>
      </w:r>
    </w:p>
    <w:p>
      <w:pPr>
        <w:pStyle w:val="List Bullet"/>
      </w:pPr>
      <w:r>
        <w:t xml:space="preserve">Compile channel blockers vs allosteric modulators with differential psychotomimetic liability profiles.</w:t>
      </w:r>
    </w:p>
    <w:p>
      <w:pPr>
        <w:pStyle w:val="List Bullet"/>
      </w:pPr>
      <w:r>
        <w:t xml:space="preserve">Map patent landscape for NMDA scaffolds filed in last 5 years with mechanistic claims.</w:t>
      </w:r>
    </w:p>
    <w:p>
      <w:pPr>
        <w:pStyle w:val="List Bullet"/>
      </w:pPr>
      <w:r>
        <w:t xml:space="preserve">Cross-reference clinical compounds against structural databases to identify scaffold innovation opportunities.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Curated list of 50+ novel NMDA-modulating scaffolds with structural families</w:t>
      </w:r>
    </w:p>
    <w:p>
      <w:pPr>
        <w:pStyle w:val="List Bullet"/>
      </w:pPr>
      <w:r>
        <w:t xml:space="preserve">Potency matrix (IC50/EC50/EC90 values) for GluN2A/2B subunit selectivity</w:t>
      </w:r>
    </w:p>
    <w:p>
      <w:pPr>
        <w:pStyle w:val="List Bullet"/>
      </w:pPr>
      <w:r>
        <w:t xml:space="preserve">Classification of modulators by mechanism (orthosteric, glycine site, allosteric)</w:t>
      </w:r>
    </w:p>
    <w:p>
      <w:pPr>
        <w:pStyle w:val="List Bullet"/>
      </w:pPr>
      <w:r>
        <w:t xml:space="preserve">Patent landscape summary with priority dates and mechanistic novelty</w:t>
      </w:r>
    </w:p>
    <w:p>
      <w:pPr>
        <w:pStyle w:val="List Bullet"/>
      </w:pPr>
      <w:r>
        <w:t xml:space="preserve">Clinical precedent mapping for structurally-similar compounds</w:t>
      </w:r>
    </w:p>
    <w:p>
      <w:pPr>
        <w:pStyle w:val="List Bullet"/>
      </w:pPr>
      <w:r>
        <w:t xml:space="preserve">Preliminary safety concern flags from literature (e.g., psychotomimetic risk)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2: Electrophysiology Phenotype Profiling</w:t>
      </w:r>
    </w:p>
    <w:p>
      <w:r>
        <w:rPr>
          <w:b/>
          <w:bCs/>
        </w:rPr>
        <w:t xml:space="preserve">Purpose:</w:t>
      </w:r>
      <w:r>
        <w:t xml:space="preserve"> Use Sapphire EP atlas to profile how novel NMDA scaffolds alter electrical signatures associated with neuropsychiatric rescue phenotypes.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Sapphire EP CRISPR atlas (~18k gene perturbations) GluN1/GluN2A/GluN2B knockout/knockdown neurons</w:t>
      </w:r>
    </w:p>
    <w:p>
      <w:pPr>
        <w:pStyle w:val="List Bullet"/>
      </w:pPr>
      <w:r>
        <w:t xml:space="preserve">~3,500 compound perturbations including current NMDA modulators as reference standards</w:t>
      </w:r>
    </w:p>
    <w:p>
      <w:pPr>
        <w:pStyle w:val="List Bullet"/>
      </w:pPr>
      <w:r>
        <w:t xml:space="preserve">500+ EP features (firing rate, burst kinetics, synaptic plasticity, network synchrony)</w:t>
      </w:r>
    </w:p>
    <w:p>
      <w:pPr>
        <w:pStyle w:val="List Bullet"/>
      </w:pPr>
      <w:r>
        <w:t xml:space="preserve">Disease-relevant EP signatures (e.g., hyperexcitability rescue, GABA deficit compensation)</w:t>
      </w:r>
    </w:p>
    <w:p>
      <w:pPr>
        <w:pStyle w:val="List Bullet"/>
      </w:pPr>
      <w:r>
        <w:t xml:space="preserve">Psychotomimetic risk phenotypes (dissociative side-effect proxies)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Sapphire EP atlas interface with filter by gene/compound</w:t>
      </w:r>
    </w:p>
    <w:p>
      <w:pPr>
        <w:pStyle w:val="List Bullet"/>
      </w:pPr>
      <w:r>
        <w:t xml:space="preserve">EP feature extraction pipeline (custom neural spike sorting, LFP analysis)</w:t>
      </w:r>
    </w:p>
    <w:p>
      <w:pPr>
        <w:pStyle w:val="List Bullet"/>
      </w:pPr>
      <w:r>
        <w:t xml:space="preserve">Multi-dimensional EP phenotype clustering (t-SNE, UMAP)</w:t>
      </w:r>
    </w:p>
    <w:p>
      <w:pPr>
        <w:pStyle w:val="List Bullet"/>
      </w:pPr>
      <w:r>
        <w:t xml:space="preserve">Correlation analysis: scaffold structure vs EP signature similarity</w:t>
      </w:r>
    </w:p>
    <w:p>
      <w:pPr>
        <w:pStyle w:val="List Bullet"/>
      </w:pPr>
      <w:r>
        <w:t xml:space="preserve">Machine learning classifier: rescue potential vs psychotomimetic risk</w:t>
      </w:r>
    </w:p>
    <w:p>
      <w:pPr>
        <w:pStyle w:val="List Bullet"/>
      </w:pPr>
      <w:r>
        <w:t xml:space="preserve">Statistical power analysis for validation cohorts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For each novel scaffold, retrieve EP signatures from GluN2A/2B-modulated neurons and quantify deviation from disease-relevant hyperexcitability patterns.</w:t>
      </w:r>
    </w:p>
    <w:p>
      <w:pPr>
        <w:pStyle w:val="List Bullet"/>
      </w:pPr>
      <w:r>
        <w:t xml:space="preserve">Identify which EP features most strongly correlate with known neuroprotective vs psychotomimetic NMDA modulators.</w:t>
      </w:r>
    </w:p>
    <w:p>
      <w:pPr>
        <w:pStyle w:val="List Bullet"/>
      </w:pPr>
      <w:r>
        <w:t xml:space="preserve">Cluster novel scaffolds by EP fingerprint similarity to clinical NMDA drugs with documented rescue efficacy.</w:t>
      </w:r>
    </w:p>
    <w:p>
      <w:pPr>
        <w:pStyle w:val="List Bullet"/>
      </w:pPr>
      <w:r>
        <w:t xml:space="preserve">Map subunit selectivity (GluN2A vs 2B) to distinct EP phenotype classes relevant for different neuropsychiatric indications.</w:t>
      </w:r>
    </w:p>
    <w:p>
      <w:pPr>
        <w:pStyle w:val="List Bullet"/>
      </w:pPr>
      <w:r>
        <w:t xml:space="preserve">Quantify safety margin: ratio of EP rescue potency to psychotomimetic liability proxy features.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EP fingerprint matrix (500+ features) for 50+ novel scaffolds across neuron types</w:t>
      </w:r>
    </w:p>
    <w:p>
      <w:pPr>
        <w:pStyle w:val="List Bullet"/>
      </w:pPr>
      <w:r>
        <w:t xml:space="preserve">Subunit selectivity ranking with GluN2A/2B IC50 ratios and EP phenotype correlation</w:t>
      </w:r>
    </w:p>
    <w:p>
      <w:pPr>
        <w:pStyle w:val="List Bullet"/>
      </w:pPr>
      <w:r>
        <w:t xml:space="preserve">Rescue potential scoring: normalized effect size on disease-relevant EP signatures</w:t>
      </w:r>
    </w:p>
    <w:p>
      <w:pPr>
        <w:pStyle w:val="List Bullet"/>
      </w:pPr>
      <w:r>
        <w:t xml:space="preserve">Safety scoring: relative distance from psychotomimetic risk phenotype cluster</w:t>
      </w:r>
    </w:p>
    <w:p>
      <w:pPr>
        <w:pStyle w:val="List Bullet"/>
      </w:pPr>
      <w:r>
        <w:t xml:space="preserve">Confidence intervals (95% CI) for EP-based predictions</w:t>
      </w:r>
    </w:p>
    <w:p>
      <w:pPr>
        <w:pStyle w:val="List Bullet"/>
      </w:pPr>
      <w:r>
        <w:t xml:space="preserve">Top 15 scaffolds ranked by rescue/safety ratio with supporting EP traces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3: Computational ADME &amp; Safety Filtering</w:t>
      </w:r>
    </w:p>
    <w:p>
      <w:r>
        <w:rPr>
          <w:b/>
          <w:bCs/>
        </w:rPr>
        <w:t xml:space="preserve">Purpose:</w:t>
      </w:r>
      <w:r>
        <w:t xml:space="preserve"> Apply ADME predictions and safety models to eliminate scaffolds with poor druggability or off-target liability.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Chemical structures of 50+ novel NMDA scaffolds</w:t>
      </w:r>
    </w:p>
    <w:p>
      <w:pPr>
        <w:pStyle w:val="List Bullet"/>
      </w:pPr>
      <w:r>
        <w:t xml:space="preserve">Published ADME data for structurally-similar NMDA drugs</w:t>
      </w:r>
    </w:p>
    <w:p>
      <w:pPr>
        <w:pStyle w:val="List Bullet"/>
      </w:pPr>
      <w:r>
        <w:t xml:space="preserve">Off-target binding databases (kinome panels, GPCR screens)</w:t>
      </w:r>
    </w:p>
    <w:p>
      <w:pPr>
        <w:pStyle w:val="List Bullet"/>
      </w:pPr>
      <w:r>
        <w:t xml:space="preserve">Physicochemical property thresholds (MW, logP, HBD/HBA, PSA)</w:t>
      </w:r>
    </w:p>
    <w:p>
      <w:pPr>
        <w:pStyle w:val="List Bullet"/>
      </w:pPr>
      <w:r>
        <w:t xml:space="preserve">Known metabolite neurotoxicity profiles for NMDA drugs</w:t>
      </w:r>
    </w:p>
    <w:p>
      <w:pPr>
        <w:pStyle w:val="List Bullet"/>
      </w:pPr>
      <w:r>
        <w:t xml:space="preserve">Hepatic metabolism pathways and CYP450 interactions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ChemAxon/Schrödinger ADME prediction software</w:t>
      </w:r>
    </w:p>
    <w:p>
      <w:pPr>
        <w:pStyle w:val="List Bullet"/>
      </w:pPr>
      <w:r>
        <w:t xml:space="preserve">SwissADME/ADMETsar online tools</w:t>
      </w:r>
    </w:p>
    <w:p>
      <w:pPr>
        <w:pStyle w:val="List Bullet"/>
      </w:pPr>
      <w:r>
        <w:t xml:space="preserve">ChEMBL off-target prediction (kinase selectivity, GPCR binding)</w:t>
      </w:r>
    </w:p>
    <w:p>
      <w:pPr>
        <w:pStyle w:val="List Bullet"/>
      </w:pPr>
      <w:r>
        <w:t xml:space="preserve">Structural alert screening (SMARTS-based toxicophores)</w:t>
      </w:r>
    </w:p>
    <w:p>
      <w:pPr>
        <w:pStyle w:val="List Bullet"/>
      </w:pPr>
      <w:r>
        <w:t xml:space="preserve">MetaDrug/Leadscope metabolite prediction</w:t>
      </w:r>
    </w:p>
    <w:p>
      <w:pPr>
        <w:pStyle w:val="List Bullet"/>
      </w:pPr>
      <w:r>
        <w:t xml:space="preserve">Brain penetration prediction (CNS MPO, logBB models)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Filter scaffolds for Lipinski rule compliance and optimize for BBB penetration (logBB &gt; 0.3).</w:t>
      </w:r>
    </w:p>
    <w:p>
      <w:pPr>
        <w:pStyle w:val="List Bullet"/>
      </w:pPr>
      <w:r>
        <w:t xml:space="preserve">Identify potential CYP3A4/2D6 metabolism liabilities and predict major metabolites.</w:t>
      </w:r>
    </w:p>
    <w:p>
      <w:pPr>
        <w:pStyle w:val="List Bullet"/>
      </w:pPr>
      <w:r>
        <w:t xml:space="preserve">Screen for kinase off-targets using kinome selectivity models, flagging those with high polypharmacology.</w:t>
      </w:r>
    </w:p>
    <w:p>
      <w:pPr>
        <w:pStyle w:val="List Bullet"/>
      </w:pPr>
      <w:r>
        <w:t xml:space="preserve">Rank by predicted free fraction (fu) and plasma protein binding to identify those suitable for CNS dosing.</w:t>
      </w:r>
    </w:p>
    <w:p>
      <w:pPr>
        <w:pStyle w:val="List Bullet"/>
      </w:pPr>
      <w:r>
        <w:t xml:space="preserve">Apply toxicophore alerts specific to NMDA biology (e.g., structures promoting dissociative properties).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ADME property profile for 50+ scaffolds (MW, logP, PSA, BBB penetration)</w:t>
      </w:r>
    </w:p>
    <w:p>
      <w:pPr>
        <w:pStyle w:val="List Bullet"/>
      </w:pPr>
      <w:r>
        <w:t xml:space="preserve">Druglikeness scoring (Lipinski, Veber, BBB criteria) with pass/fail summary</w:t>
      </w:r>
    </w:p>
    <w:p>
      <w:pPr>
        <w:pStyle w:val="List Bullet"/>
      </w:pPr>
      <w:r>
        <w:t xml:space="preserve">CYP450 interaction predictions and major metabolite structures</w:t>
      </w:r>
    </w:p>
    <w:p>
      <w:pPr>
        <w:pStyle w:val="List Bullet"/>
      </w:pPr>
      <w:r>
        <w:t xml:space="preserve">Off-target kinase/GPCR binding predictions with confidence scores</w:t>
      </w:r>
    </w:p>
    <w:p>
      <w:pPr>
        <w:pStyle w:val="List Bullet"/>
      </w:pPr>
      <w:r>
        <w:t xml:space="preserve">Safety filtering summary: 50 → 25-30 scaffolds retained post-ADME</w:t>
      </w:r>
    </w:p>
    <w:p>
      <w:pPr>
        <w:pStyle w:val="List Bullet"/>
      </w:pPr>
      <w:r>
        <w:t xml:space="preserve">Recommended structural modifications to improve ADME liabilities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4: Target Engagement &amp; Binding Mode Analysis</w:t>
      </w:r>
    </w:p>
    <w:p>
      <w:r>
        <w:rPr>
          <w:b/>
          <w:bCs/>
        </w:rPr>
        <w:t xml:space="preserve">Purpose:</w:t>
      </w:r>
      <w:r>
        <w:t xml:space="preserve"> Computationally model target engagement mechanisms and validate predicted binding modes against structural data.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NMDA receptor crystal structures (apo, with ligands, GluN2A/2B complexes)</w:t>
      </w:r>
    </w:p>
    <w:p>
      <w:pPr>
        <w:pStyle w:val="List Bullet"/>
      </w:pPr>
      <w:r>
        <w:t xml:space="preserve">Binding affinity data for reference NMDA modulators</w:t>
      </w:r>
    </w:p>
    <w:p>
      <w:pPr>
        <w:pStyle w:val="List Bullet"/>
      </w:pPr>
      <w:r>
        <w:t xml:space="preserve">Detailed structural information for 25-30 filtered scaffolds</w:t>
      </w:r>
    </w:p>
    <w:p>
      <w:pPr>
        <w:pStyle w:val="List Bullet"/>
      </w:pPr>
      <w:r>
        <w:t xml:space="preserve">Allosteric modulation site maps from cryo-EM structures</w:t>
      </w:r>
    </w:p>
    <w:p>
      <w:pPr>
        <w:pStyle w:val="List Bullet"/>
      </w:pPr>
      <w:r>
        <w:t xml:space="preserve">Glycine site mutagenesis data informing selectivity determinants</w:t>
      </w:r>
    </w:p>
    <w:p>
      <w:pPr>
        <w:pStyle w:val="List Bullet"/>
      </w:pPr>
      <w:r>
        <w:t xml:space="preserve">Functional electrophysiology validation data for known modulators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Molecular docking software (Glide, Autodock, rDock)</w:t>
      </w:r>
    </w:p>
    <w:p>
      <w:pPr>
        <w:pStyle w:val="List Bullet"/>
      </w:pPr>
      <w:r>
        <w:t xml:space="preserve">Molecular dynamics simulations (AMBER, GROMACS) for equilibration</w:t>
      </w:r>
    </w:p>
    <w:p>
      <w:pPr>
        <w:pStyle w:val="List Bullet"/>
      </w:pPr>
      <w:r>
        <w:t xml:space="preserve">FEP/TI free energy perturbation for binding affinity prediction</w:t>
      </w:r>
    </w:p>
    <w:p>
      <w:pPr>
        <w:pStyle w:val="List Bullet"/>
      </w:pPr>
      <w:r>
        <w:t xml:space="preserve">Interaction fingerprinting (Ligand Interactions Diagram, PLIP)</w:t>
      </w:r>
    </w:p>
    <w:p>
      <w:pPr>
        <w:pStyle w:val="List Bullet"/>
      </w:pPr>
      <w:r>
        <w:t xml:space="preserve">Protein homology modeling (Modeller) for GluN2 subunit variants</w:t>
      </w:r>
    </w:p>
    <w:p>
      <w:pPr>
        <w:pStyle w:val="List Bullet"/>
      </w:pPr>
      <w:r>
        <w:t xml:space="preserve">AlphaFold structure prediction for novel scaffold-NMDA complexes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Dock 25-30 scaffolds to GluN2A and GluN2B subunits; identify subunit-selective binding mode differences.</w:t>
      </w:r>
    </w:p>
    <w:p>
      <w:pPr>
        <w:pStyle w:val="List Bullet"/>
      </w:pPr>
      <w:r>
        <w:t xml:space="preserve">Run 100ns MD simulations for top-ranked complexes; calculate binding free energy (ΔΔG) for A/B selectivity.</w:t>
      </w:r>
    </w:p>
    <w:p>
      <w:pPr>
        <w:pStyle w:val="List Bullet"/>
      </w:pPr>
      <w:r>
        <w:t xml:space="preserve">Map critical protein-ligand hydrogen bonds and hydrophobic contacts for each scaffold.</w:t>
      </w:r>
    </w:p>
    <w:p>
      <w:pPr>
        <w:pStyle w:val="List Bullet"/>
      </w:pPr>
      <w:r>
        <w:t xml:space="preserve">Predict allosteric modulation mechanism: voltage-dependent vs independent, site-specific interactions.</w:t>
      </w:r>
    </w:p>
    <w:p>
      <w:pPr>
        <w:pStyle w:val="List Bullet"/>
      </w:pPr>
      <w:r>
        <w:t xml:space="preserve">Compare predicted binding modes to experimental mutagenesis data; flag discrepancies requiring validation.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Docking poses for 25-30 scaffolds with predicted binding affinity (ΔG, Kd estimates)</w:t>
      </w:r>
    </w:p>
    <w:p>
      <w:pPr>
        <w:pStyle w:val="List Bullet"/>
      </w:pPr>
      <w:r>
        <w:t xml:space="preserve">Subunit selectivity structural basis: GluN2A vs 2B residue contact maps</w:t>
      </w:r>
    </w:p>
    <w:p>
      <w:pPr>
        <w:pStyle w:val="List Bullet"/>
      </w:pPr>
      <w:r>
        <w:t xml:space="preserve">MD simulation stability metrics (RMSD, RMSF) and equilibration confirmation</w:t>
      </w:r>
    </w:p>
    <w:p>
      <w:pPr>
        <w:pStyle w:val="List Bullet"/>
      </w:pPr>
      <w:r>
        <w:t xml:space="preserve">Free energy calculations supporting GluN2A/2B selectivity predictions</w:t>
      </w:r>
    </w:p>
    <w:p>
      <w:pPr>
        <w:pStyle w:val="List Bullet"/>
      </w:pPr>
      <w:r>
        <w:t xml:space="preserve">Allosteric modulation mechanism classification (orthosteric/allosteric/channel block)</w:t>
      </w:r>
    </w:p>
    <w:p>
      <w:pPr>
        <w:pStyle w:val="List Bullet"/>
      </w:pPr>
      <w:r>
        <w:t xml:space="preserve">Top 10 scaffolds with high-confidence binding mode predictions and selectivity ratios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5: Integrated Rescue Potential &amp; Safety Ranking</w:t>
      </w:r>
    </w:p>
    <w:p>
      <w:r>
        <w:rPr>
          <w:b/>
          <w:bCs/>
        </w:rPr>
        <w:t xml:space="preserve">Purpose:</w:t>
      </w:r>
      <w:r>
        <w:t xml:space="preserve"> Synthesize EP phenotyping, ADME, and binding mode data to generate comprehensive rescue potential and safety scores.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EP-based rescue potential scores and safety margin assessments (Stage 2)</w:t>
      </w:r>
    </w:p>
    <w:p>
      <w:pPr>
        <w:pStyle w:val="List Bullet"/>
      </w:pPr>
      <w:r>
        <w:t xml:space="preserve">ADME druglikeness and metabolism predictions (Stage 3)</w:t>
      </w:r>
    </w:p>
    <w:p>
      <w:pPr>
        <w:pStyle w:val="List Bullet"/>
      </w:pPr>
      <w:r>
        <w:t xml:space="preserve">Binding affinity/selectivity predictions and allosteric mechanism classifications (Stage 4)</w:t>
      </w:r>
    </w:p>
    <w:p>
      <w:pPr>
        <w:pStyle w:val="List Bullet"/>
      </w:pPr>
      <w:r>
        <w:t xml:space="preserve">Known clinical outcomes for structurally-similar NMDA drugs</w:t>
      </w:r>
    </w:p>
    <w:p>
      <w:pPr>
        <w:pStyle w:val="List Bullet"/>
      </w:pPr>
      <w:r>
        <w:t xml:space="preserve">Indication-specific requirements (e.g., schizophrenia vs stroke vs depression phenotypes)</w:t>
      </w:r>
    </w:p>
    <w:p>
      <w:pPr>
        <w:pStyle w:val="List Bullet"/>
      </w:pPr>
      <w:r>
        <w:t xml:space="preserve">Regulatory precedent for approved NMDA modulators (memantine, amantadine profiles)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Multi-criteria decision analysis (MCDA) framework with weighted scoring</w:t>
      </w:r>
    </w:p>
    <w:p>
      <w:pPr>
        <w:pStyle w:val="List Bullet"/>
      </w:pPr>
      <w:r>
        <w:t xml:space="preserve">Rank aggregation methods (Borda count, weighted sum models)</w:t>
      </w:r>
    </w:p>
    <w:p>
      <w:pPr>
        <w:pStyle w:val="List Bullet"/>
      </w:pPr>
      <w:r>
        <w:t xml:space="preserve">Sensitivity analysis for parameter weighting variations</w:t>
      </w:r>
    </w:p>
    <w:p>
      <w:pPr>
        <w:pStyle w:val="List Bullet"/>
      </w:pPr>
      <w:r>
        <w:t xml:space="preserve">Spider/radar plots for multi-dimensional scaffold comparison</w:t>
      </w:r>
    </w:p>
    <w:p>
      <w:pPr>
        <w:pStyle w:val="List Bullet"/>
      </w:pPr>
      <w:r>
        <w:t xml:space="preserve">Risk-benefit assessment matrices (rescue efficacy vs psychotomimetic liability)</w:t>
      </w:r>
    </w:p>
    <w:p>
      <w:pPr>
        <w:pStyle w:val="List Bullet"/>
      </w:pPr>
      <w:r>
        <w:t xml:space="preserve">Indication-specific filtering (schizophrenia, stroke, depression, chronic pain profiles)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Calculate composite rescue potential score: (EP efficacy × target engagement confidence) / psychotomimetic risk phenotype distance.</w:t>
      </w:r>
    </w:p>
    <w:p>
      <w:pPr>
        <w:pStyle w:val="List Bullet"/>
      </w:pPr>
      <w:r>
        <w:t xml:space="preserve">Weigh ADME properties, emphasizing BBB penetration and metabolic stability as constraints.</w:t>
      </w:r>
    </w:p>
    <w:p>
      <w:pPr>
        <w:pStyle w:val="List Bullet"/>
      </w:pPr>
      <w:r>
        <w:t xml:space="preserve">Integrate binding selectivity and allosteric mechanism: rank GluN2A-selective scaffolds separately from 2B-selective.</w:t>
      </w:r>
    </w:p>
    <w:p>
      <w:pPr>
        <w:pStyle w:val="List Bullet"/>
      </w:pPr>
      <w:r>
        <w:t xml:space="preserve">Apply indication-specific filters (e.g., schizophrenia requires lower psychotomimetic risk; stroke allows brief high exposure).</w:t>
      </w:r>
    </w:p>
    <w:p>
      <w:pPr>
        <w:pStyle w:val="List Bullet"/>
      </w:pPr>
      <w:r>
        <w:t xml:space="preserve">Generate final ranking: top 5-10 scaffolds by rescue/safety ratio with confidence intervals and recommendation confidence.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Master ranking table: 25-30 scaffolds with integrated rescue/safety scores (0-100 scale)</w:t>
      </w:r>
    </w:p>
    <w:p>
      <w:pPr>
        <w:pStyle w:val="List Bullet"/>
      </w:pPr>
      <w:r>
        <w:t xml:space="preserve">Top 10 scaffolds with detailed justification, key metrics, and chemical identifiers</w:t>
      </w:r>
    </w:p>
    <w:p>
      <w:pPr>
        <w:pStyle w:val="List Bullet"/>
      </w:pPr>
      <w:r>
        <w:t xml:space="preserve">Risk-benefit matrix visualizations for final top 5</w:t>
      </w:r>
    </w:p>
    <w:p>
      <w:pPr>
        <w:pStyle w:val="List Bullet"/>
      </w:pPr>
      <w:r>
        <w:t xml:space="preserve">Indication-specific rankings (schizophrenia-optimized, stroke-optimized, etc.)</w:t>
      </w:r>
    </w:p>
    <w:p>
      <w:pPr>
        <w:pStyle w:val="List Bullet"/>
      </w:pPr>
      <w:r>
        <w:t xml:space="preserve">Confidence assessment per scaffold (high/medium/low) based on data completeness</w:t>
      </w:r>
    </w:p>
    <w:p>
      <w:pPr>
        <w:pStyle w:val="List Bullet"/>
      </w:pPr>
      <w:r>
        <w:t xml:space="preserve">Recommendations for hit-to-lead optimization addressing remaining liabilities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6: Experimental Validation Planning &amp; Recommendations</w:t>
      </w:r>
    </w:p>
    <w:p>
      <w:r>
        <w:rPr>
          <w:b/>
          <w:bCs/>
        </w:rPr>
        <w:t xml:space="preserve">Purpose:</w:t>
      </w:r>
      <w:r>
        <w:t xml:space="preserve"> Propose targeted experimental studies to validate computational predictions and de-risk top-ranked scaffolds.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Final top 10 scaffold rankings and confidence levels</w:t>
      </w:r>
    </w:p>
    <w:p>
      <w:pPr>
        <w:pStyle w:val="List Bullet"/>
      </w:pPr>
      <w:r>
        <w:t xml:space="preserve">Identified ADME/safety liabilities requiring experimental resolution</w:t>
      </w:r>
    </w:p>
    <w:p>
      <w:pPr>
        <w:pStyle w:val="List Bullet"/>
      </w:pPr>
      <w:r>
        <w:t xml:space="preserve">Binding mode predictions requiring biophysical validation</w:t>
      </w:r>
    </w:p>
    <w:p>
      <w:pPr>
        <w:pStyle w:val="List Bullet"/>
      </w:pPr>
      <w:r>
        <w:t xml:space="preserve">EP phenotype predictions requiring patch-clamp/field recording confirmation</w:t>
      </w:r>
    </w:p>
    <w:p>
      <w:pPr>
        <w:pStyle w:val="List Bullet"/>
      </w:pPr>
      <w:r>
        <w:t xml:space="preserve">Clinical indication requirements and unmet patient needs</w:t>
      </w:r>
    </w:p>
    <w:p>
      <w:pPr>
        <w:pStyle w:val="List Bullet"/>
      </w:pPr>
      <w:r>
        <w:t xml:space="preserve">Available experimental platforms and throughput constraints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Sapphire experimental design optimization module</w:t>
      </w:r>
    </w:p>
    <w:p>
      <w:pPr>
        <w:pStyle w:val="List Bullet"/>
      </w:pPr>
      <w:r>
        <w:t xml:space="preserve">Hit validation protocol generators (patch-clamp, whole-cell, network recording)</w:t>
      </w:r>
    </w:p>
    <w:p>
      <w:pPr>
        <w:pStyle w:val="List Bullet"/>
      </w:pPr>
      <w:r>
        <w:t xml:space="preserve">ADME experimental assay design (PK, BBB penetration, CYP inhibition)</w:t>
      </w:r>
    </w:p>
    <w:p>
      <w:pPr>
        <w:pStyle w:val="List Bullet"/>
      </w:pPr>
      <w:r>
        <w:t xml:space="preserve">Binding affinity validation assays (radioligand displacement, surface plasmon resonance)</w:t>
      </w:r>
    </w:p>
    <w:p>
      <w:pPr>
        <w:pStyle w:val="List Bullet"/>
      </w:pPr>
      <w:r>
        <w:t xml:space="preserve">Statistical power calculators for validation cohort sizing</w:t>
      </w:r>
    </w:p>
    <w:p>
      <w:pPr>
        <w:pStyle w:val="List Bullet"/>
      </w:pPr>
      <w:r>
        <w:t xml:space="preserve">Timeline and resource planning tools for IND-enabling studies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For top 5 scaffolds, design patch-clamp validation experiments targeting GluN2A/2B subunit selectivity confirmation.</w:t>
      </w:r>
    </w:p>
    <w:p>
      <w:pPr>
        <w:pStyle w:val="List Bullet"/>
      </w:pPr>
      <w:r>
        <w:t xml:space="preserve">Prioritize ADME experimental validation (metabolic stability, CYP interactions, brain penetration assays).</w:t>
      </w:r>
    </w:p>
    <w:p>
      <w:pPr>
        <w:pStyle w:val="List Bullet"/>
      </w:pPr>
      <w:r>
        <w:t xml:space="preserve">Propose binding affinity measurement by radioligand displacement or SPR for top 3 scaffolds.</w:t>
      </w:r>
    </w:p>
    <w:p>
      <w:pPr>
        <w:pStyle w:val="List Bullet"/>
      </w:pPr>
      <w:r>
        <w:t xml:space="preserve">Design acute safety studies (ex vivo hippocampal recording networks) comparing top scaffold to memantine positive control.</w:t>
      </w:r>
    </w:p>
    <w:p>
      <w:pPr>
        <w:pStyle w:val="List Bullet"/>
      </w:pPr>
      <w:r>
        <w:t xml:space="preserve">Recommend target indication (schizophrenia, stroke, depression) based on EP phenotype match and competitive landscape.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Prioritized experimental validation roadmap for top 5-10 scaffolds</w:t>
      </w:r>
    </w:p>
    <w:p>
      <w:pPr>
        <w:pStyle w:val="List Bullet"/>
      </w:pPr>
      <w:r>
        <w:t xml:space="preserve">Detailed patch-clamp/electrophysiology protocols with success criteria</w:t>
      </w:r>
    </w:p>
    <w:p>
      <w:pPr>
        <w:pStyle w:val="List Bullet"/>
      </w:pPr>
      <w:r>
        <w:t xml:space="preserve">ADME study recommendations (PK, DDI, BBB penetration assay types)</w:t>
      </w:r>
    </w:p>
    <w:p>
      <w:pPr>
        <w:pStyle w:val="List Bullet"/>
      </w:pPr>
      <w:r>
        <w:t xml:space="preserve">Binding mode validation experiments (radioligand displacement, kinetics assays)</w:t>
      </w:r>
    </w:p>
    <w:p>
      <w:pPr>
        <w:pStyle w:val="List Bullet"/>
      </w:pPr>
      <w:r>
        <w:t xml:space="preserve">Timeline and resource estimate for lead optimization (6-12 months typical)</w:t>
      </w:r>
    </w:p>
    <w:p>
      <w:pPr>
        <w:pStyle w:val="List Bullet"/>
      </w:pPr>
      <w:r>
        <w:t xml:space="preserve">Go/no-go decision criteria and risk mitigation strategies per scaffold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Tools &amp; Databases Summary</w:t>
      </w:r>
    </w:p>
    <w:p>
      <w:pPr>
        <w:pStyle w:val="List Bullet"/>
      </w:pPr>
      <w:r>
        <w:t xml:space="preserve">Sapphire EP CRISPR atlas (~18k gene perturbations, ~3,500 compounds, 500+ features)</w:t>
      </w:r>
    </w:p>
    <w:p>
      <w:pPr>
        <w:pStyle w:val="List Bullet"/>
      </w:pPr>
      <w:r>
        <w:t xml:space="preserve">PubMed/Google Scholar literature mining and curation</w:t>
      </w:r>
    </w:p>
    <w:p>
      <w:pPr>
        <w:pStyle w:val="List Bullet"/>
      </w:pPr>
      <w:r>
        <w:t xml:space="preserve">ChEMBL/PubChem chemical structure databases</w:t>
      </w:r>
    </w:p>
    <w:p>
      <w:pPr>
        <w:pStyle w:val="List Bullet"/>
      </w:pPr>
      <w:r>
        <w:t xml:space="preserve">RCSB PDB protein structure and molecular docking</w:t>
      </w:r>
    </w:p>
    <w:p>
      <w:pPr>
        <w:pStyle w:val="List Bullet"/>
      </w:pPr>
      <w:r>
        <w:t xml:space="preserve">ChemAxon/Schrödinger ADME and molecular modeling</w:t>
      </w:r>
    </w:p>
    <w:p>
      <w:pPr>
        <w:pStyle w:val="List Bullet"/>
      </w:pPr>
      <w:r>
        <w:t xml:space="preserve">SwissADME/ADMETsar online prediction tools</w:t>
      </w:r>
    </w:p>
    <w:p>
      <w:pPr>
        <w:pStyle w:val="List Bullet"/>
      </w:pPr>
      <w:r>
        <w:t xml:space="preserve">Molecular dynamics (AMBER, GROMACS) for binding affinity</w:t>
      </w:r>
    </w:p>
    <w:p>
      <w:pPr>
        <w:pStyle w:val="List Bullet"/>
      </w:pPr>
      <w:r>
        <w:t xml:space="preserve">Machine learning classifiers and multi-criteria decision analysis</w:t>
      </w:r>
    </w:p>
    <w:p>
      <w:pPr>
        <w:pStyle w:val="List Bullet"/>
      </w:pPr>
      <w:r>
        <w:t xml:space="preserve">ClinicalTrials.gov and FDA approval/guidance documents</w:t>
      </w:r>
    </w:p>
    <w:p>
      <w:pPr>
        <w:pStyle w:val="List Bullet"/>
      </w:pPr>
      <w:r>
        <w:t xml:space="preserve">DrugBank/STITCH off-target prediction databases</w:t>
      </w:r>
    </w:p>
    <w:p>
      <w:pPr>
        <w:pStyle w:val="List Bullet"/>
      </w:pPr>
      <w:r>
        <w:t xml:space="preserve">FDA FAERS adverse event reporting system</w:t>
      </w:r>
    </w:p>
    <w:p>
      <w:pPr>
        <w:pStyle w:val="List Bullet"/>
      </w:pPr>
      <w:r>
        <w:t xml:space="preserve">Deep brain stimulation database and clinical outcomes</w:t>
      </w:r>
    </w:p>
    <w:p>
      <w:pPr>
        <w:pStyle w:val="List Bullet"/>
      </w:pPr>
      <w:r>
        <w:t xml:space="preserve">Neuroinflammation biomarker databases (cytokines)</w:t>
      </w:r>
    </w:p>
    <w:p>
      <w:pPr>
        <w:pStyle w:val="List Bullet"/>
      </w:pPr>
      <w:r>
        <w:t xml:space="preserve">Pharmacogenomic databases (PharmGKB, PharmVar)</w:t>
      </w:r>
    </w:p>
    <w:p>
      <w:pPr>
        <w:pStyle w:val="List Bullet"/>
      </w:pPr>
      <w:r>
        <w:t xml:space="preserve">Clinical trial meta-analysis aggregation platforms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2026-03-04T01:16:31.098Z</dcterms:created>
  <dcterms:modified xsi:type="dcterms:W3CDTF">2026-03-04T01:16:31.098Z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