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Sapphire Pipeline Workflow</w:t>
      </w:r>
    </w:p>
    <w:p>
      <w:pPr>
        <w:pStyle w:val="Heading2"/>
      </w:pPr>
      <w:r>
        <w:t xml:space="preserve">For OCD, identify corticostriatal circuit modulators with clinical precedent.</w:t>
      </w:r>
    </w:p>
    <w:p>
      <w:r>
        <w:t xml:space="preserve">This workflow describes systematic application of Sapphire's EP atlas (~18k gene perturbations, ~3,500 compound perturbations, 500+ EP features) to address the core discovery question: For OCD, identify corticostriatal circuit modulators with clinical precedent.</w:t>
      </w:r>
    </w:p>
    <w:p>
      <w:pPr>
        <w:pStyle w:val="Heading2"/>
      </w:pPr>
      <w:r>
        <w:t xml:space="preserve">Pipeline Overview</w:t>
      </w:r>
    </w:p>
    <w:p>
      <w:r>
        <w:t xml:space="preserve">This pipeline integrates literature mining, functional genomics EP phenotyping, computational structure-activity analysis, and clinical translation to generate a prioritized ranking of candidates. The workflow emphasizes multi-dimensional validation: mechanistic support from literature and structural databases, functional confirmation via Sapphire EP profiling, drug-like properties assessment, and alignment with clinical precedent or unmet medical needs.</w:t>
      </w:r>
    </w:p>
    <w:p>
      <w:r>
        <w:t xml:space="preserve">Each stage synthesizes multiple data modalities to progressively filter and refine candidates, reducing a broad initial landscape to a focused set of optimized hits ready for experimental validation. The final output includes go/no-go recommendations and detailed preclinical strategy.</w:t>
      </w:r>
    </w:p>
    <w:p>
      <w:pPr>
        <w:pStyle w:val="Heading2"/>
      </w:pPr>
      <w:r>
        <w:t xml:space="preserve">Stage 1: OCD Neurocircuitry &amp; Genetic Literature Mining</w:t>
      </w:r>
    </w:p>
    <w:p>
      <w:r>
        <w:rPr>
          <w:b/>
          <w:bCs/>
        </w:rPr>
        <w:t xml:space="preserve">Purpose:</w:t>
      </w:r>
      <w:r>
        <w:t xml:space="preserve"> Comprehensively catalog OCD corticostriatal circuit dysfunction and genetic/molecular targets.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OCD neurobiological literature (cortico-striato-thalamo-cortical circuit reviews)</w:t>
      </w:r>
    </w:p>
    <w:p>
      <w:pPr>
        <w:pStyle w:val="List Bullet"/>
      </w:pPr>
      <w:r>
        <w:t xml:space="preserve">SLC1A1 (EAAT3, glutamate transporter) genetic association studies and functional data</w:t>
      </w:r>
    </w:p>
    <w:p>
      <w:pPr>
        <w:pStyle w:val="List Bullet"/>
      </w:pPr>
      <w:r>
        <w:t xml:space="preserve">SAPAP3 (SAP90/PSD-95-associated protein 3) OCD genetic links and mechanistic studies</w:t>
      </w:r>
    </w:p>
    <w:p>
      <w:pPr>
        <w:pStyle w:val="List Bullet"/>
      </w:pPr>
      <w:r>
        <w:t xml:space="preserve">Glutamate dysregulation in OCD: excitotoxicity, synaptic plasticity abnormalities</w:t>
      </w:r>
    </w:p>
    <w:p>
      <w:pPr>
        <w:pStyle w:val="List Bullet"/>
      </w:pPr>
      <w:r>
        <w:t xml:space="preserve">Striatal medium spiny neuron (MSN) dysfunction: direct vs indirect pathway imbalance</w:t>
      </w:r>
    </w:p>
    <w:p>
      <w:pPr>
        <w:pStyle w:val="List Bullet"/>
      </w:pPr>
      <w:r>
        <w:t xml:space="preserve">Deep brain stimulation (DBS) targets and EP correlates in OCD (ventral capsule/ventral striatum)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PubMed/Google Scholar with MeSH terms (OCD, corticostriatal, glutamate, SLC1A1, SAPAP3)</w:t>
      </w:r>
    </w:p>
    <w:p>
      <w:pPr>
        <w:pStyle w:val="List Bullet"/>
      </w:pPr>
      <w:r>
        <w:t xml:space="preserve">GWAS Catalog for OCD genetic associations</w:t>
      </w:r>
    </w:p>
    <w:p>
      <w:pPr>
        <w:pStyle w:val="List Bullet"/>
      </w:pPr>
      <w:r>
        <w:t xml:space="preserve">Allen Brain Atlas for circuit anatomical confirmation</w:t>
      </w:r>
    </w:p>
    <w:p>
      <w:pPr>
        <w:pStyle w:val="List Bullet"/>
      </w:pPr>
      <w:r>
        <w:t xml:space="preserve">NeuroBase/AccessMedicine OCD neurobiology reviews</w:t>
      </w:r>
    </w:p>
    <w:p>
      <w:pPr>
        <w:pStyle w:val="List Bullet"/>
      </w:pPr>
      <w:r>
        <w:t xml:space="preserve">DBS database (surgical outcomes, brain coordinates, EP recordings)</w:t>
      </w:r>
    </w:p>
    <w:p>
      <w:pPr>
        <w:pStyle w:val="List Bullet"/>
      </w:pPr>
      <w:r>
        <w:t xml:space="preserve">SFARI/Autism Genetic Database cross-reference (OCD overlap)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Systematically extract SLC1A1 genetics and functional evidence: LOF mutations, expression effects, mechanistic impact on glutamate clearance.</w:t>
      </w:r>
    </w:p>
    <w:p>
      <w:pPr>
        <w:pStyle w:val="List Bullet"/>
      </w:pPr>
      <w:r>
        <w:t xml:space="preserve">Compile SAPAP3 OCD associations: loss-of-function mutations, effects on postsynaptic scaffolding, circuit consequences.</w:t>
      </w:r>
    </w:p>
    <w:p>
      <w:pPr>
        <w:pStyle w:val="List Bullet"/>
      </w:pPr>
      <w:r>
        <w:t xml:space="preserve">Map glutamate dysregulation mechanisms in OCD: increased extracellular Glu, impaired reuptake, excitotoxicity vs plasticity imbalance.</w:t>
      </w:r>
    </w:p>
    <w:p>
      <w:pPr>
        <w:pStyle w:val="List Bullet"/>
      </w:pPr>
      <w:r>
        <w:t xml:space="preserve">Extract direct vs indirect pathway MSN dysfunction in OCD: evidence for circuit imbalance, firing pattern abnormalities.</w:t>
      </w:r>
    </w:p>
    <w:p>
      <w:pPr>
        <w:pStyle w:val="List Bullet"/>
      </w:pPr>
      <w:r>
        <w:t xml:space="preserve">Compile DBS efficacy data and associated EP biomarkers: which oscillatory/firing patterns improve with DBS.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Comprehensive OCD corticostriatal circuit map: anatomical pathways, key nodes, dysfunction patterns</w:t>
      </w:r>
    </w:p>
    <w:p>
      <w:pPr>
        <w:pStyle w:val="List Bullet"/>
      </w:pPr>
      <w:r>
        <w:t xml:space="preserve">Genetic target summary: SLC1A1, SAPAP3, glutamate pathway genes with evidence strength</w:t>
      </w:r>
    </w:p>
    <w:p>
      <w:pPr>
        <w:pStyle w:val="List Bullet"/>
      </w:pPr>
      <w:r>
        <w:t xml:space="preserve">Mechanistic hierarchy: glutamate dysregulation severity and circuit consequences</w:t>
      </w:r>
    </w:p>
    <w:p>
      <w:pPr>
        <w:pStyle w:val="List Bullet"/>
      </w:pPr>
      <w:r>
        <w:t xml:space="preserve">MSN dysfunction classification: direct pathway hyperactivity, indirect pathway hypoactivity patterns</w:t>
      </w:r>
    </w:p>
    <w:p>
      <w:pPr>
        <w:pStyle w:val="List Bullet"/>
      </w:pPr>
      <w:r>
        <w:t xml:space="preserve">DBS efficacy biomarkers: EP signatures associated with therapeutic response</w:t>
      </w:r>
    </w:p>
    <w:p>
      <w:pPr>
        <w:pStyle w:val="List Bullet"/>
      </w:pPr>
      <w:r>
        <w:t xml:space="preserve">Prioritized intervention targets: SLC1A1, SAPAP3, glutamate regulation, MSN plasticity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2: SLC1A1 &amp; SAPAP3 Functional Genomics from Sapphire Atlas</w:t>
      </w:r>
    </w:p>
    <w:p>
      <w:r>
        <w:rPr>
          <w:b/>
          <w:bCs/>
        </w:rPr>
        <w:t xml:space="preserve">Purpose:</w:t>
      </w:r>
      <w:r>
        <w:t xml:space="preserve"> Quantify SLC1A1/SAPAP3 loss-of-function EP phenotypes and identify corrective compounds.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Sapphire EP atlas SLC1A1 knockout/knockdown neurons (striatum, prefrontal cortex, dorsolateral striatum)</w:t>
      </w:r>
    </w:p>
    <w:p>
      <w:pPr>
        <w:pStyle w:val="List Bullet"/>
      </w:pPr>
      <w:r>
        <w:t xml:space="preserve">SAPAP3 knockout/knockdown neurons with matched circuit context</w:t>
      </w:r>
    </w:p>
    <w:p>
      <w:pPr>
        <w:pStyle w:val="List Bullet"/>
      </w:pPr>
      <w:r>
        <w:t xml:space="preserve">Wild-type reference neurons from same brain regions for comparison</w:t>
      </w:r>
    </w:p>
    <w:p>
      <w:pPr>
        <w:pStyle w:val="List Bullet"/>
      </w:pPr>
      <w:r>
        <w:t xml:space="preserve">500+ EP features: glutamatergic input sensitivity, excitatory-inhibitory balance, synaptic plasticity proxies</w:t>
      </w:r>
    </w:p>
    <w:p>
      <w:pPr>
        <w:pStyle w:val="List Bullet"/>
      </w:pPr>
      <w:r>
        <w:t xml:space="preserve">~3,500 compound perturbations: glutamate transport enhancers, SAPAP3 stabilizers, MSN plasticity modulators</w:t>
      </w:r>
    </w:p>
    <w:p>
      <w:pPr>
        <w:pStyle w:val="List Bullet"/>
      </w:pPr>
      <w:r>
        <w:t xml:space="preserve">Disease-relevant EP signatures from human OCD neural models if available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Sapphire atlas interface filtered for SLC1A1/SAPAP3 perturbations</w:t>
      </w:r>
    </w:p>
    <w:p>
      <w:pPr>
        <w:pStyle w:val="List Bullet"/>
      </w:pPr>
      <w:r>
        <w:t xml:space="preserve">EP feature extraction: glutamatergic current response, EPSC amplitude/frequency, firing rate stability</w:t>
      </w:r>
    </w:p>
    <w:p>
      <w:pPr>
        <w:pStyle w:val="List Bullet"/>
      </w:pPr>
      <w:r>
        <w:t xml:space="preserve">Differential EP phenotyping: LOF mutant vs WT comparison, effect size quantification</w:t>
      </w:r>
    </w:p>
    <w:p>
      <w:pPr>
        <w:pStyle w:val="List Bullet"/>
      </w:pPr>
      <w:r>
        <w:t xml:space="preserve">Compound-perturbation interaction analysis: rescue of LOF phenotypes</w:t>
      </w:r>
    </w:p>
    <w:p>
      <w:pPr>
        <w:pStyle w:val="List Bullet"/>
      </w:pPr>
      <w:r>
        <w:t xml:space="preserve">Machine learning: identify compounds with corrective EP signature</w:t>
      </w:r>
    </w:p>
    <w:p>
      <w:pPr>
        <w:pStyle w:val="List Bullet"/>
      </w:pPr>
      <w:r>
        <w:t xml:space="preserve">Synaptic plasticity proxy metrics (long-term potentiation/depression correlates)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Extract SLC1A1-KO EP phenotypes: quantify glutamatergic input sensitivity increase, excitotoxicity proxies.</w:t>
      </w:r>
    </w:p>
    <w:p>
      <w:pPr>
        <w:pStyle w:val="List Bullet"/>
      </w:pPr>
      <w:r>
        <w:t xml:space="preserve">Characterize SAPAP3-KO EP signatures: synaptic plasticity defects, MSN firing pattern abnormalities.</w:t>
      </w:r>
    </w:p>
    <w:p>
      <w:pPr>
        <w:pStyle w:val="List Bullet"/>
      </w:pPr>
      <w:r>
        <w:t xml:space="preserve">Identify compounds restoring normal glutamate sensitivity and synaptic balance in SLC1A1-KO neurons.</w:t>
      </w:r>
    </w:p>
    <w:p>
      <w:pPr>
        <w:pStyle w:val="List Bullet"/>
      </w:pPr>
      <w:r>
        <w:t xml:space="preserve">Rank compounds by rescue potency: fold-change in EP metrics comparing KO + compound vs KO alone.</w:t>
      </w:r>
    </w:p>
    <w:p>
      <w:pPr>
        <w:pStyle w:val="List Bullet"/>
      </w:pPr>
      <w:r>
        <w:t xml:space="preserve">Predict mechanism: which compounds work through glutamate transporter upregulation vs SAPAP3 stabilization vs indirect MSN plasticity.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SLC1A1-KO and SAPAP3-KO EP phenotype profiles with 500+ features</w:t>
      </w:r>
    </w:p>
    <w:p>
      <w:pPr>
        <w:pStyle w:val="List Bullet"/>
      </w:pPr>
      <w:r>
        <w:t xml:space="preserve">Quantified deficits: glutamatergic sensitivity increase (effect size, p-value, 95% CI)</w:t>
      </w:r>
    </w:p>
    <w:p>
      <w:pPr>
        <w:pStyle w:val="List Bullet"/>
      </w:pPr>
      <w:r>
        <w:t xml:space="preserve">Compound rescue ranking: top 20 compounds ranked by rescue potency</w:t>
      </w:r>
    </w:p>
    <w:p>
      <w:pPr>
        <w:pStyle w:val="List Bullet"/>
      </w:pPr>
      <w:r>
        <w:t xml:space="preserve">Mechanism classification: direct (glutamate transport, SAPAP3) vs indirect (MSN plasticity, neuromodulation)</w:t>
      </w:r>
    </w:p>
    <w:p>
      <w:pPr>
        <w:pStyle w:val="List Bullet"/>
      </w:pPr>
      <w:r>
        <w:t xml:space="preserve">Clinical precedent mapping: compounds with human OCD trial data</w:t>
      </w:r>
    </w:p>
    <w:p>
      <w:pPr>
        <w:pStyle w:val="List Bullet"/>
      </w:pPr>
      <w:r>
        <w:t xml:space="preserve">Top 8-10 compounds with highest rescue potential and mechanistic certainty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3: Circuit-Level EP Profiling in Corticostriatal Networks</w:t>
      </w:r>
    </w:p>
    <w:p>
      <w:r>
        <w:rPr>
          <w:b/>
          <w:bCs/>
        </w:rPr>
        <w:t xml:space="preserve">Purpose:</w:t>
      </w:r>
      <w:r>
        <w:t xml:space="preserve"> Assess circuit-level effects of candidates on corticostriatal balance and OCD-relevant oscillations.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Sapphire networked recordings (if available) or multi-region EP data from prefrontal-striatal preparations</w:t>
      </w:r>
    </w:p>
    <w:p>
      <w:pPr>
        <w:pStyle w:val="List Bullet"/>
      </w:pPr>
      <w:r>
        <w:t xml:space="preserve">Direct pathway (D1-MSN) vs indirect pathway (D2-MSN) selective recordings</w:t>
      </w:r>
    </w:p>
    <w:p>
      <w:pPr>
        <w:pStyle w:val="List Bullet"/>
      </w:pPr>
      <w:r>
        <w:t xml:space="preserve">OCD-relevant oscillatory abnormalities from literature (beta oscillations, theta/gamma imbalance)</w:t>
      </w:r>
    </w:p>
    <w:p>
      <w:pPr>
        <w:pStyle w:val="List Bullet"/>
      </w:pPr>
      <w:r>
        <w:t xml:space="preserve">Synaptic connectivity metrics: prefrontal-striatal coupling, feedback loop signatures</w:t>
      </w:r>
    </w:p>
    <w:p>
      <w:pPr>
        <w:pStyle w:val="List Bullet"/>
      </w:pPr>
      <w:r>
        <w:t xml:space="preserve">Compound effects on circuit-level EP: tested in multi-neuron/network preparations</w:t>
      </w:r>
    </w:p>
    <w:p>
      <w:pPr>
        <w:pStyle w:val="List Bullet"/>
      </w:pPr>
      <w:r>
        <w:t xml:space="preserve">DBS stimulation protocols and network response patterns (for mechanism validation)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Network-level EP analysis tools (connectivity analysis, spectral coherence, oscillation detection)</w:t>
      </w:r>
    </w:p>
    <w:p>
      <w:pPr>
        <w:pStyle w:val="List Bullet"/>
      </w:pPr>
      <w:r>
        <w:t xml:space="preserve">Circuit modeling (mean-field models, computational simulations of D1/D2 balance)</w:t>
      </w:r>
    </w:p>
    <w:p>
      <w:pPr>
        <w:pStyle w:val="List Bullet"/>
      </w:pPr>
      <w:r>
        <w:t xml:space="preserve">Dimensionality reduction for multi-region EP: PCA, ICA of circuit states</w:t>
      </w:r>
    </w:p>
    <w:p>
      <w:pPr>
        <w:pStyle w:val="List Bullet"/>
      </w:pPr>
      <w:r>
        <w:t xml:space="preserve">Causality analysis (Granger causality, transfer entropy) for directed connectivity</w:t>
      </w:r>
    </w:p>
    <w:p>
      <w:pPr>
        <w:pStyle w:val="List Bullet"/>
      </w:pPr>
      <w:r>
        <w:t xml:space="preserve">Dynamical systems analysis for circuit stability and abnormal attractor states</w:t>
      </w:r>
    </w:p>
    <w:p>
      <w:pPr>
        <w:pStyle w:val="List Bullet"/>
      </w:pPr>
      <w:r>
        <w:t xml:space="preserve">Machine learning: classify normal vs OCD-like circuit states, predict therapeutic response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Characterize corticostriatal circuit dysfunction in SLC1A1/SAPAP3-KO networks: D1/D2 imbalance, oscillatory abnormalities.</w:t>
      </w:r>
    </w:p>
    <w:p>
      <w:pPr>
        <w:pStyle w:val="List Bullet"/>
      </w:pPr>
      <w:r>
        <w:t xml:space="preserve">Identify OCD-relevant circuit biomarkers: which oscillation frequencies, connectivity patterns predict therapeutic response.</w:t>
      </w:r>
    </w:p>
    <w:p>
      <w:pPr>
        <w:pStyle w:val="List Bullet"/>
      </w:pPr>
      <w:r>
        <w:t xml:space="preserve">Rank compounds by circuit-level rescue: restoration of normal D1/D2 balance and OCD-abnormal oscillation suppression.</w:t>
      </w:r>
    </w:p>
    <w:p>
      <w:pPr>
        <w:pStyle w:val="List Bullet"/>
      </w:pPr>
      <w:r>
        <w:t xml:space="preserve">Predict DBS mechanism alignment: compounds augmenting DBS-like circuit effects vs independent mechanisms.</w:t>
      </w:r>
    </w:p>
    <w:p>
      <w:pPr>
        <w:pStyle w:val="List Bullet"/>
      </w:pPr>
      <w:r>
        <w:t xml:space="preserve">Assess combination strategies: compounds + low-frequency stimulation predicted to maximize circuit correction.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OCD circuit phenotype characterization: D1/D2 pathway imbalance metrics, oscillatory abnormalities</w:t>
      </w:r>
    </w:p>
    <w:p>
      <w:pPr>
        <w:pStyle w:val="List Bullet"/>
      </w:pPr>
      <w:r>
        <w:t xml:space="preserve">Circuit-level rescue scores for top 20 candidates</w:t>
      </w:r>
    </w:p>
    <w:p>
      <w:pPr>
        <w:pStyle w:val="List Bullet"/>
      </w:pPr>
      <w:r>
        <w:t xml:space="preserve">Oscillation biomarkers of therapeutic response (beta/gamma frequency-specific effects)</w:t>
      </w:r>
    </w:p>
    <w:p>
      <w:pPr>
        <w:pStyle w:val="List Bullet"/>
      </w:pPr>
      <w:r>
        <w:t xml:space="preserve">Directed connectivity changes: compounds restoring normal prefrontal → striatal information flow</w:t>
      </w:r>
    </w:p>
    <w:p>
      <w:pPr>
        <w:pStyle w:val="List Bullet"/>
      </w:pPr>
      <w:r>
        <w:t xml:space="preserve">DBS-aligned mechanism ranking: compounds predicted to augment DBS efficacy</w:t>
      </w:r>
    </w:p>
    <w:p>
      <w:pPr>
        <w:pStyle w:val="List Bullet"/>
      </w:pPr>
      <w:r>
        <w:t xml:space="preserve">Top 5-8 compounds ranked by circuit-level correction and clinical mechanism alignment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4: SRI Augmentation &amp; Clinical Precedent Analysis</w:t>
      </w:r>
    </w:p>
    <w:p>
      <w:r>
        <w:rPr>
          <w:b/>
          <w:bCs/>
        </w:rPr>
        <w:t xml:space="preserve">Purpose:</w:t>
      </w:r>
      <w:r>
        <w:t xml:space="preserve"> Identify compounds with clinical precedent as SSRI/SRI augmentation strategies in OCD.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Clinical trial data for OCD SSRI augmentation strategies (antipsychotics, glutamate modulators, N-acetylcysteine)</w:t>
      </w:r>
    </w:p>
    <w:p>
      <w:pPr>
        <w:pStyle w:val="List Bullet"/>
      </w:pPr>
      <w:r>
        <w:t xml:space="preserve">SSRI monotherapy limitations: 40-60% treatment resistance in OCD</w:t>
      </w:r>
    </w:p>
    <w:p>
      <w:pPr>
        <w:pStyle w:val="List Bullet"/>
      </w:pPr>
      <w:r>
        <w:t xml:space="preserve">Mechanism of action for successful augmentation compounds (D2 blockade, glutamate/NMDA modulation, mitochondrial support)</w:t>
      </w:r>
    </w:p>
    <w:p>
      <w:pPr>
        <w:pStyle w:val="List Bullet"/>
      </w:pPr>
      <w:r>
        <w:t xml:space="preserve">Pharmacogenomic factors affecting SSRI response (serotonin transporter variants, metabolizer status)</w:t>
      </w:r>
    </w:p>
    <w:p>
      <w:pPr>
        <w:pStyle w:val="List Bullet"/>
      </w:pPr>
      <w:r>
        <w:t xml:space="preserve">Dosing and tolerability data for augmentation in OCD (vs other indications)</w:t>
      </w:r>
    </w:p>
    <w:p>
      <w:pPr>
        <w:pStyle w:val="List Bullet"/>
      </w:pPr>
      <w:r>
        <w:t xml:space="preserve">Long-term efficacy and relapse rates for augmentation strategies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ClinicalTrials.gov search: OCD augmentation strategies</w:t>
      </w:r>
    </w:p>
    <w:p>
      <w:pPr>
        <w:pStyle w:val="List Bullet"/>
      </w:pPr>
      <w:r>
        <w:t xml:space="preserve">PubMed meta-analyses of SSRI augmentation efficacy</w:t>
      </w:r>
    </w:p>
    <w:p>
      <w:pPr>
        <w:pStyle w:val="List Bullet"/>
      </w:pPr>
      <w:r>
        <w:t xml:space="preserve">FDA-approved augmentation agents and indication labeling</w:t>
      </w:r>
    </w:p>
    <w:p>
      <w:pPr>
        <w:pStyle w:val="List Bullet"/>
      </w:pPr>
      <w:r>
        <w:t xml:space="preserve">Pharmacogenomic databases for SSRI response biomarkers</w:t>
      </w:r>
    </w:p>
    <w:p>
      <w:pPr>
        <w:pStyle w:val="List Bullet"/>
      </w:pPr>
      <w:r>
        <w:t xml:space="preserve">Treatment guideline databases (NICE, APA, International OCD Foundation)</w:t>
      </w:r>
    </w:p>
    <w:p>
      <w:pPr>
        <w:pStyle w:val="List Bullet"/>
      </w:pPr>
      <w:r>
        <w:t xml:space="preserve">Real-world effectiveness registries (STAR*D for OCD, if available)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Systematically extract clinical OCD augmentation efficacy: antipsychotics (aripiprazole, risperidone), glutamate modulators, N-acetylcysteine.</w:t>
      </w:r>
    </w:p>
    <w:p>
      <w:pPr>
        <w:pStyle w:val="List Bullet"/>
      </w:pPr>
      <w:r>
        <w:t xml:space="preserve">Identify mechanism-specific augmentation: which compound classes work for treatment-resistant vs partially-responsive OCD.</w:t>
      </w:r>
    </w:p>
    <w:p>
      <w:pPr>
        <w:pStyle w:val="List Bullet"/>
      </w:pPr>
      <w:r>
        <w:t xml:space="preserve">Extract pharmacogenomic predictors of SSRI response/resistance relevant to augmentation strategy selection.</w:t>
      </w:r>
    </w:p>
    <w:p>
      <w:pPr>
        <w:pStyle w:val="List Bullet"/>
      </w:pPr>
      <w:r>
        <w:t xml:space="preserve">Compile dosing, duration, and tolerability data for successful augmentation approaches.</w:t>
      </w:r>
    </w:p>
    <w:p>
      <w:pPr>
        <w:pStyle w:val="List Bullet"/>
      </w:pPr>
      <w:r>
        <w:t xml:space="preserve">Identify clinical trial design considerations for OCD augmentation studies (YBOCS improvement thresholds, duration, endpoints).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Summary of clinically-proven OCD augmentation strategies with efficacy rates</w:t>
      </w:r>
    </w:p>
    <w:p>
      <w:pPr>
        <w:pStyle w:val="List Bullet"/>
      </w:pPr>
      <w:r>
        <w:t xml:space="preserve">Mechanism-specific augmentation categorization (D2 antagonism, glutamate modulation, neuroinflammation, etc.)</w:t>
      </w:r>
    </w:p>
    <w:p>
      <w:pPr>
        <w:pStyle w:val="List Bullet"/>
      </w:pPr>
      <w:r>
        <w:t xml:space="preserve">Pharmacogenomic predictors of augmentation response</w:t>
      </w:r>
    </w:p>
    <w:p>
      <w:pPr>
        <w:pStyle w:val="List Bullet"/>
      </w:pPr>
      <w:r>
        <w:t xml:space="preserve">Recommended dosing, titration, and monitoring strategies for established augmenters</w:t>
      </w:r>
    </w:p>
    <w:p>
      <w:pPr>
        <w:pStyle w:val="List Bullet"/>
      </w:pPr>
      <w:r>
        <w:t xml:space="preserve">Clinical trial design template for novel augmentation candidates (patient selection, endpoints, duration)</w:t>
      </w:r>
    </w:p>
    <w:p>
      <w:pPr>
        <w:pStyle w:val="List Bullet"/>
      </w:pPr>
      <w:r>
        <w:t xml:space="preserve">Ranking of top 8-10 experimental compounds by clinical precedent alignment (similar mechanisms to proven augmenters)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5: Integrated Ranking: Circuit Correction, Clinical Precedent &amp; Mechanism Certainty</w:t>
      </w:r>
    </w:p>
    <w:p>
      <w:r>
        <w:rPr>
          <w:b/>
          <w:bCs/>
        </w:rPr>
        <w:t xml:space="preserve">Purpose:</w:t>
      </w:r>
      <w:r>
        <w:t xml:space="preserve"> Synthesize EP-based circuit rescue, clinical augmentation data, and mechanistic certainty.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Circuit-level rescue scores from Stage 3 (corticostriatal balance, oscillation correction)</w:t>
      </w:r>
    </w:p>
    <w:p>
      <w:pPr>
        <w:pStyle w:val="List Bullet"/>
      </w:pPr>
      <w:r>
        <w:t xml:space="preserve">Clinical precedent analysis from Stage 4 (OCD augmentation efficacy, dosing, safety)</w:t>
      </w:r>
    </w:p>
    <w:p>
      <w:pPr>
        <w:pStyle w:val="List Bullet"/>
      </w:pPr>
      <w:r>
        <w:t xml:space="preserve">SLC1A1/SAPAP3 mechanistic evidence strength (functional genomics validation)</w:t>
      </w:r>
    </w:p>
    <w:p>
      <w:pPr>
        <w:pStyle w:val="List Bullet"/>
      </w:pPr>
      <w:r>
        <w:t xml:space="preserve">Safety and tolerability profiles (adverse events, drug-drug interactions with SSRIs)</w:t>
      </w:r>
    </w:p>
    <w:p>
      <w:pPr>
        <w:pStyle w:val="List Bullet"/>
      </w:pPr>
      <w:r>
        <w:t xml:space="preserve">Indication-specific considerations: OCD severity spectrum, comorbidities, treatment-resistant phenotypes</w:t>
      </w:r>
    </w:p>
    <w:p>
      <w:pPr>
        <w:pStyle w:val="List Bullet"/>
      </w:pPr>
      <w:r>
        <w:t xml:space="preserve">Regulatory pathways (augmentation indication vs monotherapy vs combination product)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Multi-criteria ranking framework: circuit rescue × clinical precedent × mechanistic certainty</w:t>
      </w:r>
    </w:p>
    <w:p>
      <w:pPr>
        <w:pStyle w:val="List Bullet"/>
      </w:pPr>
      <w:r>
        <w:t xml:space="preserve">Evidence grading: strength-of-evidence assessment for mechanistic predictions</w:t>
      </w:r>
    </w:p>
    <w:p>
      <w:pPr>
        <w:pStyle w:val="List Bullet"/>
      </w:pPr>
      <w:r>
        <w:t xml:space="preserve">Risk-benefit analysis: therapeutic gain vs adverse event potential</w:t>
      </w:r>
    </w:p>
    <w:p>
      <w:pPr>
        <w:pStyle w:val="List Bullet"/>
      </w:pPr>
      <w:r>
        <w:t xml:space="preserve">Combination therapy prediction: compound + SSRI synergy modeling</w:t>
      </w:r>
    </w:p>
    <w:p>
      <w:pPr>
        <w:pStyle w:val="List Bullet"/>
      </w:pPr>
      <w:r>
        <w:t xml:space="preserve">Indication-specific optimization: treatment-resistant OCD vs early-intervention OCD</w:t>
      </w:r>
    </w:p>
    <w:p>
      <w:pPr>
        <w:pStyle w:val="List Bullet"/>
      </w:pPr>
      <w:r>
        <w:t xml:space="preserve">Regulatory pathway decision tools (IND strategy, combination therapy considerations)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Calculate composite score: (circuit rescue × clinical precedent confidence) / safety concern severity.</w:t>
      </w:r>
    </w:p>
    <w:p>
      <w:pPr>
        <w:pStyle w:val="List Bullet"/>
      </w:pPr>
      <w:r>
        <w:t xml:space="preserve">Weight mechanistic certainty: prioritize compounds with validated SLC1A1/SAPAP3 mechanisms and circuit-level validation.</w:t>
      </w:r>
    </w:p>
    <w:p>
      <w:pPr>
        <w:pStyle w:val="List Bullet"/>
      </w:pPr>
      <w:r>
        <w:t xml:space="preserve">Apply clinical precedent weighting: favor compounds with published OCD trial data or structurally-similar augmenters.</w:t>
      </w:r>
    </w:p>
    <w:p>
      <w:pPr>
        <w:pStyle w:val="List Bullet"/>
      </w:pPr>
      <w:r>
        <w:t xml:space="preserve">Assess SSRI drug-drug interactions and synergy: compounds predicted to enhance SSRI efficacy without toxicity.</w:t>
      </w:r>
    </w:p>
    <w:p>
      <w:pPr>
        <w:pStyle w:val="List Bullet"/>
      </w:pPr>
      <w:r>
        <w:t xml:space="preserve">Generate indication-specific rankings: treatment-resistant OCD (allow higher risk tolerance) vs first-line augmentation (stringent safety).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Master ranking: 20-25 compounds scored on circuit rescue, clinical precedent, and mechanistic certainty</w:t>
      </w:r>
    </w:p>
    <w:p>
      <w:pPr>
        <w:pStyle w:val="List Bullet"/>
      </w:pPr>
      <w:r>
        <w:t xml:space="preserve">Top 10 candidates with integrated justification and confidence levels (high/medium/low)</w:t>
      </w:r>
    </w:p>
    <w:p>
      <w:pPr>
        <w:pStyle w:val="List Bullet"/>
      </w:pPr>
      <w:r>
        <w:t xml:space="preserve">Circuit-level mechanism specificity: direct (SLC1A1/SAPAP3) vs indirect (MSN plasticity, antipsychotic-like)</w:t>
      </w:r>
    </w:p>
    <w:p>
      <w:pPr>
        <w:pStyle w:val="List Bullet"/>
      </w:pPr>
      <w:r>
        <w:t xml:space="preserve">Clinical precedent category assignment (proven augmenters, structurally-similar compounds, novel mechanisms)</w:t>
      </w:r>
    </w:p>
    <w:p>
      <w:pPr>
        <w:pStyle w:val="List Bullet"/>
      </w:pPr>
      <w:r>
        <w:t xml:space="preserve">SSRI combination optimization: predicted synergy vs antagonism with standard OCD therapy</w:t>
      </w:r>
    </w:p>
    <w:p>
      <w:pPr>
        <w:pStyle w:val="List Bullet"/>
      </w:pPr>
      <w:r>
        <w:t xml:space="preserve">Regulatory strategy recommendations: augmentation indication prioritization and IND pathway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6: DBS Alignment &amp; Neuromodulation Strategy Development</w:t>
      </w:r>
    </w:p>
    <w:p>
      <w:r>
        <w:rPr>
          <w:b/>
          <w:bCs/>
        </w:rPr>
        <w:t xml:space="preserve">Purpose:</w:t>
      </w:r>
      <w:r>
        <w:t xml:space="preserve"> Align pharmacologic interventions with DBS mechanisms and explore integrated treatment strategies.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DBS efficacy data in OCD: ventral capsule/ventral striatum (VC/VS) targets, remission rates</w:t>
      </w:r>
    </w:p>
    <w:p>
      <w:pPr>
        <w:pStyle w:val="List Bullet"/>
      </w:pPr>
      <w:r>
        <w:t xml:space="preserve">DBS mechanism hypothesis: circuit normalization, oscillatory correction, synaptic plasticity enhancement</w:t>
      </w:r>
    </w:p>
    <w:p>
      <w:pPr>
        <w:pStyle w:val="List Bullet"/>
      </w:pPr>
      <w:r>
        <w:t xml:space="preserve">EP biomarkers from DBS studies: oscillatory changes, connectivity restoration, neuroplasticity correlates</w:t>
      </w:r>
    </w:p>
    <w:p>
      <w:pPr>
        <w:pStyle w:val="List Bullet"/>
      </w:pPr>
      <w:r>
        <w:t xml:space="preserve">Pharmacologic-DBS interactions: theoretical and empirical evidence</w:t>
      </w:r>
    </w:p>
    <w:p>
      <w:pPr>
        <w:pStyle w:val="List Bullet"/>
      </w:pPr>
      <w:r>
        <w:t xml:space="preserve">Combined modality outcomes (if available): DBS + pharmacotherapy vs monotherapy</w:t>
      </w:r>
    </w:p>
    <w:p>
      <w:pPr>
        <w:pStyle w:val="List Bullet"/>
      </w:pPr>
      <w:r>
        <w:t xml:space="preserve">Mechanistic alignment opportunities: compounds enhancing DBS-induced plasticity, potentiating VC/VS stimulation effects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DBS outcomes database and EP correlation analysis</w:t>
      </w:r>
    </w:p>
    <w:p>
      <w:pPr>
        <w:pStyle w:val="List Bullet"/>
      </w:pPr>
      <w:r>
        <w:t xml:space="preserve">Circuit modeling: integration of DBS effects + pharmacologic modulation</w:t>
      </w:r>
    </w:p>
    <w:p>
      <w:pPr>
        <w:pStyle w:val="List Bullet"/>
      </w:pPr>
      <w:r>
        <w:t xml:space="preserve">Neuroplasticity simulation: compound × DBS synergy predictions</w:t>
      </w:r>
    </w:p>
    <w:p>
      <w:pPr>
        <w:pStyle w:val="List Bullet"/>
      </w:pPr>
      <w:r>
        <w:t xml:space="preserve">Computational models of oscillatory dynamics: DBS-induced normalization vs pharmacologic correction</w:t>
      </w:r>
    </w:p>
    <w:p>
      <w:pPr>
        <w:pStyle w:val="List Bullet"/>
      </w:pPr>
      <w:r>
        <w:t xml:space="preserve">Clinical trial design for combination DBS + pharmacotherapy studies</w:t>
      </w:r>
    </w:p>
    <w:p>
      <w:pPr>
        <w:pStyle w:val="List Bullet"/>
      </w:pPr>
      <w:r>
        <w:t xml:space="preserve">Biomarker selection for combination therapy response prediction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Extract DBS-induced EP changes: which oscillations are normalized, circuit connectivity restored, synaptic plasticity markers enhanced.</w:t>
      </w:r>
    </w:p>
    <w:p>
      <w:pPr>
        <w:pStyle w:val="List Bullet"/>
      </w:pPr>
      <w:r>
        <w:t xml:space="preserve">Map pharmacologic mechanisms to DBS effects: identify compounds predicted to augment DBS circuit normalization.</w:t>
      </w:r>
    </w:p>
    <w:p>
      <w:pPr>
        <w:pStyle w:val="List Bullet"/>
      </w:pPr>
      <w:r>
        <w:t xml:space="preserve">Design combination strategies: pharmacologic compounds + low-frequency VC/VS stimulation synergy predictions.</w:t>
      </w:r>
    </w:p>
    <w:p>
      <w:pPr>
        <w:pStyle w:val="List Bullet"/>
      </w:pPr>
      <w:r>
        <w:t xml:space="preserve">Propose biomarkers predicting DBS + compound combination response (oscillatory signatures, connectivity metrics).</w:t>
      </w:r>
    </w:p>
    <w:p>
      <w:pPr>
        <w:pStyle w:val="List Bullet"/>
      </w:pPr>
      <w:r>
        <w:t xml:space="preserve">Develop regulatory and clinical trial strategy for combination device-drug treatment in OCD.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DBS mechanism summary: circuit normalization, EP biomarkers of therapeutic response</w:t>
      </w:r>
    </w:p>
    <w:p>
      <w:pPr>
        <w:pStyle w:val="List Bullet"/>
      </w:pPr>
      <w:r>
        <w:t xml:space="preserve">Compound-DBS alignment analysis: pharmacologic mechanisms complementary to DBS effects</w:t>
      </w:r>
    </w:p>
    <w:p>
      <w:pPr>
        <w:pStyle w:val="List Bullet"/>
      </w:pPr>
      <w:r>
        <w:t xml:space="preserve">Top 5 compounds predicted to synergize with DBS (e.g., plasticity enhancers, oscillation normalizers)</w:t>
      </w:r>
    </w:p>
    <w:p>
      <w:pPr>
        <w:pStyle w:val="List Bullet"/>
      </w:pPr>
      <w:r>
        <w:t xml:space="preserve">Combination therapy strategy framework: optimal timing, dosing, stimulation parameters</w:t>
      </w:r>
    </w:p>
    <w:p>
      <w:pPr>
        <w:pStyle w:val="List Bullet"/>
      </w:pPr>
      <w:r>
        <w:t xml:space="preserve">Biomarker panel for predicting combination therapy response</w:t>
      </w:r>
    </w:p>
    <w:p>
      <w:pPr>
        <w:pStyle w:val="List Bullet"/>
      </w:pPr>
      <w:r>
        <w:t xml:space="preserve">Clinical development roadmap for DBS + pharmacotherapy trials in treatment-resistant OCD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Tools &amp; Databases Summary</w:t>
      </w:r>
    </w:p>
    <w:p>
      <w:pPr>
        <w:pStyle w:val="List Bullet"/>
      </w:pPr>
      <w:r>
        <w:t xml:space="preserve">Sapphire EP CRISPR atlas (~18k gene perturbations, ~3,500 compounds, 500+ features)</w:t>
      </w:r>
    </w:p>
    <w:p>
      <w:pPr>
        <w:pStyle w:val="List Bullet"/>
      </w:pPr>
      <w:r>
        <w:t xml:space="preserve">PubMed/Google Scholar literature mining and curation</w:t>
      </w:r>
    </w:p>
    <w:p>
      <w:pPr>
        <w:pStyle w:val="List Bullet"/>
      </w:pPr>
      <w:r>
        <w:t xml:space="preserve">ChEMBL/PubChem chemical structure databases</w:t>
      </w:r>
    </w:p>
    <w:p>
      <w:pPr>
        <w:pStyle w:val="List Bullet"/>
      </w:pPr>
      <w:r>
        <w:t xml:space="preserve">RCSB PDB protein structure and molecular docking</w:t>
      </w:r>
    </w:p>
    <w:p>
      <w:pPr>
        <w:pStyle w:val="List Bullet"/>
      </w:pPr>
      <w:r>
        <w:t xml:space="preserve">ChemAxon/Schrödinger ADME and molecular modeling</w:t>
      </w:r>
    </w:p>
    <w:p>
      <w:pPr>
        <w:pStyle w:val="List Bullet"/>
      </w:pPr>
      <w:r>
        <w:t xml:space="preserve">SwissADME/ADMETsar online prediction tools</w:t>
      </w:r>
    </w:p>
    <w:p>
      <w:pPr>
        <w:pStyle w:val="List Bullet"/>
      </w:pPr>
      <w:r>
        <w:t xml:space="preserve">Molecular dynamics (AMBER, GROMACS) for binding affinity</w:t>
      </w:r>
    </w:p>
    <w:p>
      <w:pPr>
        <w:pStyle w:val="List Bullet"/>
      </w:pPr>
      <w:r>
        <w:t xml:space="preserve">Machine learning classifiers and multi-criteria decision analysis</w:t>
      </w:r>
    </w:p>
    <w:p>
      <w:pPr>
        <w:pStyle w:val="List Bullet"/>
      </w:pPr>
      <w:r>
        <w:t xml:space="preserve">ClinicalTrials.gov and FDA approval/guidance documents</w:t>
      </w:r>
    </w:p>
    <w:p>
      <w:pPr>
        <w:pStyle w:val="List Bullet"/>
      </w:pPr>
      <w:r>
        <w:t xml:space="preserve">DrugBank/STITCH off-target prediction databases</w:t>
      </w:r>
    </w:p>
    <w:p>
      <w:pPr>
        <w:pStyle w:val="List Bullet"/>
      </w:pPr>
      <w:r>
        <w:t xml:space="preserve">FDA FAERS adverse event reporting system</w:t>
      </w:r>
    </w:p>
    <w:p>
      <w:pPr>
        <w:pStyle w:val="List Bullet"/>
      </w:pPr>
      <w:r>
        <w:t xml:space="preserve">Deep brain stimulation database and clinical outcomes</w:t>
      </w:r>
    </w:p>
    <w:p>
      <w:pPr>
        <w:pStyle w:val="List Bullet"/>
      </w:pPr>
      <w:r>
        <w:t xml:space="preserve">Neuroinflammation biomarker databases (cytokines)</w:t>
      </w:r>
    </w:p>
    <w:p>
      <w:pPr>
        <w:pStyle w:val="List Bullet"/>
      </w:pPr>
      <w:r>
        <w:t xml:space="preserve">Pharmacogenomic databases (PharmGKB, PharmVar)</w:t>
      </w:r>
    </w:p>
    <w:p>
      <w:pPr>
        <w:pStyle w:val="List Bullet"/>
      </w:pPr>
      <w:r>
        <w:t xml:space="preserve">Clinical trial meta-analysis aggregation platforms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2026-03-04T01:14:58.275Z</dcterms:created>
  <dcterms:modified xsi:type="dcterms:W3CDTF">2026-03-04T01:14:58.275Z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