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Identify GABAergic drugs minimizing tolerance development risk.</w:t>
      </w:r>
    </w:p>
    <w:p>
      <w:r>
        <w:t xml:space="preserve">This workflow describes systematic application of Sapphire's EP atlas (~18k gene perturbations, ~3,500 compound perturbations, 500+ EP features) to address the core discovery question: Identify GABAergic drugs minimizing tolerance development risk.</w:t>
      </w:r>
    </w:p>
    <w:p>
      <w:pPr>
        <w:pStyle w:val="Heading2"/>
      </w:pPr>
      <w:r>
        <w:t xml:space="preserve">Pipeline Overview</w:t>
      </w:r>
    </w:p>
    <w:p>
      <w:r>
        <w:t xml:space="preserve">This pipeline integrates literature mining, functional genomics EP phenotyping, computational structure-activity analysis, and clinical translation to generate a prioritized ranking of candidates. The workflow emphasizes multi-dimensional validation: mechanistic support from literature and structural databases, functional confirmation via Sapphire EP profiling, drug-like properties assessment, and alignment with clinical precedent or unmet medical needs.</w:t>
      </w:r>
    </w:p>
    <w:p>
      <w:r>
        <w:t xml:space="preserve">Each stage synthesizes multiple data modalities to progressively filter and refine candidates, reducing a broad initial landscape to a focused set of optimized hits ready for experimental validation. The final output includes go/no-go recommendations and detailed preclinical strategy.</w:t>
      </w:r>
    </w:p>
    <w:p>
      <w:pPr>
        <w:pStyle w:val="Heading2"/>
      </w:pPr>
      <w:r>
        <w:t xml:space="preserve">Stage 1: GABAergic Pharmacology &amp; Tolerance Mechanism Literature Mining</w:t>
      </w:r>
    </w:p>
    <w:p>
      <w:r>
        <w:rPr>
          <w:b/>
          <w:bCs/>
        </w:rPr>
        <w:t xml:space="preserve">Purpose:</w:t>
      </w:r>
      <w:r>
        <w:t xml:space="preserve"> Comprehensively characterize GABA-A pharmacology and tolerance development mechanisms.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GABA-A receptor structure-function literature: alpha/beta/gamma subunit roles and pharmacology</w:t>
      </w:r>
    </w:p>
    <w:p>
      <w:pPr>
        <w:pStyle w:val="List Bullet"/>
      </w:pPr>
      <w:r>
        <w:t xml:space="preserve">Alpha subunit selectivity pharmacology: alpha1 (sedation, amnesia), alpha2/3 (anxiolysis, analgesia), alpha5 (memory)</w:t>
      </w:r>
    </w:p>
    <w:p>
      <w:pPr>
        <w:pStyle w:val="List Bullet"/>
      </w:pPr>
      <w:r>
        <w:t xml:space="preserve">Tolerance development mechanisms: receptor desensitization kinetics, endocytosis, trafficking, downregulation</w:t>
      </w:r>
    </w:p>
    <w:p>
      <w:pPr>
        <w:pStyle w:val="List Bullet"/>
      </w:pPr>
      <w:r>
        <w:t xml:space="preserve">Neurosteroid modulation: mechanism, selectivity, tolerance implications</w:t>
      </w:r>
    </w:p>
    <w:p>
      <w:pPr>
        <w:pStyle w:val="List Bullet"/>
      </w:pPr>
      <w:r>
        <w:t xml:space="preserve">KCC2 (K+-Cl- cotransporter 2) chloride homeostasis regulation and GABA efficacy</w:t>
      </w:r>
    </w:p>
    <w:p>
      <w:pPr>
        <w:pStyle w:val="List Bullet"/>
      </w:pPr>
      <w:r>
        <w:t xml:space="preserve">GABA-A plasticity and long-term adaptation: expression changes, phosphorylation, subunit switching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PubMed/Google Scholar (GABA-A pharmacology, tolerance, desensitization, subunit selectivity)</w:t>
      </w:r>
    </w:p>
    <w:p>
      <w:pPr>
        <w:pStyle w:val="List Bullet"/>
      </w:pPr>
      <w:r>
        <w:t xml:space="preserve">Structural databases (RCSB PDB) for GABA-A crystal structures</w:t>
      </w:r>
    </w:p>
    <w:p>
      <w:pPr>
        <w:pStyle w:val="List Bullet"/>
      </w:pPr>
      <w:r>
        <w:t xml:space="preserve">Pharmacology textbooks (NeuroBase, Goodman &amp; Gilman)</w:t>
      </w:r>
    </w:p>
    <w:p>
      <w:pPr>
        <w:pStyle w:val="List Bullet"/>
      </w:pPr>
      <w:r>
        <w:t xml:space="preserve">Tolerance mechanism reviews and mechanistic studies</w:t>
      </w:r>
    </w:p>
    <w:p>
      <w:pPr>
        <w:pStyle w:val="List Bullet"/>
      </w:pPr>
      <w:r>
        <w:t xml:space="preserve">KCC2 biology and chloride homeostasis literature</w:t>
      </w:r>
    </w:p>
    <w:p>
      <w:pPr>
        <w:pStyle w:val="List Bullet"/>
      </w:pPr>
      <w:r>
        <w:t xml:space="preserve">Neurosteroid pharmacology and endogenous modulation databases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alpha subunit selectivity: alpha1 vs alpha2/3 pharmacology, therapeutic vs side-effect dissociation potential.</w:t>
      </w:r>
    </w:p>
    <w:p>
      <w:pPr>
        <w:pStyle w:val="List Bullet"/>
      </w:pPr>
      <w:r>
        <w:t xml:space="preserve">Compile tolerance development mechanisms: desensitization kinetics, endocytosis, expression downregulation, subunit plasticity.</w:t>
      </w:r>
    </w:p>
    <w:p>
      <w:pPr>
        <w:pStyle w:val="List Bullet"/>
      </w:pPr>
      <w:r>
        <w:t xml:space="preserve">Identify neurosteroid mechanisms: receptor selectivity (alpha5 preference), tolerance interaction, therapeutic potential.</w:t>
      </w:r>
    </w:p>
    <w:p>
      <w:pPr>
        <w:pStyle w:val="List Bullet"/>
      </w:pPr>
      <w:r>
        <w:t xml:space="preserve">Extract KCC2 regulation mechanisms: how drugs/plasticity affect chloride gradient and GABA efficacy.</w:t>
      </w:r>
    </w:p>
    <w:p>
      <w:pPr>
        <w:pStyle w:val="List Bullet"/>
      </w:pPr>
      <w:r>
        <w:t xml:space="preserve">Map plasticity mechanisms: signaling cascades driving tolerance (kinase cascades, transcription factor activation).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Alpha subunit selectivity pharmacology compendium: alpha1 (sedation), alpha2/3 (anxiolysis), alpha5 (memory) profiles</w:t>
      </w:r>
    </w:p>
    <w:p>
      <w:pPr>
        <w:pStyle w:val="List Bullet"/>
      </w:pPr>
      <w:r>
        <w:t xml:space="preserve">Tolerance mechanism hierarchy: receptor desensitization vs downregulation vs subunit switching relative importance</w:t>
      </w:r>
    </w:p>
    <w:p>
      <w:pPr>
        <w:pStyle w:val="List Bullet"/>
      </w:pPr>
      <w:r>
        <w:t xml:space="preserve">Neurosteroid mechanism summary: selectivity profiles, tolerance interactions, clinical potential</w:t>
      </w:r>
    </w:p>
    <w:p>
      <w:pPr>
        <w:pStyle w:val="List Bullet"/>
      </w:pPr>
      <w:r>
        <w:t xml:space="preserve">KCC2 regulation mechanistic map: plasticity-driven chloride handling changes</w:t>
      </w:r>
    </w:p>
    <w:p>
      <w:pPr>
        <w:pStyle w:val="List Bullet"/>
      </w:pPr>
      <w:r>
        <w:t xml:space="preserve">Proposed tolerance biomarkers: receptor trafficking, phosphorylation, expression changes</w:t>
      </w:r>
    </w:p>
    <w:p>
      <w:pPr>
        <w:pStyle w:val="List Bullet"/>
      </w:pPr>
      <w:r>
        <w:t xml:space="preserve">Rationale for tolerance-minimizing compound strategies (subunit selectivity, neurosteroid combinations, KCC2 enhancers)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2: Sapphire GABA-A Tolerance Phenotyping &amp; Compound Screening</w:t>
      </w:r>
    </w:p>
    <w:p>
      <w:r>
        <w:rPr>
          <w:b/>
          <w:bCs/>
        </w:rPr>
        <w:t xml:space="preserve">Purpose:</w:t>
      </w:r>
      <w:r>
        <w:t xml:space="preserve"> Use Sapphire atlas to quantify tolerance biomarkers and identify compounds minimizing tolerance.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Sapphire EP CRISPR atlas: GABA-A alpha subunit variants (alpha1, alpha2, alpha3, alpha5)</w:t>
      </w:r>
    </w:p>
    <w:p>
      <w:pPr>
        <w:pStyle w:val="List Bullet"/>
      </w:pPr>
      <w:r>
        <w:t xml:space="preserve">KCC2 knockout/knockdown neurons to model chloride dysregulation</w:t>
      </w:r>
    </w:p>
    <w:p>
      <w:pPr>
        <w:pStyle w:val="List Bullet"/>
      </w:pPr>
      <w:r>
        <w:t xml:space="preserve">~3,500 compound perturbations: current GABAergics, alpha subunit-selective compounds, neurosteroids, KCC2 enhancers</w:t>
      </w:r>
    </w:p>
    <w:p>
      <w:pPr>
        <w:pStyle w:val="List Bullet"/>
      </w:pPr>
      <w:r>
        <w:t xml:space="preserve">500+ EP features including: GABA-A current amplitude/kinetics, desensitization rates, recovery kinetics</w:t>
      </w:r>
    </w:p>
    <w:p>
      <w:pPr>
        <w:pStyle w:val="List Bullet"/>
      </w:pPr>
      <w:r>
        <w:t xml:space="preserve">Chronic drug exposure protocols (if available in Sapphire) to assess tolerance biomarkers</w:t>
      </w:r>
    </w:p>
    <w:p>
      <w:pPr>
        <w:pStyle w:val="List Bullet"/>
      </w:pPr>
      <w:r>
        <w:t xml:space="preserve">Plasticity-related EP signatures: expression changes, phosphorylation impacts on kinetics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Sapphire atlas interface filtered for GABA-A subunits and KCC2</w:t>
      </w:r>
    </w:p>
    <w:p>
      <w:pPr>
        <w:pStyle w:val="List Bullet"/>
      </w:pPr>
      <w:r>
        <w:t xml:space="preserve">EP feature extraction: GABA current amplitude, desensitization kinetics (τ_des), recovery time (τ_rec)</w:t>
      </w:r>
    </w:p>
    <w:p>
      <w:pPr>
        <w:pStyle w:val="List Bullet"/>
      </w:pPr>
      <w:r>
        <w:t xml:space="preserve">Tolerance biomarker quantification: fold-change in current amplitude/kinetics with chronic stimulation</w:t>
      </w:r>
    </w:p>
    <w:p>
      <w:pPr>
        <w:pStyle w:val="List Bullet"/>
      </w:pPr>
      <w:r>
        <w:t xml:space="preserve">Compound-perturbation interaction analysis: identify compounds preserving GABA efficacy despite tolerance drivers</w:t>
      </w:r>
    </w:p>
    <w:p>
      <w:pPr>
        <w:pStyle w:val="List Bullet"/>
      </w:pPr>
      <w:r>
        <w:t xml:space="preserve">Machine learning: predict tolerance development trajectory for new compounds</w:t>
      </w:r>
    </w:p>
    <w:p>
      <w:pPr>
        <w:pStyle w:val="List Bullet"/>
      </w:pPr>
      <w:r>
        <w:t xml:space="preserve">Alpha subunit selectivity ranking by tolerance resistance profile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acute GABA-A responses across alpha subunits; identify which most resistant to desensitization (kinetics).</w:t>
      </w:r>
    </w:p>
    <w:p>
      <w:pPr>
        <w:pStyle w:val="List Bullet"/>
      </w:pPr>
      <w:r>
        <w:t xml:space="preserve">Quantify chronic tolerance biomarkers: GABA current amplitude loss, desensitization acceleration, recovery impairment.</w:t>
      </w:r>
    </w:p>
    <w:p>
      <w:pPr>
        <w:pStyle w:val="List Bullet"/>
      </w:pPr>
      <w:r>
        <w:t xml:space="preserve">Identify compounds preserving GABA efficacy in KCC2-KO neurons (chloride dysregulation model).</w:t>
      </w:r>
    </w:p>
    <w:p>
      <w:pPr>
        <w:pStyle w:val="List Bullet"/>
      </w:pPr>
      <w:r>
        <w:t xml:space="preserve">Rank alpha2/3-selective compounds vs alpha1 for tolerance resistance: score by preserved EC50, minimal amplitude loss.</w:t>
      </w:r>
    </w:p>
    <w:p>
      <w:pPr>
        <w:pStyle w:val="List Bullet"/>
      </w:pPr>
      <w:r>
        <w:t xml:space="preserve">Predict neurosteroid augmentation benefit: compounds synergizing with neurosteroid co-modulation.</w:t>
      </w:r>
    </w:p>
    <w:p>
      <w:pPr>
        <w:pStyle w:val="List Bullet"/>
      </w:pPr>
      <w:r>
        <w:t xml:space="preserve">Identify KCC2 enhancers or chloride restoration compounds predicted to reduce tolerance.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GABA-A alpha subunit pharmacology profiles: acute response properties and tolerance resistance</w:t>
      </w:r>
    </w:p>
    <w:p>
      <w:pPr>
        <w:pStyle w:val="List Bullet"/>
      </w:pPr>
      <w:r>
        <w:t xml:space="preserve">Tolerance biomarker matrix: desensitization rates, recovery kinetics, chronic exposure amplitude loss for 30+ compounds</w:t>
      </w:r>
    </w:p>
    <w:p>
      <w:pPr>
        <w:pStyle w:val="List Bullet"/>
      </w:pPr>
      <w:r>
        <w:t xml:space="preserve">Tolerance resistance ranking: alpha2/3-selective compounds ranked by predicted tolerance minimization</w:t>
      </w:r>
    </w:p>
    <w:p>
      <w:pPr>
        <w:pStyle w:val="List Bullet"/>
      </w:pPr>
      <w:r>
        <w:t xml:space="preserve">KCC2 dysregulation rescue compounds: identified from Sapphire screening</w:t>
      </w:r>
    </w:p>
    <w:p>
      <w:pPr>
        <w:pStyle w:val="List Bullet"/>
      </w:pPr>
      <w:r>
        <w:t xml:space="preserve">Neurosteroid augmentation potential: compounds predicted to benefit from co-administration</w:t>
      </w:r>
    </w:p>
    <w:p>
      <w:pPr>
        <w:pStyle w:val="List Bullet"/>
      </w:pPr>
      <w:r>
        <w:t xml:space="preserve">Top 12 compounds with highest tolerance resistance and mechanistic clarity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3: ADME, Drug-Drug Interaction &amp; Clinical Pharmacology Assessment</w:t>
      </w:r>
    </w:p>
    <w:p>
      <w:r>
        <w:rPr>
          <w:b/>
          <w:bCs/>
        </w:rPr>
        <w:t xml:space="preserve">Purpose:</w:t>
      </w:r>
      <w:r>
        <w:t xml:space="preserve"> Evaluate druggability and clinical pharmacology of tolerance-minimizing GABA compounds.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Structural data for 30 candidate GABAergic compounds (alpha subunit-selective, neurosteroids, KCC2 enhancers)</w:t>
      </w:r>
    </w:p>
    <w:p>
      <w:pPr>
        <w:pStyle w:val="List Bullet"/>
      </w:pPr>
      <w:r>
        <w:t xml:space="preserve">Published pharmacology: binding kinetics, selectivity ratios, metabolite identification</w:t>
      </w:r>
    </w:p>
    <w:p>
      <w:pPr>
        <w:pStyle w:val="List Bullet"/>
      </w:pPr>
      <w:r>
        <w:t xml:space="preserve">Pharmacokinetic data from literature or prediction (Tmax, T½, liver metabolism, renal clearance)</w:t>
      </w:r>
    </w:p>
    <w:p>
      <w:pPr>
        <w:pStyle w:val="List Bullet"/>
      </w:pPr>
      <w:r>
        <w:t xml:space="preserve">CNS penetration data and BBB transporter interactions</w:t>
      </w:r>
    </w:p>
    <w:p>
      <w:pPr>
        <w:pStyle w:val="List Bullet"/>
      </w:pPr>
      <w:r>
        <w:t xml:space="preserve">Drug-drug interactions: CYP inhibition/induction, benzodiazepine displacement, protein binding</w:t>
      </w:r>
    </w:p>
    <w:p>
      <w:pPr>
        <w:pStyle w:val="List Bullet"/>
      </w:pPr>
      <w:r>
        <w:t xml:space="preserve">Clinical dosing and efficacy thresholds from anxiety/sleep disorders and alcohol withdrawal literature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ChemAxon/Schrödinger ADME suite for BBB penetration, metabolic stability</w:t>
      </w:r>
    </w:p>
    <w:p>
      <w:pPr>
        <w:pStyle w:val="List Bullet"/>
      </w:pPr>
      <w:r>
        <w:t xml:space="preserve">SwissADME, ADMETsar online tools</w:t>
      </w:r>
    </w:p>
    <w:p>
      <w:pPr>
        <w:pStyle w:val="List Bullet"/>
      </w:pPr>
      <w:r>
        <w:t xml:space="preserve">CYP interaction databases and metabolite prediction (MetaDrug)</w:t>
      </w:r>
    </w:p>
    <w:p>
      <w:pPr>
        <w:pStyle w:val="List Bullet"/>
      </w:pPr>
      <w:r>
        <w:t xml:space="preserve">Protein binding and CNS exposure modeling</w:t>
      </w:r>
    </w:p>
    <w:p>
      <w:pPr>
        <w:pStyle w:val="List Bullet"/>
      </w:pPr>
      <w:r>
        <w:t xml:space="preserve">Pharmacokinetic literature and FDA/EMA assessment reports</w:t>
      </w:r>
    </w:p>
    <w:p>
      <w:pPr>
        <w:pStyle w:val="List Bullet"/>
      </w:pPr>
      <w:r>
        <w:t xml:space="preserve">DrugBank and Lexicomp drug-drug interaction databases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Filter alpha subunit-selective compounds for Lipinski compliance and optimize for BBB penetration.</w:t>
      </w:r>
    </w:p>
    <w:p>
      <w:pPr>
        <w:pStyle w:val="List Bullet"/>
      </w:pPr>
      <w:r>
        <w:t xml:space="preserve">Predict CYP metabolism and major metabolite structures; identify CYP3A4 and CYP2C19 inhibition potential.</w:t>
      </w:r>
    </w:p>
    <w:p>
      <w:pPr>
        <w:pStyle w:val="List Bullet"/>
      </w:pPr>
      <w:r>
        <w:t xml:space="preserve">Calculate expected free brain concentration at typical clinical doses for anxiety/seizure indications.</w:t>
      </w:r>
    </w:p>
    <w:p>
      <w:pPr>
        <w:pStyle w:val="List Bullet"/>
      </w:pPr>
      <w:r>
        <w:t xml:space="preserve">Assess drug-drug interaction potential with SSRIs, antipsychotics, and other CNS agents.</w:t>
      </w:r>
    </w:p>
    <w:p>
      <w:pPr>
        <w:pStyle w:val="List Bullet"/>
      </w:pPr>
      <w:r>
        <w:t xml:space="preserve">Recommend dosing strategies balancing efficacy (GABA-A occupancy) and tolerance development risk (chronic exposure).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ADME property profile for 30 compounds: MW, logP, PSA, BBB penetration, fu (free fraction)</w:t>
      </w:r>
    </w:p>
    <w:p>
      <w:pPr>
        <w:pStyle w:val="List Bullet"/>
      </w:pPr>
      <w:r>
        <w:t xml:space="preserve">Druglikeness assessment: Lipinski, Veber, BBB criteria compliance</w:t>
      </w:r>
    </w:p>
    <w:p>
      <w:pPr>
        <w:pStyle w:val="List Bullet"/>
      </w:pPr>
      <w:r>
        <w:t xml:space="preserve">CYP metabolism prediction: major pathways, metabolite structures, inhibition potential</w:t>
      </w:r>
    </w:p>
    <w:p>
      <w:pPr>
        <w:pStyle w:val="List Bullet"/>
      </w:pPr>
      <w:r>
        <w:t xml:space="preserve">CNS bioavailability: predicted free brain concentration at clinical doses</w:t>
      </w:r>
    </w:p>
    <w:p>
      <w:pPr>
        <w:pStyle w:val="List Bullet"/>
      </w:pPr>
      <w:r>
        <w:t xml:space="preserve">Drug-drug interaction matrix: severity ratings for common co-prescriptions</w:t>
      </w:r>
    </w:p>
    <w:p>
      <w:pPr>
        <w:pStyle w:val="List Bullet"/>
      </w:pPr>
      <w:r>
        <w:t xml:space="preserve">Top 12 compounds with favorable ADME, CNS penetration, and minimal metabolic liabilities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4: Tolerance Biomarker Validation &amp; Acute vs Chronic Profile Ranking</w:t>
      </w:r>
    </w:p>
    <w:p>
      <w:r>
        <w:rPr>
          <w:b/>
          <w:bCs/>
        </w:rPr>
        <w:t xml:space="preserve">Purpose:</w:t>
      </w:r>
      <w:r>
        <w:t xml:space="preserve"> Compare acute GABA-ergic efficacy to chronic tolerance biomarkers for comprehensive risk assessment.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Acute GABA-A response data: EC50, Emax, kinetics from Stage 2</w:t>
      </w:r>
    </w:p>
    <w:p>
      <w:pPr>
        <w:pStyle w:val="List Bullet"/>
      </w:pPr>
      <w:r>
        <w:t xml:space="preserve">Chronic tolerance biomarkers: desensitization acceleration, recovery impairment, expression downregulation</w:t>
      </w:r>
    </w:p>
    <w:p>
      <w:pPr>
        <w:pStyle w:val="List Bullet"/>
      </w:pPr>
      <w:r>
        <w:t xml:space="preserve">Alpha subunit selectivity data: alpha1 vs alpha2/3 acute and chronic profiles</w:t>
      </w:r>
    </w:p>
    <w:p>
      <w:pPr>
        <w:pStyle w:val="List Bullet"/>
      </w:pPr>
      <w:r>
        <w:t xml:space="preserve">Neurosteroid co-modulation effects: acute potentiation and tolerance modulation</w:t>
      </w:r>
    </w:p>
    <w:p>
      <w:pPr>
        <w:pStyle w:val="List Bullet"/>
      </w:pPr>
      <w:r>
        <w:t xml:space="preserve">Known clinical tolerance trajectories for established GABAergics (benzodiazepines, gabapentin profiles)</w:t>
      </w:r>
    </w:p>
    <w:p>
      <w:pPr>
        <w:pStyle w:val="List Bullet"/>
      </w:pPr>
      <w:r>
        <w:t xml:space="preserve">Efficacy maintenance thresholds: minimum GABA current required for therapeutic effect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Acute vs chronic response comparison framework</w:t>
      </w:r>
    </w:p>
    <w:p>
      <w:pPr>
        <w:pStyle w:val="List Bullet"/>
      </w:pPr>
      <w:r>
        <w:t xml:space="preserve">Tolerance development trajectory modeling (exponential, saturation kinetics)</w:t>
      </w:r>
    </w:p>
    <w:p>
      <w:pPr>
        <w:pStyle w:val="List Bullet"/>
      </w:pPr>
      <w:r>
        <w:t xml:space="preserve">Safety margin calculation: therapeutic efficacy / tolerance onset ratio</w:t>
      </w:r>
    </w:p>
    <w:p>
      <w:pPr>
        <w:pStyle w:val="List Bullet"/>
      </w:pPr>
      <w:r>
        <w:t xml:space="preserve">Machine learning classifier: tolerance resistance phenotype prediction</w:t>
      </w:r>
    </w:p>
    <w:p>
      <w:pPr>
        <w:pStyle w:val="List Bullet"/>
      </w:pPr>
      <w:r>
        <w:t xml:space="preserve">Subunit selectivity impact modeling on tolerance: alpha1 permissive vs resistant</w:t>
      </w:r>
    </w:p>
    <w:p>
      <w:pPr>
        <w:pStyle w:val="List Bullet"/>
      </w:pPr>
      <w:r>
        <w:t xml:space="preserve">Clinical dose-response simulation: tolerance-adjusted efficacy curve generation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Compare acute GABA current amplitude to chronic amplitude loss: calculate tolerance safety margin per compound.</w:t>
      </w:r>
    </w:p>
    <w:p>
      <w:pPr>
        <w:pStyle w:val="List Bullet"/>
      </w:pPr>
      <w:r>
        <w:t xml:space="preserve">Rank alpha2/3-selective compounds by acute efficacy preservation with chronic exposure (ratio of EC50 acute:chronic).</w:t>
      </w:r>
    </w:p>
    <w:p>
      <w:pPr>
        <w:pStyle w:val="List Bullet"/>
      </w:pPr>
      <w:r>
        <w:t xml:space="preserve">Identify compounds with accelerated desensitization kinetics but slower amplitude loss (kinetic tolerance vs expression tolerance dissociation).</w:t>
      </w:r>
    </w:p>
    <w:p>
      <w:pPr>
        <w:pStyle w:val="List Bullet"/>
      </w:pPr>
      <w:r>
        <w:t xml:space="preserve">Predict clinical dosing adjustment requirements: compounds needing less frequent upward titration for tolerance.</w:t>
      </w:r>
    </w:p>
    <w:p>
      <w:pPr>
        <w:pStyle w:val="List Bullet"/>
      </w:pPr>
      <w:r>
        <w:t xml:space="preserve">Assess neurosteroid co-therapy benefit: predicted reduction in tolerance trajectory when combined with neurosteroid augmentation.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Acute efficacy matrix: EC50, Emax, kinetic properties for 30 compounds</w:t>
      </w:r>
    </w:p>
    <w:p>
      <w:pPr>
        <w:pStyle w:val="List Bullet"/>
      </w:pPr>
      <w:r>
        <w:t xml:space="preserve">Chronic tolerance biomarker matrix: amplitude loss %, desensitization rate changes, recovery kinetics shifts</w:t>
      </w:r>
    </w:p>
    <w:p>
      <w:pPr>
        <w:pStyle w:val="List Bullet"/>
      </w:pPr>
      <w:r>
        <w:t xml:space="preserve">Tolerance resistance ranking: compounds preserving efficacy despite chronic exposure</w:t>
      </w:r>
    </w:p>
    <w:p>
      <w:pPr>
        <w:pStyle w:val="List Bullet"/>
      </w:pPr>
      <w:r>
        <w:t xml:space="preserve">Subunit selectivity tolerance profile: alpha2/3-selective compounds ranked by tolerance minimization</w:t>
      </w:r>
    </w:p>
    <w:p>
      <w:pPr>
        <w:pStyle w:val="List Bullet"/>
      </w:pPr>
      <w:r>
        <w:t xml:space="preserve">Clinical dosing recommendation: estimated tolerance development timescale and titration requirements</w:t>
      </w:r>
    </w:p>
    <w:p>
      <w:pPr>
        <w:pStyle w:val="List Bullet"/>
      </w:pPr>
      <w:r>
        <w:t xml:space="preserve">Top 8-10 compounds with superior acute efficacy-to-tolerance ratio and mechanistic clarity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5: Neurosteroid &amp; Combination Strategy Optimization</w:t>
      </w:r>
    </w:p>
    <w:p>
      <w:r>
        <w:rPr>
          <w:b/>
          <w:bCs/>
        </w:rPr>
        <w:t xml:space="preserve">Purpose:</w:t>
      </w:r>
      <w:r>
        <w:t xml:space="preserve"> Identify synergistic compound combinations and neurosteroid augmentation strategies.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Neurosteroid binding sites and selectivity on GABA-A (alphaxβx configurations)</w:t>
      </w:r>
    </w:p>
    <w:p>
      <w:pPr>
        <w:pStyle w:val="List Bullet"/>
      </w:pPr>
      <w:r>
        <w:t xml:space="preserve">Endogenous neurosteroid levels in anxiety/stress states and implications for tolerance</w:t>
      </w:r>
    </w:p>
    <w:p>
      <w:pPr>
        <w:pStyle w:val="List Bullet"/>
      </w:pPr>
      <w:r>
        <w:t xml:space="preserve">Preclinical/clinical combination therapy studies (GABAergics + neurosteroids, dual subunit selectivity)</w:t>
      </w:r>
    </w:p>
    <w:p>
      <w:pPr>
        <w:pStyle w:val="List Bullet"/>
      </w:pPr>
      <w:r>
        <w:t xml:space="preserve">Non-benzodiazepine GABA-A modulators with tolerance advantages (buspirone analogs, etifoxine, etc.)</w:t>
      </w:r>
    </w:p>
    <w:p>
      <w:pPr>
        <w:pStyle w:val="List Bullet"/>
      </w:pPr>
      <w:r>
        <w:t xml:space="preserve">KCC2 enhancers and potential synergy with GABA-A subunit selectivity</w:t>
      </w:r>
    </w:p>
    <w:p>
      <w:pPr>
        <w:pStyle w:val="List Bullet"/>
      </w:pPr>
      <w:r>
        <w:t xml:space="preserve">Pharmacokinetic considerations for multi-component approaches (metabolic competition, absorption interactions)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Neurosteroid selectivity prediction models</w:t>
      </w:r>
    </w:p>
    <w:p>
      <w:pPr>
        <w:pStyle w:val="List Bullet"/>
      </w:pPr>
      <w:r>
        <w:t xml:space="preserve">Synergy modeling: GABA current additive vs synergistic predictions</w:t>
      </w:r>
    </w:p>
    <w:p>
      <w:pPr>
        <w:pStyle w:val="List Bullet"/>
      </w:pPr>
      <w:r>
        <w:t xml:space="preserve">Combination therapy efficacy simulation: tolerance-adjusted response curves</w:t>
      </w:r>
    </w:p>
    <w:p>
      <w:pPr>
        <w:pStyle w:val="List Bullet"/>
      </w:pPr>
      <w:r>
        <w:t xml:space="preserve">Pharmacokinetic interaction modeling (free drug availability, protein binding displacement)</w:t>
      </w:r>
    </w:p>
    <w:p>
      <w:pPr>
        <w:pStyle w:val="List Bullet"/>
      </w:pPr>
      <w:r>
        <w:t xml:space="preserve">Clinical trial design for combination strategies (fixed-dose vs flexible titration)</w:t>
      </w:r>
    </w:p>
    <w:p>
      <w:pPr>
        <w:pStyle w:val="List Bullet"/>
      </w:pPr>
      <w:r>
        <w:t xml:space="preserve">Biomarker-guided combination selection algorithms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Identify neurosteroid-selective compounds and predict co-administration benefit in reducing tolerance.</w:t>
      </w:r>
    </w:p>
    <w:p>
      <w:pPr>
        <w:pStyle w:val="List Bullet"/>
      </w:pPr>
      <w:r>
        <w:t xml:space="preserve">Model synergy: alpha2/3-selective GABA-A agonist + neurosteroid combination for enhanced efficacy with minimal tolerance.</w:t>
      </w:r>
    </w:p>
    <w:p>
      <w:pPr>
        <w:pStyle w:val="List Bullet"/>
      </w:pPr>
      <w:r>
        <w:t xml:space="preserve">Assess KCC2 enhancer + GABA-A agonist combinations: predicted restoration of chloride homeostasis and GABA efficacy preservation.</w:t>
      </w:r>
    </w:p>
    <w:p>
      <w:pPr>
        <w:pStyle w:val="List Bullet"/>
      </w:pPr>
      <w:r>
        <w:t xml:space="preserve">Compare fixed-dose combinations to individual agent titration: tolerance trajectories and clinical dosing complexity.</w:t>
      </w:r>
    </w:p>
    <w:p>
      <w:pPr>
        <w:pStyle w:val="List Bullet"/>
      </w:pPr>
      <w:r>
        <w:t xml:space="preserve">Design pharmacokinetic testing: absorption, metabolism interactions for leading combination candidates.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Neurosteroid augmentation strategy: compounds predicted to benefit, optimal neurosteroid co-partner, dosing rationale</w:t>
      </w:r>
    </w:p>
    <w:p>
      <w:pPr>
        <w:pStyle w:val="List Bullet"/>
      </w:pPr>
      <w:r>
        <w:t xml:space="preserve">Top combination candidates: alpha2/3 GABA-A agonist + neurosteroid, GABA-A + KCC2 enhancer, etc.</w:t>
      </w:r>
    </w:p>
    <w:p>
      <w:pPr>
        <w:pStyle w:val="List Bullet"/>
      </w:pPr>
      <w:r>
        <w:t xml:space="preserve">Synergy quantification: predicted efficacy improvement and tolerance reduction with combination</w:t>
      </w:r>
    </w:p>
    <w:p>
      <w:pPr>
        <w:pStyle w:val="List Bullet"/>
      </w:pPr>
      <w:r>
        <w:t xml:space="preserve">Fixed-dose formulation recommendations: component ratios, release mechanisms</w:t>
      </w:r>
    </w:p>
    <w:p>
      <w:pPr>
        <w:pStyle w:val="List Bullet"/>
      </w:pPr>
      <w:r>
        <w:t xml:space="preserve">Clinical trial design for combination approaches: patient selection, endpoints, duration</w:t>
      </w:r>
    </w:p>
    <w:p>
      <w:pPr>
        <w:pStyle w:val="List Bullet"/>
      </w:pPr>
      <w:r>
        <w:t xml:space="preserve">Regulatory pathway considerations: novel fixed-dose combinations vs individual agent sequencing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6: Clinical Translation &amp; Indication-Specific Development Strategy</w:t>
      </w:r>
    </w:p>
    <w:p>
      <w:r>
        <w:rPr>
          <w:b/>
          <w:bCs/>
        </w:rPr>
        <w:t xml:space="preserve">Purpose:</w:t>
      </w:r>
      <w:r>
        <w:t xml:space="preserve"> Map tolerance-minimizing candidates to specific indications and generate development pathways.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Indication-specific tolerance requirements: anxiety disorders (chronic dosing), seizures (intermittent), alcohol withdrawal (acute/sub-acute)</w:t>
      </w:r>
    </w:p>
    <w:p>
      <w:pPr>
        <w:pStyle w:val="List Bullet"/>
      </w:pPr>
      <w:r>
        <w:t xml:space="preserve">Unmet needs: benzodiazepine tolerance/dependence, first-line alternatives, partial responders</w:t>
      </w:r>
    </w:p>
    <w:p>
      <w:pPr>
        <w:pStyle w:val="List Bullet"/>
      </w:pPr>
      <w:r>
        <w:t xml:space="preserve">Competitive landscape: approved GABAergics, clinical-stage alternatives, marketed mechanisms</w:t>
      </w:r>
    </w:p>
    <w:p>
      <w:pPr>
        <w:pStyle w:val="List Bullet"/>
      </w:pPr>
      <w:r>
        <w:t xml:space="preserve">Pharmacogenomic factors: CYP2C19 metabolizer status effects on dosing</w:t>
      </w:r>
    </w:p>
    <w:p>
      <w:pPr>
        <w:pStyle w:val="List Bullet"/>
      </w:pPr>
      <w:r>
        <w:t xml:space="preserve">Special populations: elderly (fall risk, tolerance), pregnancy (safety concerns), hepatic/renal impairment</w:t>
      </w:r>
    </w:p>
    <w:p>
      <w:pPr>
        <w:pStyle w:val="List Bullet"/>
      </w:pPr>
      <w:r>
        <w:t xml:space="preserve">Regulatory precedent: approval pathways for novel GABA-A compounds, indication prioritization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Indication-specific efficacy thresholds and tolerability requirements</w:t>
      </w:r>
    </w:p>
    <w:p>
      <w:pPr>
        <w:pStyle w:val="List Bullet"/>
      </w:pPr>
      <w:r>
        <w:t xml:space="preserve">Patient population profiling: demographics, genetic biomarkers, prior treatment response</w:t>
      </w:r>
    </w:p>
    <w:p>
      <w:pPr>
        <w:pStyle w:val="List Bullet"/>
      </w:pPr>
      <w:r>
        <w:t xml:space="preserve">Competitive intelligence: approved drugs, pipeline candidates, market positioning</w:t>
      </w:r>
    </w:p>
    <w:p>
      <w:pPr>
        <w:pStyle w:val="List Bullet"/>
      </w:pPr>
      <w:r>
        <w:t xml:space="preserve">Pharmacogenomic stratification strategies</w:t>
      </w:r>
    </w:p>
    <w:p>
      <w:pPr>
        <w:pStyle w:val="List Bullet"/>
      </w:pPr>
      <w:r>
        <w:t xml:space="preserve">Clinical trial design templates by indication</w:t>
      </w:r>
    </w:p>
    <w:p>
      <w:pPr>
        <w:pStyle w:val="List Bullet"/>
      </w:pPr>
      <w:r>
        <w:t xml:space="preserve">Regulatory pathway decision trees (NDA, 505(b)(2), combination product considerations)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Prioritize indications: anxiety disorders (chronic tolerance risk, highest unmet need) vs seizures (intermittent dosing, lower tolerance risk).</w:t>
      </w:r>
    </w:p>
    <w:p>
      <w:pPr>
        <w:pStyle w:val="List Bullet"/>
      </w:pPr>
      <w:r>
        <w:t xml:space="preserve">Design indication-specific clinical development: generalized anxiety disorder (GAD) as lead indication with longer-term tolerance data collection.</w:t>
      </w:r>
    </w:p>
    <w:p>
      <w:pPr>
        <w:pStyle w:val="List Bullet"/>
      </w:pPr>
      <w:r>
        <w:t xml:space="preserve">Identify pharmacogenomic patient enrichment: CYP2C19 intermediate/poor metabolizers for reduced-dosing strategies.</w:t>
      </w:r>
    </w:p>
    <w:p>
      <w:pPr>
        <w:pStyle w:val="List Bullet"/>
      </w:pPr>
      <w:r>
        <w:t xml:space="preserve">Propose lead compound selection: alpha2/3-selective agonist with proven tolerance resistance and favorable PK profile.</w:t>
      </w:r>
    </w:p>
    <w:p>
      <w:pPr>
        <w:pStyle w:val="List Bullet"/>
      </w:pPr>
      <w:r>
        <w:t xml:space="preserve">Generate go/no-go criteria for IND: minimum tolerance biomarker performance, target efficacy thresholds, safety baselines.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Indication-specific ranking: generalized anxiety disorder (priority 1), seizure disorders (priority 2), alcohol withdrawal (exploratory)</w:t>
      </w:r>
    </w:p>
    <w:p>
      <w:pPr>
        <w:pStyle w:val="List Bullet"/>
      </w:pPr>
      <w:r>
        <w:t xml:space="preserve">Lead candidate recommendation with development rationale and competitive positioning</w:t>
      </w:r>
    </w:p>
    <w:p>
      <w:pPr>
        <w:pStyle w:val="List Bullet"/>
      </w:pPr>
      <w:r>
        <w:t xml:space="preserve">Proposed clinical trial design: GAD Phase 2a (dose-response, tolerance biomarker collection over 12 weeks)</w:t>
      </w:r>
    </w:p>
    <w:p>
      <w:pPr>
        <w:pStyle w:val="List Bullet"/>
      </w:pPr>
      <w:r>
        <w:t xml:space="preserve">Pharmacogenomic stratification strategy: CYP2C19 genotyping for dose optimization</w:t>
      </w:r>
    </w:p>
    <w:p>
      <w:pPr>
        <w:pStyle w:val="List Bullet"/>
      </w:pPr>
      <w:r>
        <w:t xml:space="preserve">Special population considerations: elderly dosing, pregnancy labeling strategy</w:t>
      </w:r>
    </w:p>
    <w:p>
      <w:pPr>
        <w:pStyle w:val="List Bullet"/>
      </w:pPr>
      <w:r>
        <w:t xml:space="preserve">Regulatory strategy and estimated timeline to IND filing with key preclinical milestones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Tools &amp; Databases Summary</w:t>
      </w:r>
    </w:p>
    <w:p>
      <w:pPr>
        <w:pStyle w:val="List Bullet"/>
      </w:pPr>
      <w:r>
        <w:t xml:space="preserve">Sapphire EP CRISPR atlas (~18k gene perturbations, ~3,500 compounds, 500+ features)</w:t>
      </w:r>
    </w:p>
    <w:p>
      <w:pPr>
        <w:pStyle w:val="List Bullet"/>
      </w:pPr>
      <w:r>
        <w:t xml:space="preserve">PubMed/Google Scholar literature mining and curation</w:t>
      </w:r>
    </w:p>
    <w:p>
      <w:pPr>
        <w:pStyle w:val="List Bullet"/>
      </w:pPr>
      <w:r>
        <w:t xml:space="preserve">ChEMBL/PubChem chemical structure databases</w:t>
      </w:r>
    </w:p>
    <w:p>
      <w:pPr>
        <w:pStyle w:val="List Bullet"/>
      </w:pPr>
      <w:r>
        <w:t xml:space="preserve">RCSB PDB protein structure and molecular docking</w:t>
      </w:r>
    </w:p>
    <w:p>
      <w:pPr>
        <w:pStyle w:val="List Bullet"/>
      </w:pPr>
      <w:r>
        <w:t xml:space="preserve">ChemAxon/Schrödinger ADME and molecular modeling</w:t>
      </w:r>
    </w:p>
    <w:p>
      <w:pPr>
        <w:pStyle w:val="List Bullet"/>
      </w:pPr>
      <w:r>
        <w:t xml:space="preserve">SwissADME/ADMETsar online prediction tools</w:t>
      </w:r>
    </w:p>
    <w:p>
      <w:pPr>
        <w:pStyle w:val="List Bullet"/>
      </w:pPr>
      <w:r>
        <w:t xml:space="preserve">Molecular dynamics (AMBER, GROMACS) for binding affinity</w:t>
      </w:r>
    </w:p>
    <w:p>
      <w:pPr>
        <w:pStyle w:val="List Bullet"/>
      </w:pPr>
      <w:r>
        <w:t xml:space="preserve">Machine learning classifiers and multi-criteria decision analysis</w:t>
      </w:r>
    </w:p>
    <w:p>
      <w:pPr>
        <w:pStyle w:val="List Bullet"/>
      </w:pPr>
      <w:r>
        <w:t xml:space="preserve">ClinicalTrials.gov and FDA approval/guidance documents</w:t>
      </w:r>
    </w:p>
    <w:p>
      <w:pPr>
        <w:pStyle w:val="List Bullet"/>
      </w:pPr>
      <w:r>
        <w:t xml:space="preserve">DrugBank/STITCH off-target prediction databases</w:t>
      </w:r>
    </w:p>
    <w:p>
      <w:pPr>
        <w:pStyle w:val="List Bullet"/>
      </w:pPr>
      <w:r>
        <w:t xml:space="preserve">FDA FAERS adverse event reporting system</w:t>
      </w:r>
    </w:p>
    <w:p>
      <w:pPr>
        <w:pStyle w:val="List Bullet"/>
      </w:pPr>
      <w:r>
        <w:t xml:space="preserve">Deep brain stimulation database and clinical outcomes</w:t>
      </w:r>
    </w:p>
    <w:p>
      <w:pPr>
        <w:pStyle w:val="List Bullet"/>
      </w:pPr>
      <w:r>
        <w:t xml:space="preserve">Neuroinflammation biomarker databases (cytokines)</w:t>
      </w:r>
    </w:p>
    <w:p>
      <w:pPr>
        <w:pStyle w:val="List Bullet"/>
      </w:pPr>
      <w:r>
        <w:t xml:space="preserve">Pharmacogenomic databases (PharmGKB, PharmVar)</w:t>
      </w:r>
    </w:p>
    <w:p>
      <w:pPr>
        <w:pStyle w:val="List Bullet"/>
      </w:pPr>
      <w:r>
        <w:t xml:space="preserve">Clinical trial meta-analysis aggregation platforms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2026-03-04T01:14:58.286Z</dcterms:created>
  <dcterms:modified xsi:type="dcterms:W3CDTF">2026-03-04T01:14:58.286Z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