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t xml:space="preserve">Pipeline 218: Rank cognitive-enhancing mechanisms supported by EP data.</w:t>
      </w:r>
    </w:p>
    <w:p>
      <w:r>
        <w:t xml:space="preserve">Cholinergic enhancement via acetylcholinesterase inhibition or muscarinic M1 agonism augments sustained attention and working memory capacity; EP signatures show elevated acetylcholine-dependent gamma oscillations.</w:t>
      </w:r>
    </w:p>
    <w:p>
      <w:r>
        <w:t xml:space="preserve">NMDA receptor facilitation through GluN2B-selective potentiators enhances synaptic plasticity without excitotoxicity risk; AMPA receptor potentiators synergize cognitive enhancement.</w:t>
      </w:r>
    </w:p>
    <w:p>
      <w:r>
        <w:t xml:space="preserve">PDE4 and PDE5 inhibitors elevate cAMP/cGMP signaling, enhancing CREB-dependent transcription of plasticity genes; cognitive enhancement correlates with increased dendritic spine density.</w:t>
      </w:r>
    </w:p>
    <w:p>
      <w:r>
        <w:t xml:space="preserve">mTOR-dependent synaptic protein synthesis, regulated by eIF4E and S6K, drives learning-associated synaptic enlargement; rapamycin-resistant mTOR signaling supports BDNF-mediated plasticity.</w:t>
      </w:r>
    </w:p>
    <w:p>
      <w:r>
        <w:t xml:space="preserve">Working memory EP signatures characterized by sustained PFC firing and theta-gamma coupling integrity; compounds preserving these signatures show superior cognitive benefit.</w:t>
      </w:r>
    </w:p>
    <w:p>
      <w:pPr>
        <w:pStyle w:val="Heading2"/>
      </w:pPr>
      <w:r>
        <w:t xml:space="preserve">Pipeline Overview</w:t>
      </w:r>
    </w:p>
    <w:p>
      <w:r>
        <w:t xml:space="preserve">This Sapphire Pipeline (218) integrates multi-modal data from the EP CRISPR atlas to systematically discover and validate small molecules with desired target engagement and functional properties. The workflow comprises six analytical stages, each building upon outputs from prior stages to progressively refine candidate molecules toward clinical translation.</w:t>
      </w:r>
    </w:p>
    <w:p>
      <w:r>
        <w:t xml:space="preserve">The pipeline workflow coordinates hypothesis generation, high-throughput screening, mechanistic validation, and safety assessment to identify compounds suitable for preclinical development and IND-enabling studies.</w:t>
      </w:r>
    </w:p>
    <w:p>
      <w:pPr>
        <w:pStyle w:val="Heading2"/>
      </w:pPr>
      <w:r>
        <w:t xml:space="preserve">Stage 1: Cognitive Dysfunction Phenotyping &amp; EP Signature Extraction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2: Cholinergic &amp; NMDA Facilitation Pathway Analysis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3: PDE Inhibitor &amp; mTOR-Dependent Mechanisms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4: Synaptic Plasticity &amp; Working Memory Biomarker Identification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5: Compound Efficacy Ranking Against Cognitive EP Profiles</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Stage 6: Safety &amp; Off-Target Effect Mitigation</w:t>
      </w:r>
    </w:p>
    <w:p>
      <w:r>
        <w:rPr>
          <w:b/>
          <w:bCs/>
          <w:sz w:val="48"/>
          <w:szCs w:val="48"/>
        </w:rPr>
        <w:t xml:space="preserve">Purpose: </w:t>
      </w:r>
      <w:r>
        <w:rPr>
          <w:sz w:val="48"/>
          <w:szCs w:val="48"/>
        </w:rPr>
        <w:t xml:space="preserve">This stage focuses on establishing the theoretical foundation and analytical framework for compound identification. Multiple integrated sub-stages coordinate hypothesis generation, data integration, and mechanistic validation across the Quiver Bioscience EP atlas.</w:t>
      </w:r>
    </w:p>
    <w:p>
      <w:r>
        <w:t xml:space="preserve">Rigorous cross-database validation ensures that identified candidates possess both preclinical promise and clinical viability, minimizing false-positive discoveries.</w:t>
      </w:r>
    </w:p>
    <w:p>
      <w:r>
        <w:rPr>
          <w:b/>
          <w:bCs/>
          <w:sz w:val="48"/>
          <w:szCs w:val="48"/>
        </w:rPr>
        <w:t xml:space="preserve">Inputs: </w:t>
      </w:r>
    </w:p>
    <w:p>
      <w:pPr>
        <w:pStyle w:val="ListParagraph"/>
        <w:numPr>
          <w:ilvl w:val="0"/>
          <w:numId w:val="1"/>
        </w:numPr>
      </w:pPr>
      <w:r>
        <w:t xml:space="preserve">EP CRISPR atlas (~18,000 gene perturbations with electrophysiological phenotypes)</w:t>
      </w:r>
    </w:p>
    <w:p>
      <w:pPr>
        <w:pStyle w:val="ListParagraph"/>
        <w:numPr>
          <w:ilvl w:val="0"/>
          <w:numId w:val="1"/>
        </w:numPr>
      </w:pPr>
      <w:r>
        <w:t xml:space="preserve">Compound perturbation library (~3,500 compounds with comprehensive EP profiling)</w:t>
      </w:r>
    </w:p>
    <w:p>
      <w:pPr>
        <w:pStyle w:val="ListParagraph"/>
        <w:numPr>
          <w:ilvl w:val="0"/>
          <w:numId w:val="1"/>
        </w:numPr>
      </w:pPr>
      <w:r>
        <w:t xml:space="preserve">500+ neurophysiological features per neuron (membrane properties, firing patterns, synaptic transmission parameters)</w:t>
      </w:r>
    </w:p>
    <w:p>
      <w:pPr>
        <w:pStyle w:val="ListParagraph"/>
        <w:numPr>
          <w:ilvl w:val="0"/>
          <w:numId w:val="1"/>
        </w:numPr>
      </w:pPr>
      <w:r>
        <w:t xml:space="preserve">Psychiatric disease classification database with curated genetic variants and clinical phenotypes</w:t>
      </w:r>
    </w:p>
    <w:p>
      <w:pPr>
        <w:pStyle w:val="ListParagraph"/>
        <w:numPr>
          <w:ilvl w:val="0"/>
          <w:numId w:val="1"/>
        </w:numPr>
      </w:pPr>
      <w:r>
        <w:t xml:space="preserve">Literature databases (PubMed, GWAS catalogs, protein interaction networks)</w:t>
      </w:r>
    </w:p>
    <w:p>
      <w:pPr>
        <w:pStyle w:val="ListParagraph"/>
        <w:numPr>
          <w:ilvl w:val="0"/>
          <w:numId w:val="1"/>
        </w:numPr>
      </w:pPr>
      <w:r>
        <w:t xml:space="preserve">Clinical trial safety and pharmacokinetics repositories</w:t>
      </w:r>
    </w:p>
    <w:p>
      <w:r>
        <w:rPr>
          <w:b/>
          <w:bCs/>
          <w:sz w:val="48"/>
          <w:szCs w:val="48"/>
        </w:rPr>
        <w:t xml:space="preserve">Tools &amp; Databases Called: </w:t>
      </w:r>
    </w:p>
    <w:p>
      <w:pPr>
        <w:pStyle w:val="ListParagraph"/>
        <w:numPr>
          <w:ilvl w:val="0"/>
          <w:numId w:val="1"/>
        </w:numPr>
      </w:pPr>
      <w:r>
        <w:t xml:space="preserve">Quiver Bioscience Sapphire Platform (compound screening, EP signature matching)</w:t>
      </w:r>
    </w:p>
    <w:p>
      <w:pPr>
        <w:pStyle w:val="ListParagraph"/>
        <w:numPr>
          <w:ilvl w:val="0"/>
          <w:numId w:val="1"/>
        </w:numPr>
      </w:pPr>
      <w:r>
        <w:t xml:space="preserve">DrugBank &amp; ChEMBL (compound structure, ADME properties, known targets)</w:t>
      </w:r>
    </w:p>
    <w:p>
      <w:pPr>
        <w:pStyle w:val="ListParagraph"/>
        <w:numPr>
          <w:ilvl w:val="0"/>
          <w:numId w:val="1"/>
        </w:numPr>
      </w:pPr>
      <w:r>
        <w:t xml:space="preserve">UniProt &amp; Reactome (protein interactions, pathway annotation, functional ontologies)</w:t>
      </w:r>
    </w:p>
    <w:p>
      <w:pPr>
        <w:pStyle w:val="ListParagraph"/>
        <w:numPr>
          <w:ilvl w:val="0"/>
          <w:numId w:val="1"/>
        </w:numPr>
      </w:pPr>
      <w:r>
        <w:t xml:space="preserve">PubMed &amp; Google Scholar (literature integration, mechanism validation)</w:t>
      </w:r>
    </w:p>
    <w:p>
      <w:pPr>
        <w:pStyle w:val="ListParagraph"/>
        <w:numPr>
          <w:ilvl w:val="0"/>
          <w:numId w:val="1"/>
        </w:numPr>
      </w:pPr>
      <w:r>
        <w:t xml:space="preserve">ClinicalTrials.gov (Phase I safety profiles, dose-limiting toxicity reports)</w:t>
      </w:r>
    </w:p>
    <w:p>
      <w:pPr>
        <w:pStyle w:val="ListParagraph"/>
        <w:numPr>
          <w:ilvl w:val="0"/>
          <w:numId w:val="1"/>
        </w:numPr>
      </w:pPr>
      <w:r>
        <w:t xml:space="preserve">GWAS Catalog &amp; dbSNP (genetic association validation, allele frequency estimation)</w:t>
      </w:r>
    </w:p>
    <w:p>
      <w:pPr>
        <w:pStyle w:val="ListParagraph"/>
        <w:numPr>
          <w:ilvl w:val="0"/>
          <w:numId w:val="1"/>
        </w:numPr>
      </w:pPr>
      <w:r>
        <w:t xml:space="preserve">Protein Data Bank (structural pharmacology, drug-target binding predictions)</w:t>
      </w:r>
    </w:p>
    <w:p>
      <w:r>
        <w:rPr>
          <w:b/>
          <w:bCs/>
          <w:sz w:val="48"/>
          <w:szCs w:val="48"/>
        </w:rPr>
        <w:t xml:space="preserve">Exemplary Sub-Prompts: </w:t>
      </w:r>
    </w:p>
    <w:p>
      <w:pPr>
        <w:pStyle w:val="ListParagraph"/>
        <w:numPr>
          <w:ilvl w:val="0"/>
          <w:numId w:val="1"/>
        </w:numPr>
      </w:pPr>
      <w:r>
        <w:t xml:space="preserve">Within the compound atlas, which molecules show EP signatures antipodal to psychiatric disease CRISPR perturbations?</w:t>
      </w:r>
    </w:p>
    <w:p>
      <w:pPr>
        <w:pStyle w:val="ListParagraph"/>
        <w:numPr>
          <w:ilvl w:val="0"/>
          <w:numId w:val="1"/>
        </w:numPr>
      </w:pPr>
      <w:r>
        <w:t xml:space="preserve">Rank compounds by the magnitude of target pathway modulation and clinical safety evidence.</w:t>
      </w:r>
    </w:p>
    <w:p>
      <w:pPr>
        <w:pStyle w:val="ListParagraph"/>
        <w:numPr>
          <w:ilvl w:val="0"/>
          <w:numId w:val="1"/>
        </w:numPr>
      </w:pPr>
      <w:r>
        <w:t xml:space="preserve">Cross-reference top candidates against published Phase I trials to eliminate high toxicity-risk molecules.</w:t>
      </w:r>
    </w:p>
    <w:p>
      <w:pPr>
        <w:pStyle w:val="ListParagraph"/>
        <w:numPr>
          <w:ilvl w:val="0"/>
          <w:numId w:val="1"/>
        </w:numPr>
      </w:pPr>
      <w:r>
        <w:t xml:space="preserve">Identify secondary targets that may enhance primary mechanism efficacy without increasing off-target liability.</w:t>
      </w:r>
    </w:p>
    <w:p>
      <w:pPr>
        <w:pStyle w:val="ListParagraph"/>
        <w:numPr>
          <w:ilvl w:val="0"/>
          <w:numId w:val="1"/>
        </w:numPr>
      </w:pPr>
      <w:r>
        <w:t xml:space="preserve">For lead candidates, synthesize mechanism-of-action narratives integrating genetic, electrophysiological, and clinical data.</w:t>
      </w:r>
    </w:p>
    <w:p>
      <w:r>
        <w:rPr>
          <w:b/>
          <w:bCs/>
          <w:sz w:val="48"/>
          <w:szCs w:val="48"/>
        </w:rPr>
        <w:t xml:space="preserve">Expected Outputs: </w:t>
      </w:r>
    </w:p>
    <w:p>
      <w:pPr>
        <w:pStyle w:val="ListParagraph"/>
        <w:numPr>
          <w:ilvl w:val="0"/>
          <w:numId w:val="1"/>
        </w:numPr>
      </w:pPr>
      <w:r>
        <w:t xml:space="preserve">Prioritized candidate compound list (top 20–50 molecules) ranked by mechanism relevance and safety profile</w:t>
      </w:r>
    </w:p>
    <w:p>
      <w:pPr>
        <w:pStyle w:val="ListParagraph"/>
        <w:numPr>
          <w:ilvl w:val="0"/>
          <w:numId w:val="1"/>
        </w:numPr>
      </w:pPr>
      <w:r>
        <w:t xml:space="preserve">Target engagement validation report (gene targets, protein interactions, pathway affinity predictions)</w:t>
      </w:r>
    </w:p>
    <w:p>
      <w:pPr>
        <w:pStyle w:val="ListParagraph"/>
        <w:numPr>
          <w:ilvl w:val="0"/>
          <w:numId w:val="1"/>
        </w:numPr>
      </w:pPr>
      <w:r>
        <w:t xml:space="preserve">Electrophysiological signature matching report showing compound atlas EP profiles vs. disease CRISPR phenotypes</w:t>
      </w:r>
    </w:p>
    <w:p>
      <w:pPr>
        <w:pStyle w:val="ListParagraph"/>
        <w:numPr>
          <w:ilvl w:val="0"/>
          <w:numId w:val="1"/>
        </w:numPr>
      </w:pPr>
      <w:r>
        <w:t xml:space="preserve">Clinical safety assessment (Phase I adverse event frequency, maximum tolerated dose, organ-specific toxicity patterns)</w:t>
      </w:r>
    </w:p>
    <w:p>
      <w:pPr>
        <w:pStyle w:val="ListParagraph"/>
        <w:numPr>
          <w:ilvl w:val="0"/>
          <w:numId w:val="1"/>
        </w:numPr>
      </w:pPr>
      <w:r>
        <w:t xml:space="preserve">Mechanism-of-action summary for each lead candidate (target genes, pathway nodes, predicted functional outcomes)</w:t>
      </w:r>
    </w:p>
    <w:p>
      <w:pPr>
        <w:pStyle w:val="ListParagraph"/>
        <w:numPr>
          <w:ilvl w:val="0"/>
          <w:numId w:val="1"/>
        </w:numPr>
      </w:pPr>
      <w:r>
        <w:t xml:space="preserve">Literature-integrated mechanistic narrative supporting therapeutic hypothesis for top 5–10 candidates</w:t>
      </w:r>
    </w:p>
    <w:p>
      <w:r>
        <w:rPr>
          <w:b/>
          <w:bCs/>
          <w:sz w:val="48"/>
          <w:szCs w:val="48"/>
        </w:rPr>
        <w:t xml:space="preserve">Format: </w:t>
      </w:r>
      <w:r>
        <w:rPr>
          <w:sz w:val="48"/>
          <w:szCs w:val="48"/>
        </w:rPr>
        <w:t xml:space="preserve">Structured tabular outputs (compound ID, target gene, mechanism score, safety tier, clinical precedent) supplemented by narrative mechanism summaries and visual pathway diagrams.</w:t>
      </w:r>
    </w:p>
    <w:p>
      <w:pPr>
        <w:pStyle w:val="Heading2"/>
      </w:pPr>
      <w:r>
        <w:t xml:space="preserve">Tools &amp; Databases Summary</w:t>
      </w:r>
    </w:p>
    <w:p>
      <w:pPr>
        <w:pStyle w:val="ListParagraph"/>
        <w:numPr>
          <w:ilvl w:val="0"/>
          <w:numId w:val="1"/>
        </w:numPr>
      </w:pPr>
      <w:r>
        <w:t xml:space="preserve">Quiver Bioscience Sapphire Platform: primary interface for EP CRISPR atlas mining, compound-phenotype matching, and scoring algorithms</w:t>
      </w:r>
    </w:p>
    <w:p>
      <w:pPr>
        <w:pStyle w:val="ListParagraph"/>
        <w:numPr>
          <w:ilvl w:val="0"/>
          <w:numId w:val="1"/>
        </w:numPr>
      </w:pPr>
      <w:r>
        <w:t xml:space="preserve">DrugBank: comprehensive pharmacological database with 13,000+ approved and experimental drugs, ADME properties, and adverse effect profiles</w:t>
      </w:r>
    </w:p>
    <w:p>
      <w:pPr>
        <w:pStyle w:val="ListParagraph"/>
        <w:numPr>
          <w:ilvl w:val="0"/>
          <w:numId w:val="1"/>
        </w:numPr>
      </w:pPr>
      <w:r>
        <w:t xml:space="preserve">ChEMBL: large-scale bioactivity database (2+ million compounds) with IC50/EC50 values, target engagement predictions, and structure-activity relationships</w:t>
      </w:r>
    </w:p>
    <w:p>
      <w:pPr>
        <w:pStyle w:val="ListParagraph"/>
        <w:numPr>
          <w:ilvl w:val="0"/>
          <w:numId w:val="1"/>
        </w:numPr>
      </w:pPr>
      <w:r>
        <w:t xml:space="preserve">UniProt &amp; Reactome: protein annotation, pathway databases with 14,000+ pathway maps enabling mechanism-of-action reconstruction</w:t>
      </w:r>
    </w:p>
    <w:p>
      <w:pPr>
        <w:pStyle w:val="ListParagraph"/>
        <w:numPr>
          <w:ilvl w:val="0"/>
          <w:numId w:val="1"/>
        </w:numPr>
      </w:pPr>
      <w:r>
        <w:t xml:space="preserve">PubMed &amp; Google Scholar: literature integration for mechanism validation, clinical precedent establishment, and therapeutic hypothesis support</w:t>
      </w:r>
    </w:p>
    <w:p>
      <w:pPr>
        <w:pStyle w:val="ListParagraph"/>
        <w:numPr>
          <w:ilvl w:val="0"/>
          <w:numId w:val="1"/>
        </w:numPr>
      </w:pPr>
      <w:r>
        <w:t xml:space="preserve">ClinicalTrials.gov: 500,000+ trial records enabling Phase I safety profile extraction, dose-limiting toxicity identification, and patient population relevance assessment</w:t>
      </w:r>
    </w:p>
    <w:p>
      <w:pPr>
        <w:pStyle w:val="ListParagraph"/>
        <w:numPr>
          <w:ilvl w:val="0"/>
          <w:numId w:val="1"/>
        </w:numPr>
      </w:pPr>
      <w:r>
        <w:t xml:space="preserve">GWAS Catalog &amp; dbSNP: genetic association databases with 5,000+ disease-associated variants enabling target validation against human genetic evidence</w:t>
      </w:r>
    </w:p>
    <w:p>
      <w:pPr>
        <w:pStyle w:val="ListParagraph"/>
        <w:numPr>
          <w:ilvl w:val="0"/>
          <w:numId w:val="1"/>
        </w:numPr>
      </w:pPr>
      <w:r>
        <w:t xml:space="preserve">Protein Data Bank: 200,000+ 3D protein structures enabling computational docking, binding affinity prediction, and off-target liability assessment</w:t>
      </w:r>
    </w:p>
    <w:p>
      <w:pPr>
        <w:pStyle w:val="ListParagraph"/>
        <w:numPr>
          <w:ilvl w:val="0"/>
          <w:numId w:val="1"/>
        </w:numPr>
      </w:pPr>
      <w:r>
        <w:t xml:space="preserve">OpenTargets: integrated target validation platform merging genetic, functional, and chemical evidence (100,000+ target-disease associations)</w:t>
      </w:r>
    </w:p>
    <w:p>
      <w:pPr>
        <w:pStyle w:val="ListParagraph"/>
        <w:numPr>
          <w:ilvl w:val="0"/>
          <w:numId w:val="1"/>
        </w:numPr>
      </w:pPr>
      <w:r>
        <w:t xml:space="preserve">Ensembl &amp; BioMart: genome annotation databases enabling ortholog identification and cross-species mechanistic translation</w:t>
      </w:r>
    </w:p>
    <w:p>
      <w:pPr>
        <w:pStyle w:val="ListParagraph"/>
        <w:numPr>
          <w:ilvl w:val="0"/>
          <w:numId w:val="1"/>
        </w:numPr>
      </w:pPr>
      <w:r>
        <w:t xml:space="preserve">LINCS L1000: transcriptomic perturbation database (1.3 million perturbation profiles) enabling compound-CRISPR signature correlation</w:t>
      </w:r>
    </w:p>
    <w:p>
      <w:pPr>
        <w:pStyle w:val="ListParagraph"/>
        <w:numPr>
          <w:ilvl w:val="0"/>
          <w:numId w:val="1"/>
        </w:numPr>
      </w:pPr>
      <w:r>
        <w:t xml:space="preserve">Allen Brain Atlas: spatiotemporal gene expression mapping enabling cell-type specificity validation and brain region-dependent mechanism prediction</w:t>
      </w:r>
    </w:p>
    <w:p>
      <w:pPr>
        <w:pStyle w:val="ListParagraph"/>
        <w:numPr>
          <w:ilvl w:val="0"/>
          <w:numId w:val="1"/>
        </w:numPr>
      </w:pPr>
      <w:r>
        <w:t xml:space="preserve">Human Protein Atlas: tissue and cell-type expression patterns ensuring target selectivity across CNS cell types and peripheral tissues</w:t>
      </w:r>
    </w:p>
    <w:p>
      <w:pPr>
        <w:pStyle w:val="ListParagraph"/>
        <w:numPr>
          <w:ilvl w:val="0"/>
          <w:numId w:val="1"/>
        </w:numPr>
      </w:pPr>
      <w:r>
        <w:t xml:space="preserve">STRING: protein-protein interaction network database (24+ million interactions) enabling mechanism validation and secondary target prediction</w:t>
      </w:r>
    </w:p>
    <w:p>
      <w:pPr>
        <w:pStyle w:val="ListParagraph"/>
        <w:numPr>
          <w:ilvl w:val="0"/>
          <w:numId w:val="1"/>
        </w:numPr>
      </w:pPr>
      <w:r>
        <w:t xml:space="preserve">EMBL-EBI Ensembl Regulation: epigenetic and regulatory element databases supporting mechanistic hypothesis regarding transcriptional control and enhancer activation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2026-03-04T01:19:40.894Z</dcterms:created>
  <dcterms:modified xsi:type="dcterms:W3CDTF">2026-03-04T01:19:40.894Z</dcterms:modified>
</cp:coreProperties>
</file>

<file path=docProps/custom.xml><?xml version="1.0" encoding="utf-8"?>
<Properties xmlns="http://schemas.openxmlformats.org/officeDocument/2006/custom-properties" xmlns:vt="http://schemas.openxmlformats.org/officeDocument/2006/docPropsVTypes"/>
</file>