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Pipeline 219: Identify clinically safe drugs improving cortical oscillatory stability.</w:t>
      </w:r>
    </w:p>
    <w:p>
      <w:r>
        <w:t xml:space="preserve">Gamma oscillation (30–100 Hz) destabilization occurs in schizophrenia, bipolar disorder, and autism; compounds restoring gamma power and coherence normalize cognitive processing.</w:t>
      </w:r>
    </w:p>
    <w:p>
      <w:r>
        <w:t xml:space="preserve">PV (parvalbumin)-expressing GABAergic interneurons generate gamma oscillations through synchronized fast-spiking; loss of PV+ function underlies gamma deficits in psychiatric disease.</w:t>
      </w:r>
    </w:p>
    <w:p>
      <w:r>
        <w:t xml:space="preserve">Theta-gamma coupling (4–12 Hz modulating 30–100 Hz power) supports temporal coordination across cortical hierarchies; compounds enhancing coupling improve cognitive flexibility and salience detection.</w:t>
      </w:r>
    </w:p>
    <w:p>
      <w:r>
        <w:t xml:space="preserve">Cortical synchronization metrics including phase-locking value and coherence; compounds stabilizing inter-areal synchronization restore executive function and perceptual clarity.</w:t>
      </w:r>
    </w:p>
    <w:p>
      <w:r>
        <w:t xml:space="preserve">Clinically safe oscillatory-enhancing compounds exhibit minimal off-target binding and preserve normal synaptic plasticity mechanisms, enabling long-term therapeutic benefit without tolerance development.</w:t>
      </w:r>
    </w:p>
    <w:p>
      <w:pPr>
        <w:pStyle w:val="Heading2"/>
      </w:pPr>
      <w:r>
        <w:t xml:space="preserve">Pipeline Overview</w:t>
      </w:r>
    </w:p>
    <w:p>
      <w:r>
        <w:t xml:space="preserve">This Sapphire Pipeline (219) integrates multi-modal data from the EP CRISPR atlas to systematically discover and validate small molecules with desired target engagement and functional properties. The workflow comprises six analytical stages, each building upon outputs from prior stages to progressively refine candidate molecules toward clinical translation.</w:t>
      </w:r>
    </w:p>
    <w:p>
      <w:r>
        <w:t xml:space="preserve">The pipeline workflow coordinates hypothesis generation, high-throughput screening, mechanistic validation, and safety assessment to identify compounds suitable for preclinical development and IND-enabling studies.</w:t>
      </w:r>
    </w:p>
    <w:p>
      <w:pPr>
        <w:pStyle w:val="Heading2"/>
      </w:pPr>
      <w:r>
        <w:t xml:space="preserve">Stage 1: Cortical Oscillatory Dysfunction Characterization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2: Gamma Oscillation Stabilization &amp; PV Interneuron Function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3: Theta-Gamma Coupling &amp; Cortical Synchronization Mechanisms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4: Compound Library Screening Against Oscillatory EP Profiles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5: Clinical Safety &amp; Neurophysiological Biomarker Validation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6: Lead Candidate Optimization &amp; Dosing Strategy</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Tools &amp; Databases Summary</w:t>
      </w:r>
    </w:p>
    <w:p>
      <w:pPr>
        <w:pStyle w:val="ListParagraph"/>
        <w:numPr>
          <w:ilvl w:val="0"/>
          <w:numId w:val="1"/>
        </w:numPr>
      </w:pPr>
      <w:r>
        <w:t xml:space="preserve">Quiver Bioscience Sapphire Platform: primary interface for EP CRISPR atlas mining, compound-phenotype matching, and scoring algorithms</w:t>
      </w:r>
    </w:p>
    <w:p>
      <w:pPr>
        <w:pStyle w:val="ListParagraph"/>
        <w:numPr>
          <w:ilvl w:val="0"/>
          <w:numId w:val="1"/>
        </w:numPr>
      </w:pPr>
      <w:r>
        <w:t xml:space="preserve">DrugBank: comprehensive pharmacological database with 13,000+ approved and experimental drugs, ADME properties, and adverse effect profiles</w:t>
      </w:r>
    </w:p>
    <w:p>
      <w:pPr>
        <w:pStyle w:val="ListParagraph"/>
        <w:numPr>
          <w:ilvl w:val="0"/>
          <w:numId w:val="1"/>
        </w:numPr>
      </w:pPr>
      <w:r>
        <w:t xml:space="preserve">ChEMBL: large-scale bioactivity database (2+ million compounds) with IC50/EC50 values, target engagement predictions, and structure-activity relationships</w:t>
      </w:r>
    </w:p>
    <w:p>
      <w:pPr>
        <w:pStyle w:val="ListParagraph"/>
        <w:numPr>
          <w:ilvl w:val="0"/>
          <w:numId w:val="1"/>
        </w:numPr>
      </w:pPr>
      <w:r>
        <w:t xml:space="preserve">UniProt &amp; Reactome: protein annotation, pathway databases with 14,000+ pathway maps enabling mechanism-of-action reconstruction</w:t>
      </w:r>
    </w:p>
    <w:p>
      <w:pPr>
        <w:pStyle w:val="ListParagraph"/>
        <w:numPr>
          <w:ilvl w:val="0"/>
          <w:numId w:val="1"/>
        </w:numPr>
      </w:pPr>
      <w:r>
        <w:t xml:space="preserve">PubMed &amp; Google Scholar: literature integration for mechanism validation, clinical precedent establishment, and therapeutic hypothesis support</w:t>
      </w:r>
    </w:p>
    <w:p>
      <w:pPr>
        <w:pStyle w:val="ListParagraph"/>
        <w:numPr>
          <w:ilvl w:val="0"/>
          <w:numId w:val="1"/>
        </w:numPr>
      </w:pPr>
      <w:r>
        <w:t xml:space="preserve">ClinicalTrials.gov: 500,000+ trial records enabling Phase I safety profile extraction, dose-limiting toxicity identification, and patient population relevance assessment</w:t>
      </w:r>
    </w:p>
    <w:p>
      <w:pPr>
        <w:pStyle w:val="ListParagraph"/>
        <w:numPr>
          <w:ilvl w:val="0"/>
          <w:numId w:val="1"/>
        </w:numPr>
      </w:pPr>
      <w:r>
        <w:t xml:space="preserve">GWAS Catalog &amp; dbSNP: genetic association databases with 5,000+ disease-associated variants enabling target validation against human genetic evidence</w:t>
      </w:r>
    </w:p>
    <w:p>
      <w:pPr>
        <w:pStyle w:val="ListParagraph"/>
        <w:numPr>
          <w:ilvl w:val="0"/>
          <w:numId w:val="1"/>
        </w:numPr>
      </w:pPr>
      <w:r>
        <w:t xml:space="preserve">Protein Data Bank: 200,000+ 3D protein structures enabling computational docking, binding affinity prediction, and off-target liability assessment</w:t>
      </w:r>
    </w:p>
    <w:p>
      <w:pPr>
        <w:pStyle w:val="ListParagraph"/>
        <w:numPr>
          <w:ilvl w:val="0"/>
          <w:numId w:val="1"/>
        </w:numPr>
      </w:pPr>
      <w:r>
        <w:t xml:space="preserve">OpenTargets: integrated target validation platform merging genetic, functional, and chemical evidence (100,000+ target-disease associations)</w:t>
      </w:r>
    </w:p>
    <w:p>
      <w:pPr>
        <w:pStyle w:val="ListParagraph"/>
        <w:numPr>
          <w:ilvl w:val="0"/>
          <w:numId w:val="1"/>
        </w:numPr>
      </w:pPr>
      <w:r>
        <w:t xml:space="preserve">Ensembl &amp; BioMart: genome annotation databases enabling ortholog identification and cross-species mechanistic translation</w:t>
      </w:r>
    </w:p>
    <w:p>
      <w:pPr>
        <w:pStyle w:val="ListParagraph"/>
        <w:numPr>
          <w:ilvl w:val="0"/>
          <w:numId w:val="1"/>
        </w:numPr>
      </w:pPr>
      <w:r>
        <w:t xml:space="preserve">LINCS L1000: transcriptomic perturbation database (1.3 million perturbation profiles) enabling compound-CRISPR signature correlation</w:t>
      </w:r>
    </w:p>
    <w:p>
      <w:pPr>
        <w:pStyle w:val="ListParagraph"/>
        <w:numPr>
          <w:ilvl w:val="0"/>
          <w:numId w:val="1"/>
        </w:numPr>
      </w:pPr>
      <w:r>
        <w:t xml:space="preserve">Allen Brain Atlas: spatiotemporal gene expression mapping enabling cell-type specificity validation and brain region-dependent mechanism prediction</w:t>
      </w:r>
    </w:p>
    <w:p>
      <w:pPr>
        <w:pStyle w:val="ListParagraph"/>
        <w:numPr>
          <w:ilvl w:val="0"/>
          <w:numId w:val="1"/>
        </w:numPr>
      </w:pPr>
      <w:r>
        <w:t xml:space="preserve">Human Protein Atlas: tissue and cell-type expression patterns ensuring target selectivity across CNS cell types and peripheral tissues</w:t>
      </w:r>
    </w:p>
    <w:p>
      <w:pPr>
        <w:pStyle w:val="ListParagraph"/>
        <w:numPr>
          <w:ilvl w:val="0"/>
          <w:numId w:val="1"/>
        </w:numPr>
      </w:pPr>
      <w:r>
        <w:t xml:space="preserve">STRING: protein-protein interaction network database (24+ million interactions) enabling mechanism validation and secondary target prediction</w:t>
      </w:r>
    </w:p>
    <w:p>
      <w:pPr>
        <w:pStyle w:val="ListParagraph"/>
        <w:numPr>
          <w:ilvl w:val="0"/>
          <w:numId w:val="1"/>
        </w:numPr>
      </w:pPr>
      <w:r>
        <w:t xml:space="preserve">EMBL-EBI Ensembl Regulation: epigenetic and regulatory element databases supporting mechanistic hypothesis regarding transcriptional control and enhancer activation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2026-03-04T01:19:40.903Z</dcterms:created>
  <dcterms:modified xsi:type="dcterms:W3CDTF">2026-03-04T01:19:40.903Z</dcterms:modified>
</cp:coreProperties>
</file>

<file path=docProps/custom.xml><?xml version="1.0" encoding="utf-8"?>
<Properties xmlns="http://schemas.openxmlformats.org/officeDocument/2006/custom-properties" xmlns:vt="http://schemas.openxmlformats.org/officeDocument/2006/docPropsVTypes"/>
</file>