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rPr>
          <w:rFonts w:ascii="Arial" w:cs="Arial" w:eastAsia="Arial" w:hAnsi="Arial"/>
          <w:b/>
          <w:bCs/>
          <w:sz w:val="32"/>
          <w:szCs w:val="32"/>
        </w:rPr>
        <w:t xml:space="preserve">Sapphire Pipeline Workflow: Long-Term Adaptation Deficit Rescue in Depressive Models</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Find drugs rescuing long-term adaptation deficits in depressive neuron models.</w:t>
      </w:r>
    </w:p>
    <w:p>
      <w:pPr>
        <w:spacing w:after="200" w:line="360"/>
      </w:pPr>
      <w:r>
        <w:rPr>
          <w:rFonts w:ascii="Arial" w:cs="Arial" w:eastAsia="Arial" w:hAnsi="Arial"/>
          <w:sz w:val="24"/>
          <w:szCs w:val="24"/>
        </w:rPr>
        <w:t xml:space="preserve">Depression involves not merely acute synaptic dysfunction but profound adaptive deficits where neuronal circuits fail to respond adequately to changing environmental demands—a phenomenon manifest in electrophysiological recordings as impaired activity-dependent normalization, reduced homeostatic plasticity, diminished responsiveness to neuromodulatory cues, and pathological hysteresis in circuit responses. This pipeline identifies compounds that rescue long-term adaptation capacity in validated depressive neuron models (including chronic stress-exposed neurons and genetically-modulated models), focusing on drugs that restore the dynamic range of neuronal responses, improve activity-dependent homeostasis, and enhance circuit-level flexibility.</w:t>
      </w:r>
    </w:p>
    <w:p>
      <w:pPr>
        <w:spacing w:after="200" w:line="360"/>
      </w:pPr>
      <w:r>
        <w:rPr>
          <w:rFonts w:ascii="Arial" w:cs="Arial" w:eastAsia="Arial" w:hAnsi="Arial"/>
          <w:sz w:val="24"/>
          <w:szCs w:val="24"/>
        </w:rPr>
        <w:t xml:space="preserve">The workflow applies time-series electrophysiological profiling and stimulus-response characterization to measure adaptation deficits across multiple timescales (seconds to hours) and stimulus modalities (current injection, neuromodulator application, network stimulation patterns). Compounds are ranked by their capacity to restore adaptation signatures observed in healthy control neurons while tolerating the complex temporal dynamics of depression-relevant pathology, identifying therapeutics that address dysfunction not just at the acute moment but across the sustained adaptive capacity required for psychological resilience.</w:t>
      </w:r>
    </w:p>
    <w:p>
      <w:pPr>
        <w:pStyle w:val="Heading2"/>
        <w:spacing w:after="200" w:before="24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six-stage workflow systematically decomposes the scientific question into computational and experimental sub-problems, each with discrete data inputs, tool requirements, and expected outputs. Each stage represents a distinct phase of hypothesis formation, data integration, and validation that collectively moves from hypothesis generation through mechanistic prioritization to therapeutic candidate identification. The modular architecture allows researchers to customize depth and breadth at each stage based on available computational resources and experimental validation capacity.</w:t>
      </w:r>
    </w:p>
    <w:p>
      <w:pPr>
        <w:spacing w:after="200" w:line="360"/>
      </w:pPr>
      <w:r>
        <w:rPr>
          <w:rFonts w:ascii="Arial" w:cs="Arial" w:eastAsia="Arial" w:hAnsi="Arial"/>
          <w:sz w:val="24"/>
          <w:szCs w:val="24"/>
        </w:rPr>
        <w:t xml:space="preserve">Implementation of this pipeline leverages Sapphire's integration with Quiver Bioscience's proprietary EP CRISPR atlas and compound screening database, enabling rapid iteration between in-silico prediction and experimental validation. The workflow maintains complete audit trails of data transformations, model parameters, and decision thresholds, ensuring reproducibility and enabling systematic refinement of inclusion criteria as new experimental evidence emerges.</w:t>
      </w:r>
    </w:p>
    <w:p>
      <w:pPr>
        <w:pStyle w:val="Heading2"/>
        <w:spacing w:after="200" w:before="240"/>
      </w:pPr>
      <w:r>
        <w:rPr>
          <w:rFonts w:ascii="Arial" w:cs="Arial" w:eastAsia="Arial" w:hAnsi="Arial"/>
          <w:b/>
          <w:bCs/>
          <w:sz w:val="28"/>
          <w:szCs w:val="28"/>
        </w:rPr>
        <w:t xml:space="preserve">Stage 1: Data Aggregation &amp; Phenotypic Standardization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Consolidate raw electrophysiological recordings, compound annotations, and genetic perturbation metadata into a unified, normalized data structure with standardized feature definitions and quality control filtering.</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Raw whole-cell patch-clamp electrophysiology recordings (neurons from disease models, genetic lines, or control populations)</w:t>
      </w:r>
    </w:p>
    <w:p>
      <w:pPr>
        <w:pStyle w:val="ListParagraph"/>
        <w:numPr>
          <w:ilvl w:val="0"/>
          <w:numId w:val="2"/>
        </w:numPr>
        <w:spacing w:after="100" w:line="360"/>
      </w:pPr>
      <w:r>
        <w:rPr>
          <w:rFonts w:ascii="Arial" w:cs="Arial" w:eastAsia="Arial" w:hAnsi="Arial"/>
          <w:sz w:val="24"/>
          <w:szCs w:val="24"/>
        </w:rPr>
        <w:t xml:space="preserve">Compound perturbation identifiers with structural annotations, pharmacological targets, and known mechanism-of-action classifications</w:t>
      </w:r>
    </w:p>
    <w:p>
      <w:pPr>
        <w:pStyle w:val="ListParagraph"/>
        <w:numPr>
          <w:ilvl w:val="0"/>
          <w:numId w:val="2"/>
        </w:numPr>
        <w:spacing w:after="100" w:line="360"/>
      </w:pPr>
      <w:r>
        <w:rPr>
          <w:rFonts w:ascii="Arial" w:cs="Arial" w:eastAsia="Arial" w:hAnsi="Arial"/>
          <w:sz w:val="24"/>
          <w:szCs w:val="24"/>
        </w:rPr>
        <w:t xml:space="preserve">CRISPR perturbation metadata including gene identifiers, off-target assessment, validation status, and tissue-specific expression patterns</w:t>
      </w:r>
    </w:p>
    <w:p>
      <w:pPr>
        <w:pStyle w:val="ListParagraph"/>
        <w:numPr>
          <w:ilvl w:val="0"/>
          <w:numId w:val="2"/>
        </w:numPr>
        <w:spacing w:after="100" w:line="360"/>
      </w:pPr>
      <w:r>
        <w:rPr>
          <w:rFonts w:ascii="Arial" w:cs="Arial" w:eastAsia="Arial" w:hAnsi="Arial"/>
          <w:sz w:val="24"/>
          <w:szCs w:val="24"/>
        </w:rPr>
        <w:t xml:space="preserve">Clinical/phenotypic annotations linking genetic variants to psychiatric diagnosis codes, symptom severity metrics, or quantitative endophenotypes</w:t>
      </w:r>
    </w:p>
    <w:p>
      <w:pPr>
        <w:pStyle w:val="ListParagraph"/>
        <w:numPr>
          <w:ilvl w:val="0"/>
          <w:numId w:val="2"/>
        </w:numPr>
        <w:spacing w:after="100" w:line="360"/>
      </w:pPr>
      <w:r>
        <w:rPr>
          <w:rFonts w:ascii="Arial" w:cs="Arial" w:eastAsia="Arial" w:hAnsi="Arial"/>
          <w:sz w:val="24"/>
          <w:szCs w:val="24"/>
        </w:rPr>
        <w:t xml:space="preserve">Reference electrophysiological feature definitions from literature and Quiver's standardized ontology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CRISPR Perturbation Database (filtered for ~18,000 gene perturbations with ≥5 replicate recordings per condition)</w:t>
      </w:r>
    </w:p>
    <w:p>
      <w:pPr>
        <w:pStyle w:val="ListParagraph"/>
        <w:numPr>
          <w:ilvl w:val="0"/>
          <w:numId w:val="2"/>
        </w:numPr>
        <w:spacing w:after="100" w:line="360"/>
      </w:pPr>
      <w:r>
        <w:rPr>
          <w:rFonts w:ascii="Arial" w:cs="Arial" w:eastAsia="Arial" w:hAnsi="Arial"/>
          <w:sz w:val="24"/>
          <w:szCs w:val="24"/>
        </w:rPr>
        <w:t xml:space="preserve">Compound Structure Activity Relationship (SAR) Database with ~3,500 annotated perturbations and target selectivity profiles</w:t>
      </w:r>
    </w:p>
    <w:p>
      <w:pPr>
        <w:pStyle w:val="ListParagraph"/>
        <w:numPr>
          <w:ilvl w:val="0"/>
          <w:numId w:val="2"/>
        </w:numPr>
        <w:spacing w:after="100" w:line="360"/>
      </w:pPr>
      <w:r>
        <w:rPr>
          <w:rFonts w:ascii="Arial" w:cs="Arial" w:eastAsia="Arial" w:hAnsi="Arial"/>
          <w:sz w:val="24"/>
          <w:szCs w:val="24"/>
        </w:rPr>
        <w:t xml:space="preserve">Electrophysiological Feature Extraction Pipeline (automated spike detection, AHP measurement, synaptic kinetics quantification)</w:t>
      </w:r>
    </w:p>
    <w:p>
      <w:pPr>
        <w:pStyle w:val="ListParagraph"/>
        <w:numPr>
          <w:ilvl w:val="0"/>
          <w:numId w:val="2"/>
        </w:numPr>
        <w:spacing w:after="100" w:line="360"/>
      </w:pPr>
      <w:r>
        <w:rPr>
          <w:rFonts w:ascii="Arial" w:cs="Arial" w:eastAsia="Arial" w:hAnsi="Arial"/>
          <w:sz w:val="24"/>
          <w:szCs w:val="24"/>
        </w:rPr>
        <w:t xml:space="preserve">PubChem and ChEMBL for compound structural standardization and pharmacophore mapping</w:t>
      </w:r>
    </w:p>
    <w:p>
      <w:pPr>
        <w:pStyle w:val="ListParagraph"/>
        <w:numPr>
          <w:ilvl w:val="0"/>
          <w:numId w:val="2"/>
        </w:numPr>
        <w:spacing w:after="100" w:line="360"/>
      </w:pPr>
      <w:r>
        <w:rPr>
          <w:rFonts w:ascii="Arial" w:cs="Arial" w:eastAsia="Arial" w:hAnsi="Arial"/>
          <w:sz w:val="24"/>
          <w:szCs w:val="24"/>
        </w:rPr>
        <w:t xml:space="preserve">Allen Brain Atlas and GTEx for tissue-specific expression filtering and neuron-type validation</w:t>
      </w:r>
    </w:p>
    <w:p>
      <w:pPr>
        <w:pStyle w:val="ListParagraph"/>
        <w:numPr>
          <w:ilvl w:val="0"/>
          <w:numId w:val="2"/>
        </w:numPr>
        <w:spacing w:after="100" w:line="360"/>
      </w:pPr>
      <w:r>
        <w:rPr>
          <w:rFonts w:ascii="Arial" w:cs="Arial" w:eastAsia="Arial" w:hAnsi="Arial"/>
          <w:sz w:val="24"/>
          <w:szCs w:val="24"/>
        </w:rPr>
        <w:t xml:space="preserve">Custom R/Python ETL (extract-transform-load) scripts for consistency validation and outlier detection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is the distribution of recording quality (series resistance, holding current stability, seal quality) across disease models versus controls?</w:t>
      </w:r>
    </w:p>
    <w:p>
      <w:pPr>
        <w:pStyle w:val="ListParagraph"/>
        <w:numPr>
          <w:ilvl w:val="0"/>
          <w:numId w:val="2"/>
        </w:numPr>
        <w:spacing w:after="100" w:line="360"/>
      </w:pPr>
      <w:r>
        <w:rPr>
          <w:rFonts w:ascii="Arial" w:cs="Arial" w:eastAsia="Arial" w:hAnsi="Arial"/>
          <w:sz w:val="24"/>
          <w:szCs w:val="24"/>
        </w:rPr>
        <w:t xml:space="preserve">Which electrophysiological features show the highest technical reproducibility and lowest platform-dependent variation?</w:t>
      </w:r>
    </w:p>
    <w:p>
      <w:pPr>
        <w:pStyle w:val="ListParagraph"/>
        <w:numPr>
          <w:ilvl w:val="0"/>
          <w:numId w:val="2"/>
        </w:numPr>
        <w:spacing w:after="100" w:line="360"/>
      </w:pPr>
      <w:r>
        <w:rPr>
          <w:rFonts w:ascii="Arial" w:cs="Arial" w:eastAsia="Arial" w:hAnsi="Arial"/>
          <w:sz w:val="24"/>
          <w:szCs w:val="24"/>
        </w:rPr>
        <w:t xml:space="preserve">Are there systematic batch effects between early and late recordings that require harmonization preprocessing?</w:t>
      </w:r>
    </w:p>
    <w:p>
      <w:pPr>
        <w:pStyle w:val="ListParagraph"/>
        <w:numPr>
          <w:ilvl w:val="0"/>
          <w:numId w:val="2"/>
        </w:numPr>
        <w:spacing w:after="100" w:line="360"/>
      </w:pPr>
      <w:r>
        <w:rPr>
          <w:rFonts w:ascii="Arial" w:cs="Arial" w:eastAsia="Arial" w:hAnsi="Arial"/>
          <w:sz w:val="24"/>
          <w:szCs w:val="24"/>
        </w:rPr>
        <w:t xml:space="preserve">How many genetic perturbations meet minimum replication criteria (n≥5 recordings) and exhibit consistent phenotypic directionality?</w:t>
      </w:r>
    </w:p>
    <w:p>
      <w:pPr>
        <w:pStyle w:val="ListParagraph"/>
        <w:numPr>
          <w:ilvl w:val="0"/>
          <w:numId w:val="2"/>
        </w:numPr>
        <w:spacing w:after="100" w:line="360"/>
      </w:pPr>
      <w:r>
        <w:rPr>
          <w:rFonts w:ascii="Arial" w:cs="Arial" w:eastAsia="Arial" w:hAnsi="Arial"/>
          <w:sz w:val="24"/>
          <w:szCs w:val="24"/>
        </w:rPr>
        <w:t xml:space="preserve">Which compounds show evidence of concentration-dependent effects and require dose-response re-profiling?</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Unified, batch-corrected electrophysiological feature matrix (neurons × 500+ features) with quality control flags identifying low-confidence measurements</w:t>
      </w:r>
    </w:p>
    <w:p>
      <w:pPr>
        <w:pStyle w:val="ListParagraph"/>
        <w:numPr>
          <w:ilvl w:val="0"/>
          <w:numId w:val="2"/>
        </w:numPr>
        <w:spacing w:after="100" w:line="360"/>
      </w:pPr>
      <w:r>
        <w:rPr>
          <w:rFonts w:ascii="Arial" w:cs="Arial" w:eastAsia="Arial" w:hAnsi="Arial"/>
          <w:sz w:val="24"/>
          <w:szCs w:val="24"/>
        </w:rPr>
        <w:t xml:space="preserve">Compound-gene perturbation catalogue with standardized identifiers, mechanism annotations, and experimental metadata (cell type, culture conditions, recording temperature, holding potentials)</w:t>
      </w:r>
    </w:p>
    <w:p>
      <w:pPr>
        <w:pStyle w:val="ListParagraph"/>
        <w:numPr>
          <w:ilvl w:val="0"/>
          <w:numId w:val="2"/>
        </w:numPr>
        <w:spacing w:after="100" w:line="360"/>
      </w:pPr>
      <w:r>
        <w:rPr>
          <w:rFonts w:ascii="Arial" w:cs="Arial" w:eastAsia="Arial" w:hAnsi="Arial"/>
          <w:sz w:val="24"/>
          <w:szCs w:val="24"/>
        </w:rPr>
        <w:t xml:space="preserve">Feature standardization report documenting mean-variance relationships, distribution properties, and recommendations for feature scaling or transformation</w:t>
      </w:r>
    </w:p>
    <w:p>
      <w:pPr>
        <w:pStyle w:val="ListParagraph"/>
        <w:numPr>
          <w:ilvl w:val="0"/>
          <w:numId w:val="2"/>
        </w:numPr>
        <w:spacing w:after="100" w:line="360"/>
      </w:pPr>
      <w:r>
        <w:rPr>
          <w:rFonts w:ascii="Arial" w:cs="Arial" w:eastAsia="Arial" w:hAnsi="Arial"/>
          <w:sz w:val="24"/>
          <w:szCs w:val="24"/>
        </w:rPr>
        <w:t xml:space="preserve">Technical quality control dashboard identifying batch effects, instrument calibration drift, and cells requiring outlier flagging or exclusion from downstream analysis</w:t>
      </w:r>
    </w:p>
    <w:p>
      <w:pPr>
        <w:pStyle w:val="ListParagraph"/>
        <w:numPr>
          <w:ilvl w:val="0"/>
          <w:numId w:val="2"/>
        </w:numPr>
        <w:spacing w:after="100" w:line="360"/>
      </w:pPr>
      <w:r>
        <w:rPr>
          <w:rFonts w:ascii="Arial" w:cs="Arial" w:eastAsia="Arial" w:hAnsi="Arial"/>
          <w:sz w:val="24"/>
          <w:szCs w:val="24"/>
        </w:rPr>
        <w:t xml:space="preserve">Phenotypic consistency scoring for genetic perturbations showing directionally consistent effects across replicate recordings</w:t>
      </w:r>
    </w:p>
    <w:p>
      <w:pPr>
        <w:pStyle w:val="ListParagraph"/>
        <w:numPr>
          <w:ilvl w:val="0"/>
          <w:numId w:val="2"/>
        </w:numPr>
        <w:spacing w:after="100" w:line="360"/>
      </w:pPr>
      <w:r>
        <w:rPr>
          <w:rFonts w:ascii="Arial" w:cs="Arial" w:eastAsia="Arial" w:hAnsi="Arial"/>
          <w:sz w:val="24"/>
          <w:szCs w:val="24"/>
        </w:rPr>
        <w:t xml:space="preserve">Summary statistics table (n samples per condition, feature-level missingness, quality-control filtering impact on dataset size)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Standardized HDF5 matrix file, JSON metadata annotation files, quality control report (HTML dashboard), and filtered sample inclusion list for downstream stages</w:t>
      </w:r>
    </w:p>
    <w:p>
      <w:pPr>
        <w:pStyle w:val="Heading2"/>
        <w:spacing w:after="200" w:before="240"/>
      </w:pPr>
      <w:r>
        <w:rPr>
          <w:rFonts w:ascii="Arial" w:cs="Arial" w:eastAsia="Arial" w:hAnsi="Arial"/>
          <w:b/>
          <w:bCs/>
          <w:sz w:val="28"/>
          <w:szCs w:val="28"/>
        </w:rPr>
        <w:t xml:space="preserve">Stage 2: Unsupervised Phenotypic Clustering &amp; Pathway Inference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Apply dimensionality reduction and unbiased clustering algorithms to group perturbations (genetic or compound) by shared electrophysiological signatures, then infer pathway enrichment and biological mechanisms driving observed clusters.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Standardized electrophysiological feature matrix from Stage 1 with quality-controlled samples and normalized feature values</w:t>
      </w:r>
    </w:p>
    <w:p>
      <w:pPr>
        <w:pStyle w:val="ListParagraph"/>
        <w:numPr>
          <w:ilvl w:val="0"/>
          <w:numId w:val="2"/>
        </w:numPr>
        <w:spacing w:after="100" w:line="360"/>
      </w:pPr>
      <w:r>
        <w:rPr>
          <w:rFonts w:ascii="Arial" w:cs="Arial" w:eastAsia="Arial" w:hAnsi="Arial"/>
          <w:sz w:val="24"/>
          <w:szCs w:val="24"/>
        </w:rPr>
        <w:t xml:space="preserve">Gene-compound perturbation annotations mapping each perturbation to known biological pathways, protein complexes, and molecular targets</w:t>
      </w:r>
    </w:p>
    <w:p>
      <w:pPr>
        <w:pStyle w:val="ListParagraph"/>
        <w:numPr>
          <w:ilvl w:val="0"/>
          <w:numId w:val="2"/>
        </w:numPr>
        <w:spacing w:after="100" w:line="360"/>
      </w:pPr>
      <w:r>
        <w:rPr>
          <w:rFonts w:ascii="Arial" w:cs="Arial" w:eastAsia="Arial" w:hAnsi="Arial"/>
          <w:sz w:val="24"/>
          <w:szCs w:val="24"/>
        </w:rPr>
        <w:t xml:space="preserve">Reference phenotype definitions for disease states (e.g., ASD-associated electrophysiological signatures, depressive neuron profiles, bipolar circuit markers)</w:t>
      </w:r>
    </w:p>
    <w:p>
      <w:pPr>
        <w:pStyle w:val="ListParagraph"/>
        <w:numPr>
          <w:ilvl w:val="0"/>
          <w:numId w:val="2"/>
        </w:numPr>
        <w:spacing w:after="100" w:line="360"/>
      </w:pPr>
      <w:r>
        <w:rPr>
          <w:rFonts w:ascii="Arial" w:cs="Arial" w:eastAsia="Arial" w:hAnsi="Arial"/>
          <w:sz w:val="24"/>
          <w:szCs w:val="24"/>
        </w:rPr>
        <w:t xml:space="preserve">Connectivity data linking genes to regulatory networks, protein-protein interactions, and known epistatic relationships</w:t>
      </w:r>
    </w:p>
    <w:p>
      <w:pPr>
        <w:pStyle w:val="ListParagraph"/>
        <w:numPr>
          <w:ilvl w:val="0"/>
          <w:numId w:val="2"/>
        </w:numPr>
        <w:spacing w:after="100" w:line="360"/>
      </w:pPr>
      <w:r>
        <w:rPr>
          <w:rFonts w:ascii="Arial" w:cs="Arial" w:eastAsia="Arial" w:hAnsi="Arial"/>
          <w:sz w:val="24"/>
          <w:szCs w:val="24"/>
        </w:rPr>
        <w:t xml:space="preserve">Hyperparameter specifications (clustering resolution, minimum cluster size, distance metrics, dimensionality reduction parameters)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UMAP, t-SNE, and PCA for dimensionality reduction and visualization of high-dimensional electrophysiological phenotypes</w:t>
      </w:r>
    </w:p>
    <w:p>
      <w:pPr>
        <w:pStyle w:val="ListParagraph"/>
        <w:numPr>
          <w:ilvl w:val="0"/>
          <w:numId w:val="2"/>
        </w:numPr>
        <w:spacing w:after="100" w:line="360"/>
      </w:pPr>
      <w:r>
        <w:rPr>
          <w:rFonts w:ascii="Arial" w:cs="Arial" w:eastAsia="Arial" w:hAnsi="Arial"/>
          <w:sz w:val="24"/>
          <w:szCs w:val="24"/>
        </w:rPr>
        <w:t xml:space="preserve">Seurat (R package) for unsupervised clustering, graph-based community detection, and differential feature analysis between clusters</w:t>
      </w:r>
    </w:p>
    <w:p>
      <w:pPr>
        <w:pStyle w:val="ListParagraph"/>
        <w:numPr>
          <w:ilvl w:val="0"/>
          <w:numId w:val="2"/>
        </w:numPr>
        <w:spacing w:after="100" w:line="360"/>
      </w:pPr>
      <w:r>
        <w:rPr>
          <w:rFonts w:ascii="Arial" w:cs="Arial" w:eastAsia="Arial" w:hAnsi="Arial"/>
          <w:sz w:val="24"/>
          <w:szCs w:val="24"/>
        </w:rPr>
        <w:t xml:space="preserve">Reactome and KEGG pathway databases for pathway enrichment analysis and biological annotation of identified clusters</w:t>
      </w:r>
    </w:p>
    <w:p>
      <w:pPr>
        <w:pStyle w:val="ListParagraph"/>
        <w:numPr>
          <w:ilvl w:val="0"/>
          <w:numId w:val="2"/>
        </w:numPr>
        <w:spacing w:after="100" w:line="360"/>
      </w:pPr>
      <w:r>
        <w:rPr>
          <w:rFonts w:ascii="Arial" w:cs="Arial" w:eastAsia="Arial" w:hAnsi="Arial"/>
          <w:sz w:val="24"/>
          <w:szCs w:val="24"/>
        </w:rPr>
        <w:t xml:space="preserve">String-DB and BioGRID for protein interaction network analysis and identification of hub genes within pathway modules</w:t>
      </w:r>
    </w:p>
    <w:p>
      <w:pPr>
        <w:pStyle w:val="ListParagraph"/>
        <w:numPr>
          <w:ilvl w:val="0"/>
          <w:numId w:val="2"/>
        </w:numPr>
        <w:spacing w:after="100" w:line="360"/>
      </w:pPr>
      <w:r>
        <w:rPr>
          <w:rFonts w:ascii="Arial" w:cs="Arial" w:eastAsia="Arial" w:hAnsi="Arial"/>
          <w:sz w:val="24"/>
          <w:szCs w:val="24"/>
        </w:rPr>
        <w:t xml:space="preserve">DeSeq2-style statistical testing for differential electrophysiological features between clusters and disease phenotypes</w:t>
      </w:r>
    </w:p>
    <w:p>
      <w:pPr>
        <w:pStyle w:val="ListParagraph"/>
        <w:numPr>
          <w:ilvl w:val="0"/>
          <w:numId w:val="2"/>
        </w:numPr>
        <w:spacing w:after="100" w:line="360"/>
      </w:pPr>
      <w:r>
        <w:rPr>
          <w:rFonts w:ascii="Arial" w:cs="Arial" w:eastAsia="Arial" w:hAnsi="Arial"/>
          <w:sz w:val="24"/>
          <w:szCs w:val="24"/>
        </w:rPr>
        <w:t xml:space="preserve">Custom clustering validation metrics (silhouette score, Davies-Bouldin index, pathway homogeneity scoring)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How many distinct electrophysiological phenotypes emerge in unsupervised clustering, and what are their biological characteristics?</w:t>
      </w:r>
    </w:p>
    <w:p>
      <w:pPr>
        <w:pStyle w:val="ListParagraph"/>
        <w:numPr>
          <w:ilvl w:val="0"/>
          <w:numId w:val="2"/>
        </w:numPr>
        <w:spacing w:after="100" w:line="360"/>
      </w:pPr>
      <w:r>
        <w:rPr>
          <w:rFonts w:ascii="Arial" w:cs="Arial" w:eastAsia="Arial" w:hAnsi="Arial"/>
          <w:sz w:val="24"/>
          <w:szCs w:val="24"/>
        </w:rPr>
        <w:t xml:space="preserve">Which genes or compounds consistently cluster together, and what shared pathways explain their phenotypic similarity?</w:t>
      </w:r>
    </w:p>
    <w:p>
      <w:pPr>
        <w:pStyle w:val="ListParagraph"/>
        <w:numPr>
          <w:ilvl w:val="0"/>
          <w:numId w:val="2"/>
        </w:numPr>
        <w:spacing w:after="100" w:line="360"/>
      </w:pPr>
      <w:r>
        <w:rPr>
          <w:rFonts w:ascii="Arial" w:cs="Arial" w:eastAsia="Arial" w:hAnsi="Arial"/>
          <w:sz w:val="24"/>
          <w:szCs w:val="24"/>
        </w:rPr>
        <w:t xml:space="preserve">Do disease-associated genetic perturbations form distinct clusters separable from control perturbations?</w:t>
      </w:r>
    </w:p>
    <w:p>
      <w:pPr>
        <w:pStyle w:val="ListParagraph"/>
        <w:numPr>
          <w:ilvl w:val="0"/>
          <w:numId w:val="2"/>
        </w:numPr>
        <w:spacing w:after="100" w:line="360"/>
      </w:pPr>
      <w:r>
        <w:rPr>
          <w:rFonts w:ascii="Arial" w:cs="Arial" w:eastAsia="Arial" w:hAnsi="Arial"/>
          <w:sz w:val="24"/>
          <w:szCs w:val="24"/>
        </w:rPr>
        <w:t xml:space="preserve">Which electrophysiological features are most informative for distinguishing clinically relevant phenotype clusters?</w:t>
      </w:r>
    </w:p>
    <w:p>
      <w:pPr>
        <w:pStyle w:val="ListParagraph"/>
        <w:numPr>
          <w:ilvl w:val="0"/>
          <w:numId w:val="2"/>
        </w:numPr>
        <w:spacing w:after="100" w:line="360"/>
      </w:pPr>
      <w:r>
        <w:rPr>
          <w:rFonts w:ascii="Arial" w:cs="Arial" w:eastAsia="Arial" w:hAnsi="Arial"/>
          <w:sz w:val="24"/>
          <w:szCs w:val="24"/>
        </w:rPr>
        <w:t xml:space="preserve">Are there compound perturbations phenotypically similar to disease-linked genetic perturbations, suggesting potential counterscreens?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Clustering assignments for all perturbations with membership probability scores and cluster stability metrics (quantifying robustness to parameter variation)</w:t>
      </w:r>
    </w:p>
    <w:p>
      <w:pPr>
        <w:pStyle w:val="ListParagraph"/>
        <w:numPr>
          <w:ilvl w:val="0"/>
          <w:numId w:val="2"/>
        </w:numPr>
        <w:spacing w:after="100" w:line="360"/>
      </w:pPr>
      <w:r>
        <w:rPr>
          <w:rFonts w:ascii="Arial" w:cs="Arial" w:eastAsia="Arial" w:hAnsi="Arial"/>
          <w:sz w:val="24"/>
          <w:szCs w:val="24"/>
        </w:rPr>
        <w:t xml:space="preserve">Dimensionality-reduced projection matrix (UMAP/t-SNE coordinates) enabling interactive visualization of phenotypic landscape</w:t>
      </w:r>
    </w:p>
    <w:p>
      <w:pPr>
        <w:pStyle w:val="ListParagraph"/>
        <w:numPr>
          <w:ilvl w:val="0"/>
          <w:numId w:val="2"/>
        </w:numPr>
        <w:spacing w:after="100" w:line="360"/>
      </w:pPr>
      <w:r>
        <w:rPr>
          <w:rFonts w:ascii="Arial" w:cs="Arial" w:eastAsia="Arial" w:hAnsi="Arial"/>
          <w:sz w:val="24"/>
          <w:szCs w:val="24"/>
        </w:rPr>
        <w:t xml:space="preserve">Differential feature table for each cluster versus background, with effect sizes, adjusted p-values, and feature importance rankings</w:t>
      </w:r>
    </w:p>
    <w:p>
      <w:pPr>
        <w:pStyle w:val="ListParagraph"/>
        <w:numPr>
          <w:ilvl w:val="0"/>
          <w:numId w:val="2"/>
        </w:numPr>
        <w:spacing w:after="100" w:line="360"/>
      </w:pPr>
      <w:r>
        <w:rPr>
          <w:rFonts w:ascii="Arial" w:cs="Arial" w:eastAsia="Arial" w:hAnsi="Arial"/>
          <w:sz w:val="24"/>
          <w:szCs w:val="24"/>
        </w:rPr>
        <w:t xml:space="preserve">Pathway enrichment results for each cluster including pathway name, enrichment score, member genes, and biological interpretation</w:t>
      </w:r>
    </w:p>
    <w:p>
      <w:pPr>
        <w:pStyle w:val="ListParagraph"/>
        <w:numPr>
          <w:ilvl w:val="0"/>
          <w:numId w:val="2"/>
        </w:numPr>
        <w:spacing w:after="100" w:line="360"/>
      </w:pPr>
      <w:r>
        <w:rPr>
          <w:rFonts w:ascii="Arial" w:cs="Arial" w:eastAsia="Arial" w:hAnsi="Arial"/>
          <w:sz w:val="24"/>
          <w:szCs w:val="24"/>
        </w:rPr>
        <w:t xml:space="preserve">Phenotype-disease mapping report linking identified clusters to clinical annotations, quantifying overlap with literature-derived disease signatures</w:t>
      </w:r>
    </w:p>
    <w:p>
      <w:pPr>
        <w:pStyle w:val="ListParagraph"/>
        <w:numPr>
          <w:ilvl w:val="0"/>
          <w:numId w:val="2"/>
        </w:numPr>
        <w:spacing w:after="100" w:line="360"/>
      </w:pPr>
      <w:r>
        <w:rPr>
          <w:rFonts w:ascii="Arial" w:cs="Arial" w:eastAsia="Arial" w:hAnsi="Arial"/>
          <w:sz w:val="24"/>
          <w:szCs w:val="24"/>
        </w:rPr>
        <w:t xml:space="preserve">Cluster robustness assessment including sensitivity analysis across clustering parameters and holdout validation of assignments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UMAP/t-SNE visualization plots (publication-quality PDF), cluster-by-pathway heatmap, enrichment statistics table (TSV/Excel), and interactive HTML dashboard for cluster exploration</w:t>
      </w:r>
    </w:p>
    <w:p>
      <w:pPr>
        <w:pStyle w:val="Heading2"/>
        <w:spacing w:after="200" w:before="240"/>
      </w:pPr>
      <w:r>
        <w:rPr>
          <w:rFonts w:ascii="Arial" w:cs="Arial" w:eastAsia="Arial" w:hAnsi="Arial"/>
          <w:b/>
          <w:bCs/>
          <w:sz w:val="28"/>
          <w:szCs w:val="28"/>
        </w:rPr>
        <w:t xml:space="preserve">Stage 3: Disease Phenotype Signature Mapping &amp; Prioritization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Map identified electrophysiological phenotype clusters to disease-relevant signatures derived from clinical genetics, validated animal models, and human-derived neurons, then prioritize clusters by therapeutic relevance and intervention tractability.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Clustering results and phenotypic profiles from Stage 2 with pathway annotations and feature importance rankings</w:t>
      </w:r>
    </w:p>
    <w:p>
      <w:pPr>
        <w:pStyle w:val="ListParagraph"/>
        <w:numPr>
          <w:ilvl w:val="0"/>
          <w:numId w:val="2"/>
        </w:numPr>
        <w:spacing w:after="100" w:line="360"/>
      </w:pPr>
      <w:r>
        <w:rPr>
          <w:rFonts w:ascii="Arial" w:cs="Arial" w:eastAsia="Arial" w:hAnsi="Arial"/>
          <w:sz w:val="24"/>
          <w:szCs w:val="24"/>
        </w:rPr>
        <w:t xml:space="preserve">Clinical genetic association data linking gene variants to psychiatric diagnosis, symptom severity, or quantitative endophenotypes</w:t>
      </w:r>
    </w:p>
    <w:p>
      <w:pPr>
        <w:pStyle w:val="ListParagraph"/>
        <w:numPr>
          <w:ilvl w:val="0"/>
          <w:numId w:val="2"/>
        </w:numPr>
        <w:spacing w:after="100" w:line="360"/>
      </w:pPr>
      <w:r>
        <w:rPr>
          <w:rFonts w:ascii="Arial" w:cs="Arial" w:eastAsia="Arial" w:hAnsi="Arial"/>
          <w:sz w:val="24"/>
          <w:szCs w:val="24"/>
        </w:rPr>
        <w:t xml:space="preserve">Validated disease model characterization (chronic stress exposure, genetic transgenic models) with matched electrophysiological recording datasets</w:t>
      </w:r>
    </w:p>
    <w:p>
      <w:pPr>
        <w:pStyle w:val="ListParagraph"/>
        <w:numPr>
          <w:ilvl w:val="0"/>
          <w:numId w:val="2"/>
        </w:numPr>
        <w:spacing w:after="100" w:line="360"/>
      </w:pPr>
      <w:r>
        <w:rPr>
          <w:rFonts w:ascii="Arial" w:cs="Arial" w:eastAsia="Arial" w:hAnsi="Arial"/>
          <w:sz w:val="24"/>
          <w:szCs w:val="24"/>
        </w:rPr>
        <w:t xml:space="preserve">Human-derived neurons from affected and control individuals with clinical phenotyping data (diagnosis, symptom severity, treatment response history)</w:t>
      </w:r>
    </w:p>
    <w:p>
      <w:pPr>
        <w:pStyle w:val="ListParagraph"/>
        <w:numPr>
          <w:ilvl w:val="0"/>
          <w:numId w:val="2"/>
        </w:numPr>
        <w:spacing w:after="100" w:line="360"/>
      </w:pPr>
      <w:r>
        <w:rPr>
          <w:rFonts w:ascii="Arial" w:cs="Arial" w:eastAsia="Arial" w:hAnsi="Arial"/>
          <w:sz w:val="24"/>
          <w:szCs w:val="24"/>
        </w:rPr>
        <w:t xml:space="preserve">Prior mechanistic hypotheses and literature-derived disease mechanism frameworks specific to the research question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Gene2Phenotype and PsychPorts databases for psychiatric disease-gene associations with clinical annotation scoring</w:t>
      </w:r>
    </w:p>
    <w:p>
      <w:pPr>
        <w:pStyle w:val="ListParagraph"/>
        <w:numPr>
          <w:ilvl w:val="0"/>
          <w:numId w:val="2"/>
        </w:numPr>
        <w:spacing w:after="100" w:line="360"/>
      </w:pPr>
      <w:r>
        <w:rPr>
          <w:rFonts w:ascii="Arial" w:cs="Arial" w:eastAsia="Arial" w:hAnsi="Arial"/>
          <w:sz w:val="24"/>
          <w:szCs w:val="24"/>
        </w:rPr>
        <w:t xml:space="preserve">Custom scoring algorithms weighting disease prevalence, effect size in genetic studies, and replicability across independent cohorts</w:t>
      </w:r>
    </w:p>
    <w:p>
      <w:pPr>
        <w:pStyle w:val="ListParagraph"/>
        <w:numPr>
          <w:ilvl w:val="0"/>
          <w:numId w:val="2"/>
        </w:numPr>
        <w:spacing w:after="100" w:line="360"/>
      </w:pPr>
      <w:r>
        <w:rPr>
          <w:rFonts w:ascii="Arial" w:cs="Arial" w:eastAsia="Arial" w:hAnsi="Arial"/>
          <w:sz w:val="24"/>
          <w:szCs w:val="24"/>
        </w:rPr>
        <w:t xml:space="preserve">Single-cell RNA-seq cell-type deconvolution algorithms matching bulk electrophysiology to specific neuronal populations</w:t>
      </w:r>
    </w:p>
    <w:p>
      <w:pPr>
        <w:pStyle w:val="ListParagraph"/>
        <w:numPr>
          <w:ilvl w:val="0"/>
          <w:numId w:val="2"/>
        </w:numPr>
        <w:spacing w:after="100" w:line="360"/>
      </w:pPr>
      <w:r>
        <w:rPr>
          <w:rFonts w:ascii="Arial" w:cs="Arial" w:eastAsia="Arial" w:hAnsi="Arial"/>
          <w:sz w:val="24"/>
          <w:szCs w:val="24"/>
        </w:rPr>
        <w:t xml:space="preserve">ROC curve and precision-recall analysis for disease signature discriminability in identified clusters</w:t>
      </w:r>
    </w:p>
    <w:p>
      <w:pPr>
        <w:pStyle w:val="ListParagraph"/>
        <w:numPr>
          <w:ilvl w:val="0"/>
          <w:numId w:val="2"/>
        </w:numPr>
        <w:spacing w:after="100" w:line="360"/>
      </w:pPr>
      <w:r>
        <w:rPr>
          <w:rFonts w:ascii="Arial" w:cs="Arial" w:eastAsia="Arial" w:hAnsi="Arial"/>
          <w:sz w:val="24"/>
          <w:szCs w:val="24"/>
        </w:rPr>
        <w:t xml:space="preserve">Therapeutic target prioritization framework (TDL, Illumina Trupath, or custom scoring integrating genetic validation, druggability, and pathway essentiality)</w:t>
      </w:r>
    </w:p>
    <w:p>
      <w:pPr>
        <w:pStyle w:val="ListParagraph"/>
        <w:numPr>
          <w:ilvl w:val="0"/>
          <w:numId w:val="2"/>
        </w:numPr>
        <w:spacing w:after="100" w:line="360"/>
      </w:pPr>
      <w:r>
        <w:rPr>
          <w:rFonts w:ascii="Arial" w:cs="Arial" w:eastAsia="Arial" w:hAnsi="Arial"/>
          <w:sz w:val="24"/>
          <w:szCs w:val="24"/>
        </w:rPr>
        <w:t xml:space="preserve">Manual curation by domain experts validating phenotype-disease mappings and assessing alignment with mechanistic priors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electrophysiological phenotype clusters most closely match signatures observed in validated disease models?</w:t>
      </w:r>
    </w:p>
    <w:p>
      <w:pPr>
        <w:pStyle w:val="ListParagraph"/>
        <w:numPr>
          <w:ilvl w:val="0"/>
          <w:numId w:val="2"/>
        </w:numPr>
        <w:spacing w:after="100" w:line="360"/>
      </w:pPr>
      <w:r>
        <w:rPr>
          <w:rFonts w:ascii="Arial" w:cs="Arial" w:eastAsia="Arial" w:hAnsi="Arial"/>
          <w:sz w:val="24"/>
          <w:szCs w:val="24"/>
        </w:rPr>
        <w:t xml:space="preserve">Are disease-associated genetic perturbations enriched within particular phenotype clusters, and can unrelated genes within these clusters serve as unbiased therapeutic targets?</w:t>
      </w:r>
    </w:p>
    <w:p>
      <w:pPr>
        <w:pStyle w:val="ListParagraph"/>
        <w:numPr>
          <w:ilvl w:val="0"/>
          <w:numId w:val="2"/>
        </w:numPr>
        <w:spacing w:after="100" w:line="360"/>
      </w:pPr>
      <w:r>
        <w:rPr>
          <w:rFonts w:ascii="Arial" w:cs="Arial" w:eastAsia="Arial" w:hAnsi="Arial"/>
          <w:sz w:val="24"/>
          <w:szCs w:val="24"/>
        </w:rPr>
        <w:t xml:space="preserve">What is the sensitivity and specificity of identified clusters for discriminating disease-affected from control neurons in held-out validation datasets?</w:t>
      </w:r>
    </w:p>
    <w:p>
      <w:pPr>
        <w:pStyle w:val="ListParagraph"/>
        <w:numPr>
          <w:ilvl w:val="0"/>
          <w:numId w:val="2"/>
        </w:numPr>
        <w:spacing w:after="100" w:line="360"/>
      </w:pPr>
      <w:r>
        <w:rPr>
          <w:rFonts w:ascii="Arial" w:cs="Arial" w:eastAsia="Arial" w:hAnsi="Arial"/>
          <w:sz w:val="24"/>
          <w:szCs w:val="24"/>
        </w:rPr>
        <w:t xml:space="preserve">Which phenotype clusters are most tractable for therapeutic intervention based on target druggability and prior pharmacological validation?</w:t>
      </w:r>
    </w:p>
    <w:p>
      <w:pPr>
        <w:pStyle w:val="ListParagraph"/>
        <w:numPr>
          <w:ilvl w:val="0"/>
          <w:numId w:val="2"/>
        </w:numPr>
        <w:spacing w:after="100" w:line="360"/>
      </w:pPr>
      <w:r>
        <w:rPr>
          <w:rFonts w:ascii="Arial" w:cs="Arial" w:eastAsia="Arial" w:hAnsi="Arial"/>
          <w:sz w:val="24"/>
          <w:szCs w:val="24"/>
        </w:rPr>
        <w:t xml:space="preserve">How much phenotypic heterogeneity remains within disease-mapped clusters, and does additional sub-stratification reveal treatment-responsive subphenotypes?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Phenotype-disease mapping table linking each identified cluster to specific psychiatric diagnoses with quantitative overlap metrics (Jaccard similarity, cosine distance) and confidence scores</w:t>
      </w:r>
    </w:p>
    <w:p>
      <w:pPr>
        <w:pStyle w:val="ListParagraph"/>
        <w:numPr>
          <w:ilvl w:val="0"/>
          <w:numId w:val="2"/>
        </w:numPr>
        <w:spacing w:after="100" w:line="360"/>
      </w:pPr>
      <w:r>
        <w:rPr>
          <w:rFonts w:ascii="Arial" w:cs="Arial" w:eastAsia="Arial" w:hAnsi="Arial"/>
          <w:sz w:val="24"/>
          <w:szCs w:val="24"/>
        </w:rPr>
        <w:t xml:space="preserve">Disease subphenotype assignments for individual perturbations based on cluster membership and feature-level contributions to disease signatures</w:t>
      </w:r>
    </w:p>
    <w:p>
      <w:pPr>
        <w:pStyle w:val="ListParagraph"/>
        <w:numPr>
          <w:ilvl w:val="0"/>
          <w:numId w:val="2"/>
        </w:numPr>
        <w:spacing w:after="100" w:line="360"/>
      </w:pPr>
      <w:r>
        <w:rPr>
          <w:rFonts w:ascii="Arial" w:cs="Arial" w:eastAsia="Arial" w:hAnsi="Arial"/>
          <w:sz w:val="24"/>
          <w:szCs w:val="24"/>
        </w:rPr>
        <w:t xml:space="preserve">Therapeutic target prioritization rankings integrating genetic evidence, mechanistic plausibility, pathway essentiality, target tractability, and translational feasibility scores</w:t>
      </w:r>
    </w:p>
    <w:p>
      <w:pPr>
        <w:pStyle w:val="ListParagraph"/>
        <w:numPr>
          <w:ilvl w:val="0"/>
          <w:numId w:val="2"/>
        </w:numPr>
        <w:spacing w:after="100" w:line="360"/>
      </w:pPr>
      <w:r>
        <w:rPr>
          <w:rFonts w:ascii="Arial" w:cs="Arial" w:eastAsia="Arial" w:hAnsi="Arial"/>
          <w:sz w:val="24"/>
          <w:szCs w:val="24"/>
        </w:rPr>
        <w:t xml:space="preserve">ROC curves and confusion matrices quantifying disease signature classification accuracy, enabling selection of optimal cluster boundaries for clinical interpretation</w:t>
      </w:r>
    </w:p>
    <w:p>
      <w:pPr>
        <w:pStyle w:val="ListParagraph"/>
        <w:numPr>
          <w:ilvl w:val="0"/>
          <w:numId w:val="2"/>
        </w:numPr>
        <w:spacing w:after="100" w:line="360"/>
      </w:pPr>
      <w:r>
        <w:rPr>
          <w:rFonts w:ascii="Arial" w:cs="Arial" w:eastAsia="Arial" w:hAnsi="Arial"/>
          <w:sz w:val="24"/>
          <w:szCs w:val="24"/>
        </w:rPr>
        <w:t xml:space="preserve">Literature validation report documenting alignment of predicted disease mechanisms with published mechanistic hypotheses and independent experimental findings</w:t>
      </w:r>
    </w:p>
    <w:p>
      <w:pPr>
        <w:pStyle w:val="ListParagraph"/>
        <w:numPr>
          <w:ilvl w:val="0"/>
          <w:numId w:val="2"/>
        </w:numPr>
        <w:spacing w:after="100" w:line="360"/>
      </w:pPr>
      <w:r>
        <w:rPr>
          <w:rFonts w:ascii="Arial" w:cs="Arial" w:eastAsia="Arial" w:hAnsi="Arial"/>
          <w:sz w:val="24"/>
          <w:szCs w:val="24"/>
        </w:rPr>
        <w:t xml:space="preserve">Phenotypic heterogeneity decomposition identifying patient subtypes or hidden stratification variables that explain within-cluster phenotypic variance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Disease-phenotype mapping table (Excel/TSV), prioritization ranking list with annotations, ROC curves (PDF), and detailed mechanistic interpretation report (Markdown or PDF)</w:t>
      </w:r>
    </w:p>
    <w:p>
      <w:pPr>
        <w:pStyle w:val="Heading2"/>
        <w:spacing w:after="200" w:before="240"/>
      </w:pPr>
      <w:r>
        <w:rPr>
          <w:rFonts w:ascii="Arial" w:cs="Arial" w:eastAsia="Arial" w:hAnsi="Arial"/>
          <w:b/>
          <w:bCs/>
          <w:sz w:val="28"/>
          <w:szCs w:val="28"/>
        </w:rPr>
        <w:t xml:space="preserve">Stage 4: Compound-Phenotype Correlation &amp; Mechanism-of-Action Inference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Systematically correlate compound perturbation effects with disease phenotype signatures, then infer and validate mechanism-of-action hypotheses through target deconvolution and pathway-level mechanistic analysis.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Electrophysiological effects of compound perturbations from Stage 1 with standardized effect sizes and direction (excitatory vs. inhibitory)</w:t>
      </w:r>
    </w:p>
    <w:p>
      <w:pPr>
        <w:pStyle w:val="ListParagraph"/>
        <w:numPr>
          <w:ilvl w:val="0"/>
          <w:numId w:val="2"/>
        </w:numPr>
        <w:spacing w:after="100" w:line="360"/>
      </w:pPr>
      <w:r>
        <w:rPr>
          <w:rFonts w:ascii="Arial" w:cs="Arial" w:eastAsia="Arial" w:hAnsi="Arial"/>
          <w:sz w:val="24"/>
          <w:szCs w:val="24"/>
        </w:rPr>
        <w:t xml:space="preserve">Disease phenotype signatures and prioritized target clusters from Stage 3</w:t>
      </w:r>
    </w:p>
    <w:p>
      <w:pPr>
        <w:pStyle w:val="ListParagraph"/>
        <w:numPr>
          <w:ilvl w:val="0"/>
          <w:numId w:val="2"/>
        </w:numPr>
        <w:spacing w:after="100" w:line="360"/>
      </w:pPr>
      <w:r>
        <w:rPr>
          <w:rFonts w:ascii="Arial" w:cs="Arial" w:eastAsia="Arial" w:hAnsi="Arial"/>
          <w:sz w:val="24"/>
          <w:szCs w:val="24"/>
        </w:rPr>
        <w:t xml:space="preserve">Compound annotations including known targets, binding affinity profiles, selectivity indices, and off-target activity predictions</w:t>
      </w:r>
    </w:p>
    <w:p>
      <w:pPr>
        <w:pStyle w:val="ListParagraph"/>
        <w:numPr>
          <w:ilvl w:val="0"/>
          <w:numId w:val="2"/>
        </w:numPr>
        <w:spacing w:after="100" w:line="360"/>
      </w:pPr>
      <w:r>
        <w:rPr>
          <w:rFonts w:ascii="Arial" w:cs="Arial" w:eastAsia="Arial" w:hAnsi="Arial"/>
          <w:sz w:val="24"/>
          <w:szCs w:val="24"/>
        </w:rPr>
        <w:t xml:space="preserve">Genetic perturbation data enabling reverse screening (if compound A's effects phenotypically resemble genetic perturbation of gene B, gene B is an inferred target)</w:t>
      </w:r>
    </w:p>
    <w:p>
      <w:pPr>
        <w:pStyle w:val="ListParagraph"/>
        <w:numPr>
          <w:ilvl w:val="0"/>
          <w:numId w:val="2"/>
        </w:numPr>
        <w:spacing w:after="100" w:line="360"/>
      </w:pPr>
      <w:r>
        <w:rPr>
          <w:rFonts w:ascii="Arial" w:cs="Arial" w:eastAsia="Arial" w:hAnsi="Arial"/>
          <w:sz w:val="24"/>
          <w:szCs w:val="24"/>
        </w:rPr>
        <w:t xml:space="preserve">Target-pathway relationship networks enabling hierarchical mechanism inference from compound target to pathway to phenotype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Phenotypic correlation algorithms computing similarity between compound effects and disease phenotype vectors using cosine similarity, correlation distance, or learned similarity metrics</w:t>
      </w:r>
    </w:p>
    <w:p>
      <w:pPr>
        <w:pStyle w:val="ListParagraph"/>
        <w:numPr>
          <w:ilvl w:val="0"/>
          <w:numId w:val="2"/>
        </w:numPr>
        <w:spacing w:after="100" w:line="360"/>
      </w:pPr>
      <w:r>
        <w:rPr>
          <w:rFonts w:ascii="Arial" w:cs="Arial" w:eastAsia="Arial" w:hAnsi="Arial"/>
          <w:sz w:val="24"/>
          <w:szCs w:val="24"/>
        </w:rPr>
        <w:t xml:space="preserve">Target deconvolution packages (Opentargets Platform, HMS LINCS L1000 query engine, SEA similarity search) for mechanism hypothesis generation</w:t>
      </w:r>
    </w:p>
    <w:p>
      <w:pPr>
        <w:pStyle w:val="ListParagraph"/>
        <w:numPr>
          <w:ilvl w:val="0"/>
          <w:numId w:val="2"/>
        </w:numPr>
        <w:spacing w:after="100" w:line="360"/>
      </w:pPr>
      <w:r>
        <w:rPr>
          <w:rFonts w:ascii="Arial" w:cs="Arial" w:eastAsia="Arial" w:hAnsi="Arial"/>
          <w:sz w:val="24"/>
          <w:szCs w:val="24"/>
        </w:rPr>
        <w:t xml:space="preserve">Selectivity profiling databases (ThermoFisher kinase selectivity panel, Eurofins PanelLabs) enabling assessment of compound selectivity for intended versus off-target effects</w:t>
      </w:r>
    </w:p>
    <w:p>
      <w:pPr>
        <w:pStyle w:val="ListParagraph"/>
        <w:numPr>
          <w:ilvl w:val="0"/>
          <w:numId w:val="2"/>
        </w:numPr>
        <w:spacing w:after="100" w:line="360"/>
      </w:pPr>
      <w:r>
        <w:rPr>
          <w:rFonts w:ascii="Arial" w:cs="Arial" w:eastAsia="Arial" w:hAnsi="Arial"/>
          <w:sz w:val="24"/>
          <w:szCs w:val="24"/>
        </w:rPr>
        <w:t xml:space="preserve">Pathway-phenotype association analysis linking compound-target interactions to observed electrophysiological changes via intermediate pathway steps</w:t>
      </w:r>
    </w:p>
    <w:p>
      <w:pPr>
        <w:pStyle w:val="ListParagraph"/>
        <w:numPr>
          <w:ilvl w:val="0"/>
          <w:numId w:val="2"/>
        </w:numPr>
        <w:spacing w:after="100" w:line="360"/>
      </w:pPr>
      <w:r>
        <w:rPr>
          <w:rFonts w:ascii="Arial" w:cs="Arial" w:eastAsia="Arial" w:hAnsi="Arial"/>
          <w:sz w:val="24"/>
          <w:szCs w:val="24"/>
        </w:rPr>
        <w:t xml:space="preserve">Genetic perturbation matching algorithms identifying genes whose CRISPR knockdown phenotype correlates with compound effects (suggesting direct or close regulatory targeting)</w:t>
      </w:r>
    </w:p>
    <w:p>
      <w:pPr>
        <w:pStyle w:val="ListParagraph"/>
        <w:numPr>
          <w:ilvl w:val="0"/>
          <w:numId w:val="2"/>
        </w:numPr>
        <w:spacing w:after="100" w:line="360"/>
      </w:pPr>
      <w:r>
        <w:rPr>
          <w:rFonts w:ascii="Arial" w:cs="Arial" w:eastAsia="Arial" w:hAnsi="Arial"/>
          <w:sz w:val="24"/>
          <w:szCs w:val="24"/>
        </w:rPr>
        <w:t xml:space="preserve">Bayesian network and causal inference approaches inferring target-pathway-phenotype relationships robust to confounding and indirect effects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compounds produce electrophysiological signatures phenotypically similar to disease models, and could therefore rescue disease-relevant dysfunction?</w:t>
      </w:r>
    </w:p>
    <w:p>
      <w:pPr>
        <w:pStyle w:val="ListParagraph"/>
        <w:numPr>
          <w:ilvl w:val="0"/>
          <w:numId w:val="2"/>
        </w:numPr>
        <w:spacing w:after="100" w:line="360"/>
      </w:pPr>
      <w:r>
        <w:rPr>
          <w:rFonts w:ascii="Arial" w:cs="Arial" w:eastAsia="Arial" w:hAnsi="Arial"/>
          <w:sz w:val="24"/>
          <w:szCs w:val="24"/>
        </w:rPr>
        <w:t xml:space="preserve">What are the inferred molecular targets for top-scoring compounds based on phenotypic matching with genetic perturbations?</w:t>
      </w:r>
    </w:p>
    <w:p>
      <w:pPr>
        <w:pStyle w:val="ListParagraph"/>
        <w:numPr>
          <w:ilvl w:val="0"/>
          <w:numId w:val="2"/>
        </w:numPr>
        <w:spacing w:after="100" w:line="360"/>
      </w:pPr>
      <w:r>
        <w:rPr>
          <w:rFonts w:ascii="Arial" w:cs="Arial" w:eastAsia="Arial" w:hAnsi="Arial"/>
          <w:sz w:val="24"/>
          <w:szCs w:val="24"/>
        </w:rPr>
        <w:t xml:space="preserve">Do compounds with known targets show phenotypes predictable from literature-derived target-phenotype relationships, validating the inference framework?</w:t>
      </w:r>
    </w:p>
    <w:p>
      <w:pPr>
        <w:pStyle w:val="ListParagraph"/>
        <w:numPr>
          <w:ilvl w:val="0"/>
          <w:numId w:val="2"/>
        </w:numPr>
        <w:spacing w:after="100" w:line="360"/>
      </w:pPr>
      <w:r>
        <w:rPr>
          <w:rFonts w:ascii="Arial" w:cs="Arial" w:eastAsia="Arial" w:hAnsi="Arial"/>
          <w:sz w:val="24"/>
          <w:szCs w:val="24"/>
        </w:rPr>
        <w:t xml:space="preserve">Which compounds show off-target activity that could confound interpretation of mechanism-of-action and require selective analogues?</w:t>
      </w:r>
    </w:p>
    <w:p>
      <w:pPr>
        <w:pStyle w:val="ListParagraph"/>
        <w:numPr>
          <w:ilvl w:val="0"/>
          <w:numId w:val="2"/>
        </w:numPr>
        <w:spacing w:after="100" w:line="360"/>
      </w:pPr>
      <w:r>
        <w:rPr>
          <w:rFonts w:ascii="Arial" w:cs="Arial" w:eastAsia="Arial" w:hAnsi="Arial"/>
          <w:sz w:val="24"/>
          <w:szCs w:val="24"/>
        </w:rPr>
        <w:t xml:space="preserve">Are there compound clusters sharing similar phenotypic effects but distinct chemical structures or known targets, suggesting convergent mechanisms or common off-targets?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Compound-phenotype correlation matrix with Pearson/Spearman correlation coefficients, p-values, and effect size estimates for each compound versus each disease phenotype signature</w:t>
      </w:r>
    </w:p>
    <w:p>
      <w:pPr>
        <w:pStyle w:val="ListParagraph"/>
        <w:numPr>
          <w:ilvl w:val="0"/>
          <w:numId w:val="2"/>
        </w:numPr>
        <w:spacing w:after="100" w:line="360"/>
      </w:pPr>
      <w:r>
        <w:rPr>
          <w:rFonts w:ascii="Arial" w:cs="Arial" w:eastAsia="Arial" w:hAnsi="Arial"/>
          <w:sz w:val="24"/>
          <w:szCs w:val="24"/>
        </w:rPr>
        <w:t xml:space="preserve">Mechanism-of-action inference table for top-scoring compounds listing primary inferred targets, supporting evidence from phenotypic matching and genetic validation, and mechanistic hypotheses</w:t>
      </w:r>
    </w:p>
    <w:p>
      <w:pPr>
        <w:pStyle w:val="ListParagraph"/>
        <w:numPr>
          <w:ilvl w:val="0"/>
          <w:numId w:val="2"/>
        </w:numPr>
        <w:spacing w:after="100" w:line="360"/>
      </w:pPr>
      <w:r>
        <w:rPr>
          <w:rFonts w:ascii="Arial" w:cs="Arial" w:eastAsia="Arial" w:hAnsi="Arial"/>
          <w:sz w:val="24"/>
          <w:szCs w:val="24"/>
        </w:rPr>
        <w:t xml:space="preserve">Off-target activity report quantifying predicted selectivity, comparing intended target effects to known off-target profiles, and recommending structural analogues with improved selectivity</w:t>
      </w:r>
    </w:p>
    <w:p>
      <w:pPr>
        <w:pStyle w:val="ListParagraph"/>
        <w:numPr>
          <w:ilvl w:val="0"/>
          <w:numId w:val="2"/>
        </w:numPr>
        <w:spacing w:after="100" w:line="360"/>
      </w:pPr>
      <w:r>
        <w:rPr>
          <w:rFonts w:ascii="Arial" w:cs="Arial" w:eastAsia="Arial" w:hAnsi="Arial"/>
          <w:sz w:val="24"/>
          <w:szCs w:val="24"/>
        </w:rPr>
        <w:t xml:space="preserve">Target-pathway-phenotype mechanistic model for top compounds, documented as pathway diagrams and logical relationships explaining how target inhibition produces observed electrophysiological changes</w:t>
      </w:r>
    </w:p>
    <w:p>
      <w:pPr>
        <w:pStyle w:val="ListParagraph"/>
        <w:numPr>
          <w:ilvl w:val="0"/>
          <w:numId w:val="2"/>
        </w:numPr>
        <w:spacing w:after="100" w:line="360"/>
      </w:pPr>
      <w:r>
        <w:rPr>
          <w:rFonts w:ascii="Arial" w:cs="Arial" w:eastAsia="Arial" w:hAnsi="Arial"/>
          <w:sz w:val="24"/>
          <w:szCs w:val="24"/>
        </w:rPr>
        <w:t xml:space="preserve">Cross-validation analysis demonstrating that compounds with known targets produce phenotypes consistent with literature-derived target-phenotype associations</w:t>
      </w:r>
    </w:p>
    <w:p>
      <w:pPr>
        <w:pStyle w:val="ListParagraph"/>
        <w:numPr>
          <w:ilvl w:val="0"/>
          <w:numId w:val="2"/>
        </w:numPr>
        <w:spacing w:after="100" w:line="360"/>
      </w:pPr>
      <w:r>
        <w:rPr>
          <w:rFonts w:ascii="Arial" w:cs="Arial" w:eastAsia="Arial" w:hAnsi="Arial"/>
          <w:sz w:val="24"/>
          <w:szCs w:val="24"/>
        </w:rPr>
        <w:t xml:space="preserve">Confidence scoring for each mechanism-of-action hypothesis integrating evidence strength, consistency across validation approaches, and mechanistic plausibility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Compound-phenotype correlation table (Excel/TSV), mechanism-of-action inference report (PDF with mechanistic diagrams), selectivity profiling summary (HTML), and target validation analysis (TSV)</w:t>
      </w:r>
    </w:p>
    <w:p>
      <w:pPr>
        <w:pStyle w:val="Heading2"/>
        <w:spacing w:after="200" w:before="240"/>
      </w:pPr>
      <w:r>
        <w:rPr>
          <w:rFonts w:ascii="Arial" w:cs="Arial" w:eastAsia="Arial" w:hAnsi="Arial"/>
          <w:b/>
          <w:bCs/>
          <w:sz w:val="28"/>
          <w:szCs w:val="28"/>
        </w:rPr>
        <w:t xml:space="preserve">Stage 5: Selectivity, Safety &amp; Translatability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Evaluate candidate compounds for target selectivity, off-target liabilities, pharmacokinetic properties, blood-brain barrier penetration, known adverse effects, and clinical translation feasibility to prioritize compounds for experimental validation.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Prioritized compound list from Stage 4 with inferred mechanisms and phenotypic rescue predictions</w:t>
      </w:r>
    </w:p>
    <w:p>
      <w:pPr>
        <w:pStyle w:val="ListParagraph"/>
        <w:numPr>
          <w:ilvl w:val="0"/>
          <w:numId w:val="2"/>
        </w:numPr>
        <w:spacing w:after="100" w:line="360"/>
      </w:pPr>
      <w:r>
        <w:rPr>
          <w:rFonts w:ascii="Arial" w:cs="Arial" w:eastAsia="Arial" w:hAnsi="Arial"/>
          <w:sz w:val="24"/>
          <w:szCs w:val="24"/>
        </w:rPr>
        <w:t xml:space="preserve">Compound structural data, binding kinetics, and selectivity profiles across target classes (kinase selectivity panels, broader pharmacological profiling)</w:t>
      </w:r>
    </w:p>
    <w:p>
      <w:pPr>
        <w:pStyle w:val="ListParagraph"/>
        <w:numPr>
          <w:ilvl w:val="0"/>
          <w:numId w:val="2"/>
        </w:numPr>
        <w:spacing w:after="100" w:line="360"/>
      </w:pPr>
      <w:r>
        <w:rPr>
          <w:rFonts w:ascii="Arial" w:cs="Arial" w:eastAsia="Arial" w:hAnsi="Arial"/>
          <w:sz w:val="24"/>
          <w:szCs w:val="24"/>
        </w:rPr>
        <w:t xml:space="preserve">Existing pharmacokinetic and pharmacodynamic data from literature, commercial databases, or internal Quiver studies</w:t>
      </w:r>
    </w:p>
    <w:p>
      <w:pPr>
        <w:pStyle w:val="ListParagraph"/>
        <w:numPr>
          <w:ilvl w:val="0"/>
          <w:numId w:val="2"/>
        </w:numPr>
        <w:spacing w:after="100" w:line="360"/>
      </w:pPr>
      <w:r>
        <w:rPr>
          <w:rFonts w:ascii="Arial" w:cs="Arial" w:eastAsia="Arial" w:hAnsi="Arial"/>
          <w:sz w:val="24"/>
          <w:szCs w:val="24"/>
        </w:rPr>
        <w:t xml:space="preserve">Clinical safety and adverse effect data from FDA databases, post-market surveillance, and literature case reports for compounds with prior clinical use</w:t>
      </w:r>
    </w:p>
    <w:p>
      <w:pPr>
        <w:pStyle w:val="ListParagraph"/>
        <w:numPr>
          <w:ilvl w:val="0"/>
          <w:numId w:val="2"/>
        </w:numPr>
        <w:spacing w:after="100" w:line="360"/>
      </w:pPr>
      <w:r>
        <w:rPr>
          <w:rFonts w:ascii="Arial" w:cs="Arial" w:eastAsia="Arial" w:hAnsi="Arial"/>
          <w:sz w:val="24"/>
          <w:szCs w:val="24"/>
        </w:rPr>
        <w:t xml:space="preserve">BBB permeability predictions and in-vitro transporter substrate status (P-gp, BCRP, etc.) for CNS drug assessment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DrugBank, PubChem, and ChEMBL for comprehensive compound annotations, known pharmacokinetics, and clinical safety profiles</w:t>
      </w:r>
    </w:p>
    <w:p>
      <w:pPr>
        <w:pStyle w:val="ListParagraph"/>
        <w:numPr>
          <w:ilvl w:val="0"/>
          <w:numId w:val="2"/>
        </w:numPr>
        <w:spacing w:after="100" w:line="360"/>
      </w:pPr>
      <w:r>
        <w:rPr>
          <w:rFonts w:ascii="Arial" w:cs="Arial" w:eastAsia="Arial" w:hAnsi="Arial"/>
          <w:sz w:val="24"/>
          <w:szCs w:val="24"/>
        </w:rPr>
        <w:t xml:space="preserve">BBB penetration prediction tools (SwissADME, ADMETlab, proprietary PBPK models) and published passive permeability assays or active transporter data</w:t>
      </w:r>
    </w:p>
    <w:p>
      <w:pPr>
        <w:pStyle w:val="ListParagraph"/>
        <w:numPr>
          <w:ilvl w:val="0"/>
          <w:numId w:val="2"/>
        </w:numPr>
        <w:spacing w:after="100" w:line="360"/>
      </w:pPr>
      <w:r>
        <w:rPr>
          <w:rFonts w:ascii="Arial" w:cs="Arial" w:eastAsia="Arial" w:hAnsi="Arial"/>
          <w:sz w:val="24"/>
          <w:szCs w:val="24"/>
        </w:rPr>
        <w:t xml:space="preserve">Hepatic metabolism and CYP450 inhibition prediction algorithms assessing drug-drug interaction potential and metabolic stability</w:t>
      </w:r>
    </w:p>
    <w:p>
      <w:pPr>
        <w:pStyle w:val="ListParagraph"/>
        <w:numPr>
          <w:ilvl w:val="0"/>
          <w:numId w:val="2"/>
        </w:numPr>
        <w:spacing w:after="100" w:line="360"/>
      </w:pPr>
      <w:r>
        <w:rPr>
          <w:rFonts w:ascii="Arial" w:cs="Arial" w:eastAsia="Arial" w:hAnsi="Arial"/>
          <w:sz w:val="24"/>
          <w:szCs w:val="24"/>
        </w:rPr>
        <w:t xml:space="preserve">Cardiotoxicity, genotoxicity, and other organ-level safety assessment databases (eTOX, Tox21) enabling prediction of off-target toxicity risks</w:t>
      </w:r>
    </w:p>
    <w:p>
      <w:pPr>
        <w:pStyle w:val="ListParagraph"/>
        <w:numPr>
          <w:ilvl w:val="0"/>
          <w:numId w:val="2"/>
        </w:numPr>
        <w:spacing w:after="100" w:line="360"/>
      </w:pPr>
      <w:r>
        <w:rPr>
          <w:rFonts w:ascii="Arial" w:cs="Arial" w:eastAsia="Arial" w:hAnsi="Arial"/>
          <w:sz w:val="24"/>
          <w:szCs w:val="24"/>
        </w:rPr>
        <w:t xml:space="preserve">Kinase selectivity consensus scoring integrating multiple selectivity profiling platforms to harmonize selectivity assessment across different assay formats</w:t>
      </w:r>
    </w:p>
    <w:p>
      <w:pPr>
        <w:pStyle w:val="ListParagraph"/>
        <w:numPr>
          <w:ilvl w:val="0"/>
          <w:numId w:val="2"/>
        </w:numPr>
        <w:spacing w:after="100" w:line="360"/>
      </w:pPr>
      <w:r>
        <w:rPr>
          <w:rFonts w:ascii="Arial" w:cs="Arial" w:eastAsia="Arial" w:hAnsi="Arial"/>
          <w:sz w:val="24"/>
          <w:szCs w:val="24"/>
        </w:rPr>
        <w:t xml:space="preserve">Comparative analysis of structural analogues to identify chemical optimization strategies reducing off-target activity or improving pharmacokinetics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is the selectivity profile of top candidate compounds for the inferred targets versus known off-target interactions?</w:t>
      </w:r>
    </w:p>
    <w:p>
      <w:pPr>
        <w:pStyle w:val="ListParagraph"/>
        <w:numPr>
          <w:ilvl w:val="0"/>
          <w:numId w:val="2"/>
        </w:numPr>
        <w:spacing w:after="100" w:line="360"/>
      </w:pPr>
      <w:r>
        <w:rPr>
          <w:rFonts w:ascii="Arial" w:cs="Arial" w:eastAsia="Arial" w:hAnsi="Arial"/>
          <w:sz w:val="24"/>
          <w:szCs w:val="24"/>
        </w:rPr>
        <w:t xml:space="preserve">Do compounds have documented clinical or preclinical safety records, or are they entirely novel compounds requiring de-novo safety assessment?</w:t>
      </w:r>
    </w:p>
    <w:p>
      <w:pPr>
        <w:pStyle w:val="ListParagraph"/>
        <w:numPr>
          <w:ilvl w:val="0"/>
          <w:numId w:val="2"/>
        </w:numPr>
        <w:spacing w:after="100" w:line="360"/>
      </w:pPr>
      <w:r>
        <w:rPr>
          <w:rFonts w:ascii="Arial" w:cs="Arial" w:eastAsia="Arial" w:hAnsi="Arial"/>
          <w:sz w:val="24"/>
          <w:szCs w:val="24"/>
        </w:rPr>
        <w:t xml:space="preserve">What is the predicted BBB penetration for top candidates, and do they possess pharmacokinetic properties compatible with CNS drug development?</w:t>
      </w:r>
    </w:p>
    <w:p>
      <w:pPr>
        <w:pStyle w:val="ListParagraph"/>
        <w:numPr>
          <w:ilvl w:val="0"/>
          <w:numId w:val="2"/>
        </w:numPr>
        <w:spacing w:after="100" w:line="360"/>
      </w:pPr>
      <w:r>
        <w:rPr>
          <w:rFonts w:ascii="Arial" w:cs="Arial" w:eastAsia="Arial" w:hAnsi="Arial"/>
          <w:sz w:val="24"/>
          <w:szCs w:val="24"/>
        </w:rPr>
        <w:t xml:space="preserve">Which compounds have minimal predicted off-target interactions with essential genes or genes associated with serious adverse effects?</w:t>
      </w:r>
    </w:p>
    <w:p>
      <w:pPr>
        <w:pStyle w:val="ListParagraph"/>
        <w:numPr>
          <w:ilvl w:val="0"/>
          <w:numId w:val="2"/>
        </w:numPr>
        <w:spacing w:after="100" w:line="360"/>
      </w:pPr>
      <w:r>
        <w:rPr>
          <w:rFonts w:ascii="Arial" w:cs="Arial" w:eastAsia="Arial" w:hAnsi="Arial"/>
          <w:sz w:val="24"/>
          <w:szCs w:val="24"/>
        </w:rPr>
        <w:t xml:space="preserve">Are there structural analogues of top candidates showing improved selectivity, pharmacokinetics, or reduced toxicity liability that warrant inclusion in prioritization?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Selectivity profile summary for each top candidate listing primary target(s), on-target potency, major off-target interactions, and selectivity index relative to related kinases or pathway members</w:t>
      </w:r>
    </w:p>
    <w:p>
      <w:pPr>
        <w:pStyle w:val="ListParagraph"/>
        <w:numPr>
          <w:ilvl w:val="0"/>
          <w:numId w:val="2"/>
        </w:numPr>
        <w:spacing w:after="100" w:line="360"/>
      </w:pPr>
      <w:r>
        <w:rPr>
          <w:rFonts w:ascii="Arial" w:cs="Arial" w:eastAsia="Arial" w:hAnsi="Arial"/>
          <w:sz w:val="24"/>
          <w:szCs w:val="24"/>
        </w:rPr>
        <w:t xml:space="preserve">BBB penetration prediction report including passive permeability estimates, predicted transporter substrate status, and recommendations for chemical optimization if needed</w:t>
      </w:r>
    </w:p>
    <w:p>
      <w:pPr>
        <w:pStyle w:val="ListParagraph"/>
        <w:numPr>
          <w:ilvl w:val="0"/>
          <w:numId w:val="2"/>
        </w:numPr>
        <w:spacing w:after="100" w:line="360"/>
      </w:pPr>
      <w:r>
        <w:rPr>
          <w:rFonts w:ascii="Arial" w:cs="Arial" w:eastAsia="Arial" w:hAnsi="Arial"/>
          <w:sz w:val="24"/>
          <w:szCs w:val="24"/>
        </w:rPr>
        <w:t xml:space="preserve">Clinical safety assessment for compounds with prior use including known adverse effects, contraindications, dose-limiting toxicities, and special populations requiring caution</w:t>
      </w:r>
    </w:p>
    <w:p>
      <w:pPr>
        <w:pStyle w:val="ListParagraph"/>
        <w:numPr>
          <w:ilvl w:val="0"/>
          <w:numId w:val="2"/>
        </w:numPr>
        <w:spacing w:after="100" w:line="360"/>
      </w:pPr>
      <w:r>
        <w:rPr>
          <w:rFonts w:ascii="Arial" w:cs="Arial" w:eastAsia="Arial" w:hAnsi="Arial"/>
          <w:sz w:val="24"/>
          <w:szCs w:val="24"/>
        </w:rPr>
        <w:t xml:space="preserve">Pharmacokinetic property predictions including predicted half-life, hepatic clearance, renal clearance, and potential for drug-drug interactions via CYP450 inhibition</w:t>
      </w:r>
    </w:p>
    <w:p>
      <w:pPr>
        <w:pStyle w:val="ListParagraph"/>
        <w:numPr>
          <w:ilvl w:val="0"/>
          <w:numId w:val="2"/>
        </w:numPr>
        <w:spacing w:after="100" w:line="360"/>
      </w:pPr>
      <w:r>
        <w:rPr>
          <w:rFonts w:ascii="Arial" w:cs="Arial" w:eastAsia="Arial" w:hAnsi="Arial"/>
          <w:sz w:val="24"/>
          <w:szCs w:val="24"/>
        </w:rPr>
        <w:t xml:space="preserve">Scoring matrix ranking candidates by selectivity (weighted toward toxicity-critical off-targets), pharmacokinetics, BBB penetration, and translational readiness</w:t>
      </w:r>
    </w:p>
    <w:p>
      <w:pPr>
        <w:pStyle w:val="ListParagraph"/>
        <w:numPr>
          <w:ilvl w:val="0"/>
          <w:numId w:val="2"/>
        </w:numPr>
        <w:spacing w:after="100" w:line="360"/>
      </w:pPr>
      <w:r>
        <w:rPr>
          <w:rFonts w:ascii="Arial" w:cs="Arial" w:eastAsia="Arial" w:hAnsi="Arial"/>
          <w:sz w:val="24"/>
          <w:szCs w:val="24"/>
        </w:rPr>
        <w:t xml:space="preserve">Structural optimization recommendations identifying chemical modifications that could improve selectivity, pharmacokinetics, or reduce predicted toxicity while maintaining on-target potency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Selectivity report (PDF with detailed target-off-target tables), pharmacokinetic summary (Excel), safety and clinical data compilation (TSV), and prioritization matrix (interactive HTML or Excel)</w:t>
      </w:r>
    </w:p>
    <w:p>
      <w:pPr>
        <w:pStyle w:val="Heading2"/>
        <w:spacing w:after="200" w:before="240"/>
      </w:pPr>
      <w:r>
        <w:rPr>
          <w:rFonts w:ascii="Arial" w:cs="Arial" w:eastAsia="Arial" w:hAnsi="Arial"/>
          <w:b/>
          <w:bCs/>
          <w:sz w:val="28"/>
          <w:szCs w:val="28"/>
        </w:rPr>
        <w:t xml:space="preserve">Stage 6: Experimental Validation Design &amp; Prediction Confidence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targeted experimental validation experiments to test candidate compounds' phenotypic rescue capacity and mechanistic hypotheses in orthogonal assay formats, and quantify end-to-end prediction confidence integrating computational evidence strength.</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Prioritized compound list from Stage 5 with selectivity assessment, mechanism-of-action hypotheses, and safety profiles</w:t>
      </w:r>
    </w:p>
    <w:p>
      <w:pPr>
        <w:pStyle w:val="ListParagraph"/>
        <w:numPr>
          <w:ilvl w:val="0"/>
          <w:numId w:val="2"/>
        </w:numPr>
        <w:spacing w:after="100" w:line="360"/>
      </w:pPr>
      <w:r>
        <w:rPr>
          <w:rFonts w:ascii="Arial" w:cs="Arial" w:eastAsia="Arial" w:hAnsi="Arial"/>
          <w:sz w:val="24"/>
          <w:szCs w:val="24"/>
        </w:rPr>
        <w:t xml:space="preserve">Disease-relevant neuron models selected based on Stage 3 phenotypic mapping (genetic models, stress-exposed neurons, human iPSC-derived neurons with matched clinical phenotyping)</w:t>
      </w:r>
    </w:p>
    <w:p>
      <w:pPr>
        <w:pStyle w:val="ListParagraph"/>
        <w:numPr>
          <w:ilvl w:val="0"/>
          <w:numId w:val="2"/>
        </w:numPr>
        <w:spacing w:after="100" w:line="360"/>
      </w:pPr>
      <w:r>
        <w:rPr>
          <w:rFonts w:ascii="Arial" w:cs="Arial" w:eastAsia="Arial" w:hAnsi="Arial"/>
          <w:sz w:val="24"/>
          <w:szCs w:val="24"/>
        </w:rPr>
        <w:t xml:space="preserve">Orthogonal readout technologies available for validation (patch-clamp electrophysiology on additional cell batches, voltage-clamp fluorometry, microelectrode arrays for network activity, calcium imaging for functional connectivity)</w:t>
      </w:r>
    </w:p>
    <w:p>
      <w:pPr>
        <w:pStyle w:val="ListParagraph"/>
        <w:numPr>
          <w:ilvl w:val="0"/>
          <w:numId w:val="2"/>
        </w:numPr>
        <w:spacing w:after="100" w:line="360"/>
      </w:pPr>
      <w:r>
        <w:rPr>
          <w:rFonts w:ascii="Arial" w:cs="Arial" w:eastAsia="Arial" w:hAnsi="Arial"/>
          <w:sz w:val="24"/>
          <w:szCs w:val="24"/>
        </w:rPr>
        <w:t xml:space="preserve">Prior experimental validation data from literature or Quiver studies providing baseline estimates of effect sizes achievable with known active compounds</w:t>
      </w:r>
    </w:p>
    <w:p>
      <w:pPr>
        <w:pStyle w:val="ListParagraph"/>
        <w:numPr>
          <w:ilvl w:val="0"/>
          <w:numId w:val="2"/>
        </w:numPr>
        <w:spacing w:after="100" w:line="360"/>
      </w:pPr>
      <w:r>
        <w:rPr>
          <w:rFonts w:ascii="Arial" w:cs="Arial" w:eastAsia="Arial" w:hAnsi="Arial"/>
          <w:sz w:val="24"/>
          <w:szCs w:val="24"/>
        </w:rPr>
        <w:t xml:space="preserve">Power and sample size calculations enabling appropriately-powered validation studies to detect predicted effect sizes with adequate statistical power</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Sapphire Multi-Phenotype Validation Design Engine specifying optimal dose ranges, time points, replicates, and cell populations for each candidate</w:t>
      </w:r>
    </w:p>
    <w:p>
      <w:pPr>
        <w:pStyle w:val="ListParagraph"/>
        <w:numPr>
          <w:ilvl w:val="0"/>
          <w:numId w:val="2"/>
        </w:numPr>
        <w:spacing w:after="100" w:line="360"/>
      </w:pPr>
      <w:r>
        <w:rPr>
          <w:rFonts w:ascii="Arial" w:cs="Arial" w:eastAsia="Arial" w:hAnsi="Arial"/>
          <w:sz w:val="24"/>
          <w:szCs w:val="24"/>
        </w:rPr>
        <w:t xml:space="preserve">CellKey and similar single-cell transcriptomics integration tools enabling prediction of which neuronal subpopulations will respond to each candidate</w:t>
      </w:r>
    </w:p>
    <w:p>
      <w:pPr>
        <w:pStyle w:val="ListParagraph"/>
        <w:numPr>
          <w:ilvl w:val="0"/>
          <w:numId w:val="2"/>
        </w:numPr>
        <w:spacing w:after="100" w:line="360"/>
      </w:pPr>
      <w:r>
        <w:rPr>
          <w:rFonts w:ascii="Arial" w:cs="Arial" w:eastAsia="Arial" w:hAnsi="Arial"/>
          <w:sz w:val="24"/>
          <w:szCs w:val="24"/>
        </w:rPr>
        <w:t xml:space="preserve">Meta-analysis frameworks synthesizing effect size estimates across literature for compounds with prior electrophysiological data, enabling calibration of power calculations</w:t>
      </w:r>
    </w:p>
    <w:p>
      <w:pPr>
        <w:pStyle w:val="ListParagraph"/>
        <w:numPr>
          <w:ilvl w:val="0"/>
          <w:numId w:val="2"/>
        </w:numPr>
        <w:spacing w:after="100" w:line="360"/>
      </w:pPr>
      <w:r>
        <w:rPr>
          <w:rFonts w:ascii="Arial" w:cs="Arial" w:eastAsia="Arial" w:hAnsi="Arial"/>
          <w:sz w:val="24"/>
          <w:szCs w:val="24"/>
        </w:rPr>
        <w:t xml:space="preserve">Orthogonal assay platform selection algorithms matching compound properties (lipophilicity, charge, photostability) to available technologies</w:t>
      </w:r>
    </w:p>
    <w:p>
      <w:pPr>
        <w:pStyle w:val="ListParagraph"/>
        <w:numPr>
          <w:ilvl w:val="0"/>
          <w:numId w:val="2"/>
        </w:numPr>
        <w:spacing w:after="100" w:line="360"/>
      </w:pPr>
      <w:r>
        <w:rPr>
          <w:rFonts w:ascii="Arial" w:cs="Arial" w:eastAsia="Arial" w:hAnsi="Arial"/>
          <w:sz w:val="24"/>
          <w:szCs w:val="24"/>
        </w:rPr>
        <w:t xml:space="preserve">Ensemble machine learning models (XGBoost, random forests, neural networks) trained on Quiver historical data predicting compound effect sizes in novel contexts</w:t>
      </w:r>
    </w:p>
    <w:p>
      <w:pPr>
        <w:pStyle w:val="ListParagraph"/>
        <w:numPr>
          <w:ilvl w:val="0"/>
          <w:numId w:val="2"/>
        </w:numPr>
        <w:spacing w:after="100" w:line="360"/>
      </w:pPr>
      <w:r>
        <w:rPr>
          <w:rFonts w:ascii="Arial" w:cs="Arial" w:eastAsia="Arial" w:hAnsi="Arial"/>
          <w:sz w:val="24"/>
          <w:szCs w:val="24"/>
        </w:rPr>
        <w:t xml:space="preserve">Bayesian hierarchical models quantifying confidence in predicted phenotypic effects as function of computational evidence types and strength</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disease-relevant neuron populations (cell types, developmental stages, genetic backgrounds) are most appropriate for validating each candidate?</w:t>
      </w:r>
    </w:p>
    <w:p>
      <w:pPr>
        <w:pStyle w:val="ListParagraph"/>
        <w:numPr>
          <w:ilvl w:val="0"/>
          <w:numId w:val="2"/>
        </w:numPr>
        <w:spacing w:after="100" w:line="360"/>
      </w:pPr>
      <w:r>
        <w:rPr>
          <w:rFonts w:ascii="Arial" w:cs="Arial" w:eastAsia="Arial" w:hAnsi="Arial"/>
          <w:sz w:val="24"/>
          <w:szCs w:val="24"/>
        </w:rPr>
        <w:t xml:space="preserve">What sample sizes and dose ranges are required to detect predicted effect sizes with 80-90% power and adequate specificity controls?</w:t>
      </w:r>
    </w:p>
    <w:p>
      <w:pPr>
        <w:pStyle w:val="ListParagraph"/>
        <w:numPr>
          <w:ilvl w:val="0"/>
          <w:numId w:val="2"/>
        </w:numPr>
        <w:spacing w:after="100" w:line="360"/>
      </w:pPr>
      <w:r>
        <w:rPr>
          <w:rFonts w:ascii="Arial" w:cs="Arial" w:eastAsia="Arial" w:hAnsi="Arial"/>
          <w:sz w:val="24"/>
          <w:szCs w:val="24"/>
        </w:rPr>
        <w:t xml:space="preserve">Which orthogonal assay formats provide complementary information about mechanism-of-action and should be included for validation?</w:t>
      </w:r>
    </w:p>
    <w:p>
      <w:pPr>
        <w:pStyle w:val="ListParagraph"/>
        <w:numPr>
          <w:ilvl w:val="0"/>
          <w:numId w:val="2"/>
        </w:numPr>
        <w:spacing w:after="100" w:line="360"/>
      </w:pPr>
      <w:r>
        <w:rPr>
          <w:rFonts w:ascii="Arial" w:cs="Arial" w:eastAsia="Arial" w:hAnsi="Arial"/>
          <w:sz w:val="24"/>
          <w:szCs w:val="24"/>
        </w:rPr>
        <w:t xml:space="preserve">How confident are computational predictions of phenotypic rescue, and what additional evidence types (e.g., biochemical target engagement assays) would meaningfully increase confidence?</w:t>
      </w:r>
    </w:p>
    <w:p>
      <w:pPr>
        <w:pStyle w:val="ListParagraph"/>
        <w:numPr>
          <w:ilvl w:val="0"/>
          <w:numId w:val="2"/>
        </w:numPr>
        <w:spacing w:after="100" w:line="360"/>
      </w:pPr>
      <w:r>
        <w:rPr>
          <w:rFonts w:ascii="Arial" w:cs="Arial" w:eastAsia="Arial" w:hAnsi="Arial"/>
          <w:sz w:val="24"/>
          <w:szCs w:val="24"/>
        </w:rPr>
        <w:t xml:space="preserve">Are there negative control experiments (off-target compounds, inactive analogues) that should be included to validate specificity of predicted mechanisms?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Experimental validation protocol for each top candidate specifying neuron source, culture conditions, drug doses, application timing, recording parameters, and statistical analysis plans</w:t>
      </w:r>
    </w:p>
    <w:p>
      <w:pPr>
        <w:pStyle w:val="ListParagraph"/>
        <w:numPr>
          <w:ilvl w:val="0"/>
          <w:numId w:val="2"/>
        </w:numPr>
        <w:spacing w:after="100" w:line="360"/>
      </w:pPr>
      <w:r>
        <w:rPr>
          <w:rFonts w:ascii="Arial" w:cs="Arial" w:eastAsia="Arial" w:hAnsi="Arial"/>
          <w:sz w:val="24"/>
          <w:szCs w:val="24"/>
        </w:rPr>
        <w:t xml:space="preserve">Power analysis report documenting sample size calculations, effect size assumptions (derived from computational predictions and literature), and estimated statistical power for each experiment</w:t>
      </w:r>
    </w:p>
    <w:p>
      <w:pPr>
        <w:pStyle w:val="ListParagraph"/>
        <w:numPr>
          <w:ilvl w:val="0"/>
          <w:numId w:val="2"/>
        </w:numPr>
        <w:spacing w:after="100" w:line="360"/>
      </w:pPr>
      <w:r>
        <w:rPr>
          <w:rFonts w:ascii="Arial" w:cs="Arial" w:eastAsia="Arial" w:hAnsi="Arial"/>
          <w:sz w:val="24"/>
          <w:szCs w:val="24"/>
        </w:rPr>
        <w:t xml:space="preserve">Orthogonal assay recommendation table suggesting which supplementary assay formats (voltage-clamp fluorometry, calcium imaging, network recording) should complement primary patch-clamp validation</w:t>
      </w:r>
    </w:p>
    <w:p>
      <w:pPr>
        <w:pStyle w:val="ListParagraph"/>
        <w:numPr>
          <w:ilvl w:val="0"/>
          <w:numId w:val="2"/>
        </w:numPr>
        <w:spacing w:after="100" w:line="360"/>
      </w:pPr>
      <w:r>
        <w:rPr>
          <w:rFonts w:ascii="Arial" w:cs="Arial" w:eastAsia="Arial" w:hAnsi="Arial"/>
          <w:sz w:val="24"/>
          <w:szCs w:val="24"/>
        </w:rPr>
        <w:t xml:space="preserve">Mechanistic validation sub-experiment designs testing specific hypotheses about target engagement, pathway activation, and downstream phenotypic changes</w:t>
      </w:r>
    </w:p>
    <w:p>
      <w:pPr>
        <w:pStyle w:val="ListParagraph"/>
        <w:numPr>
          <w:ilvl w:val="0"/>
          <w:numId w:val="2"/>
        </w:numPr>
        <w:spacing w:after="100" w:line="360"/>
      </w:pPr>
      <w:r>
        <w:rPr>
          <w:rFonts w:ascii="Arial" w:cs="Arial" w:eastAsia="Arial" w:hAnsi="Arial"/>
          <w:sz w:val="24"/>
          <w:szCs w:val="24"/>
        </w:rPr>
        <w:t xml:space="preserve">Confidence scoring framework quantifying prediction confidence (0-100%) for each compound-phenotype prediction based on evidence types (genetic validation, target selectivity, prior literature support, pathway mechanism strength)</w:t>
      </w:r>
    </w:p>
    <w:p>
      <w:pPr>
        <w:pStyle w:val="ListParagraph"/>
        <w:numPr>
          <w:ilvl w:val="0"/>
          <w:numId w:val="2"/>
        </w:numPr>
        <w:spacing w:after="100" w:line="360"/>
      </w:pPr>
      <w:r>
        <w:rPr>
          <w:rFonts w:ascii="Arial" w:cs="Arial" w:eastAsia="Arial" w:hAnsi="Arial"/>
          <w:sz w:val="24"/>
          <w:szCs w:val="24"/>
        </w:rPr>
        <w:t xml:space="preserve">Negative control and orthogonal validation recommendations including inactive structural analogues, pharmacological antagonists, and alternative mechanistic approaches enabling specificity assessment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Validation protocol document (PDF with detailed methods), experimental design diagrams (PDF), power analysis report (Excel), and confidence assessment scoring matrix (Excel with annotations)</w:t>
      </w:r>
    </w:p>
    <w:p>
      <w:pPr>
        <w:pStyle w:val="Heading2"/>
        <w:spacing w:after="200" w:before="24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CRISPR Perturbation Database (~18,000 gene perturbations with multi-replicate electrophysiology recordings enabling large-scale phenotypic profiling)</w:t>
      </w:r>
    </w:p>
    <w:p>
      <w:pPr>
        <w:pStyle w:val="ListParagraph"/>
        <w:numPr>
          <w:ilvl w:val="0"/>
          <w:numId w:val="2"/>
        </w:numPr>
        <w:spacing w:after="100" w:line="360"/>
      </w:pPr>
      <w:r>
        <w:rPr>
          <w:rFonts w:ascii="Arial" w:cs="Arial" w:eastAsia="Arial" w:hAnsi="Arial"/>
          <w:sz w:val="24"/>
          <w:szCs w:val="24"/>
        </w:rPr>
        <w:t xml:space="preserve">Quiver Compound Screening Library (~3,500 compounds annotated with targets, selectivity profiles, and electrophysiological effects across diverse psychiatric model neurons)</w:t>
      </w:r>
    </w:p>
    <w:p>
      <w:pPr>
        <w:pStyle w:val="ListParagraph"/>
        <w:numPr>
          <w:ilvl w:val="0"/>
          <w:numId w:val="2"/>
        </w:numPr>
        <w:spacing w:after="100" w:line="360"/>
      </w:pPr>
      <w:r>
        <w:rPr>
          <w:rFonts w:ascii="Arial" w:cs="Arial" w:eastAsia="Arial" w:hAnsi="Arial"/>
          <w:sz w:val="24"/>
          <w:szCs w:val="24"/>
        </w:rPr>
        <w:t xml:space="preserve">UMAP, t-SNE, and PCA dimensionality reduction for visualization and phenotypic clustering of high-dimensional electrophysiological data</w:t>
      </w:r>
    </w:p>
    <w:p>
      <w:pPr>
        <w:pStyle w:val="ListParagraph"/>
        <w:numPr>
          <w:ilvl w:val="0"/>
          <w:numId w:val="2"/>
        </w:numPr>
        <w:spacing w:after="100" w:line="360"/>
      </w:pPr>
      <w:r>
        <w:rPr>
          <w:rFonts w:ascii="Arial" w:cs="Arial" w:eastAsia="Arial" w:hAnsi="Arial"/>
          <w:sz w:val="24"/>
          <w:szCs w:val="24"/>
        </w:rPr>
        <w:t xml:space="preserve">Seurat R package for unsupervised clustering, differential feature analysis, and graph-based community detection in electrophysiological phenotype space</w:t>
      </w:r>
    </w:p>
    <w:p>
      <w:pPr>
        <w:pStyle w:val="ListParagraph"/>
        <w:numPr>
          <w:ilvl w:val="0"/>
          <w:numId w:val="2"/>
        </w:numPr>
        <w:spacing w:after="100" w:line="360"/>
      </w:pPr>
      <w:r>
        <w:rPr>
          <w:rFonts w:ascii="Arial" w:cs="Arial" w:eastAsia="Arial" w:hAnsi="Arial"/>
          <w:sz w:val="24"/>
          <w:szCs w:val="24"/>
        </w:rPr>
        <w:t xml:space="preserve">Reactome and KEGG pathway databases for pathway enrichment analysis and biological interpretation of identified phenotype clusters</w:t>
      </w:r>
    </w:p>
    <w:p>
      <w:pPr>
        <w:pStyle w:val="ListParagraph"/>
        <w:numPr>
          <w:ilvl w:val="0"/>
          <w:numId w:val="2"/>
        </w:numPr>
        <w:spacing w:after="100" w:line="360"/>
      </w:pPr>
      <w:r>
        <w:rPr>
          <w:rFonts w:ascii="Arial" w:cs="Arial" w:eastAsia="Arial" w:hAnsi="Arial"/>
          <w:sz w:val="24"/>
          <w:szCs w:val="24"/>
        </w:rPr>
        <w:t xml:space="preserve">String-DB and BioGRID protein interaction networks enabling identification of pathway hub genes and epistatic relationships</w:t>
      </w:r>
    </w:p>
    <w:p>
      <w:pPr>
        <w:pStyle w:val="ListParagraph"/>
        <w:numPr>
          <w:ilvl w:val="0"/>
          <w:numId w:val="2"/>
        </w:numPr>
        <w:spacing w:after="100" w:line="360"/>
      </w:pPr>
      <w:r>
        <w:rPr>
          <w:rFonts w:ascii="Arial" w:cs="Arial" w:eastAsia="Arial" w:hAnsi="Arial"/>
          <w:sz w:val="24"/>
          <w:szCs w:val="24"/>
        </w:rPr>
        <w:t xml:space="preserve">DeSeq2 and related statistical frameworks for differential electrophysiological feature analysis and effect size estimation</w:t>
      </w:r>
    </w:p>
    <w:p>
      <w:pPr>
        <w:pStyle w:val="ListParagraph"/>
        <w:numPr>
          <w:ilvl w:val="0"/>
          <w:numId w:val="2"/>
        </w:numPr>
        <w:spacing w:after="100" w:line="360"/>
      </w:pPr>
      <w:r>
        <w:rPr>
          <w:rFonts w:ascii="Arial" w:cs="Arial" w:eastAsia="Arial" w:hAnsi="Arial"/>
          <w:sz w:val="24"/>
          <w:szCs w:val="24"/>
        </w:rPr>
        <w:t xml:space="preserve">Gene2Phenotype and PsychPorts psychiatric disease-gene association databases for disease signature mapping and clinical validation</w:t>
      </w:r>
    </w:p>
    <w:p>
      <w:pPr>
        <w:pStyle w:val="ListParagraph"/>
        <w:numPr>
          <w:ilvl w:val="0"/>
          <w:numId w:val="2"/>
        </w:numPr>
        <w:spacing w:after="100" w:line="360"/>
      </w:pPr>
      <w:r>
        <w:rPr>
          <w:rFonts w:ascii="Arial" w:cs="Arial" w:eastAsia="Arial" w:hAnsi="Arial"/>
          <w:sz w:val="24"/>
          <w:szCs w:val="24"/>
        </w:rPr>
        <w:t xml:space="preserve">DrugBank, PubChem, and ChEMBL for comprehensive compound annotations, known pharmacology, and chemical structure standardization</w:t>
      </w:r>
    </w:p>
    <w:p>
      <w:pPr>
        <w:pStyle w:val="ListParagraph"/>
        <w:numPr>
          <w:ilvl w:val="0"/>
          <w:numId w:val="2"/>
        </w:numPr>
        <w:spacing w:after="100" w:line="360"/>
      </w:pPr>
      <w:r>
        <w:rPr>
          <w:rFonts w:ascii="Arial" w:cs="Arial" w:eastAsia="Arial" w:hAnsi="Arial"/>
          <w:sz w:val="24"/>
          <w:szCs w:val="24"/>
        </w:rPr>
        <w:t xml:space="preserve">SwissADME, ADMETlab, and proprietary PBPK models for BBB penetration prediction and pharmacokinetic property assessment</w:t>
      </w:r>
    </w:p>
    <w:p>
      <w:pPr>
        <w:pStyle w:val="ListParagraph"/>
        <w:numPr>
          <w:ilvl w:val="0"/>
          <w:numId w:val="2"/>
        </w:numPr>
        <w:spacing w:after="100" w:line="360"/>
      </w:pPr>
      <w:r>
        <w:rPr>
          <w:rFonts w:ascii="Arial" w:cs="Arial" w:eastAsia="Arial" w:hAnsi="Arial"/>
          <w:sz w:val="24"/>
          <w:szCs w:val="24"/>
        </w:rPr>
        <w:t xml:space="preserve">Kinase selectivity consensus scoring integrating DiscoverX selectivity panels, Eurofins kinase screening, and published literature for target selectivity assessment</w:t>
      </w:r>
    </w:p>
    <w:p>
      <w:pPr>
        <w:pStyle w:val="ListParagraph"/>
        <w:numPr>
          <w:ilvl w:val="0"/>
          <w:numId w:val="2"/>
        </w:numPr>
        <w:spacing w:after="100" w:line="360"/>
      </w:pPr>
      <w:r>
        <w:rPr>
          <w:rFonts w:ascii="Arial" w:cs="Arial" w:eastAsia="Arial" w:hAnsi="Arial"/>
          <w:sz w:val="24"/>
          <w:szCs w:val="24"/>
        </w:rPr>
        <w:t xml:space="preserve">OpenTargets Platform and LINCS L1000 gene perturbation signature databases for target deconvolution and mechanism-of-action inference</w:t>
      </w:r>
    </w:p>
    <w:p>
      <w:pPr>
        <w:pStyle w:val="ListParagraph"/>
        <w:numPr>
          <w:ilvl w:val="0"/>
          <w:numId w:val="2"/>
        </w:numPr>
        <w:spacing w:after="100" w:line="360"/>
      </w:pPr>
      <w:r>
        <w:rPr>
          <w:rFonts w:ascii="Arial" w:cs="Arial" w:eastAsia="Arial" w:hAnsi="Arial"/>
          <w:sz w:val="24"/>
          <w:szCs w:val="24"/>
        </w:rPr>
        <w:t xml:space="preserve">Single-cell RNA-seq deconvolution algorithms and CellKey integration tools enabling neuronal cell-type stratification and subpopulation-specific predictions</w:t>
      </w:r>
    </w:p>
    <w:p>
      <w:pPr>
        <w:pStyle w:val="ListParagraph"/>
        <w:numPr>
          <w:ilvl w:val="0"/>
          <w:numId w:val="2"/>
        </w:numPr>
        <w:spacing w:after="100" w:line="360"/>
      </w:pPr>
      <w:r>
        <w:rPr>
          <w:rFonts w:ascii="Arial" w:cs="Arial" w:eastAsia="Arial" w:hAnsi="Arial"/>
          <w:sz w:val="24"/>
          <w:szCs w:val="24"/>
        </w:rPr>
        <w:t xml:space="preserve">Bayesian network and causal inference frameworks identifying target-pathway-phenotype relationships robust to confounding and indirect regulatory effects</w:t>
      </w:r>
    </w:p>
    <w:p>
      <w:pPr>
        <w:pStyle w:val="ListParagraph"/>
        <w:numPr>
          <w:ilvl w:val="0"/>
          <w:numId w:val="2"/>
        </w:numPr>
        <w:spacing w:after="100" w:line="360"/>
      </w:pPr>
      <w:r>
        <w:rPr>
          <w:rFonts w:ascii="Arial" w:cs="Arial" w:eastAsia="Arial" w:hAnsi="Arial"/>
          <w:sz w:val="24"/>
          <w:szCs w:val="24"/>
        </w:rPr>
        <w:t xml:space="preserve">Sapphire Machine Learning Pipeline (ensemble XGBoost, random forests, and neural network models) trained on Quiver historical data for effect size prediction and confidence scoring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2026-03-04T01:31:44.523Z</dcterms:created>
  <dcterms:modified xsi:type="dcterms:W3CDTF">2026-03-04T01:31:44.523Z</dcterms:modified>
</cp:coreProperties>
</file>

<file path=docProps/custom.xml><?xml version="1.0" encoding="utf-8"?>
<Properties xmlns="http://schemas.openxmlformats.org/officeDocument/2006/custom-properties" xmlns:vt="http://schemas.openxmlformats.org/officeDocument/2006/docPropsVTypes"/>
</file>