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rPr>
          <w:rFonts w:ascii="Arial" w:cs="Arial" w:eastAsia="Arial" w:hAnsi="Arial"/>
          <w:b/>
          <w:bCs/>
          <w:sz w:val="32"/>
          <w:szCs w:val="32"/>
        </w:rPr>
        <w:t xml:space="preserve">Sapphire Pipeline Workflow: mTOR-Independent Autophagy Enhancers for Neurodegeneration</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Identify mTOR-independent autophagy enhancers for neurodegeneration.</w:t>
      </w:r>
    </w:p>
    <w:p>
      <w:pPr>
        <w:spacing w:after="200" w:line="360"/>
      </w:pPr>
      <w:r>
        <w:rPr>
          <w:rFonts w:ascii="Arial" w:cs="Arial" w:eastAsia="Arial" w:hAnsi="Arial"/>
          <w:sz w:val="24"/>
          <w:szCs w:val="24"/>
        </w:rPr>
        <w:t xml:space="preserve">This pipeline identifies small molecules that enhance neuronal autophagy through mTOR-independent mechanisms, particularly targeting alternative pathways such as AMPK activation, SIRT1/SIRT3 enhancement, VCP/p97 augmentation, and direct ATG gene activation. mTOR inhibition-based autophagy enhancement carries significant risks of metabolic collapse and cognitive impairment; consequently, this pipeline prioritizes compounds bypassing mTOR to activate parallel autophagy cascades. The Quiver EP CRISPR atlas reveals how autophagy pathway genes affect neuronal homeostasis and proteostatic burden—measured through electrophysiological resilience, firing pattern stability, and synaptic plasticity.</w:t>
      </w:r>
    </w:p>
    <w:p>
      <w:pPr>
        <w:spacing w:after="200" w:line="360"/>
      </w:pPr>
      <w:r>
        <w:rPr>
          <w:rFonts w:ascii="Arial" w:cs="Arial" w:eastAsia="Arial" w:hAnsi="Arial"/>
          <w:sz w:val="24"/>
          <w:szCs w:val="24"/>
        </w:rPr>
        <w:t xml:space="preserve">By integrating neuronal autophagy flux measurements (LC3-II/LC3-I turnover, p62 clearance, autolysosomal dynamics) with electrophysiological signatures of proteostatic stress (bursting instability, excitotoxic sensitivity), this pipeline identifies compounds that enhance autophagy without suppressing neurotransmitter synthesis, synaptic plasticity, or metabolic stability. The strategy emphasizes mTOR-independent activators of AMPK/SIRT axes, direct ATG pathway inducers, and VCP enhancers that promote clearance of disease-relevant protein aggregates (amyloid-β, tau, alpha-synuclein, TDP-43) while maintaining neuronal function.</w:t>
      </w:r>
    </w:p>
    <w:p>
      <w:pPr>
        <w:pStyle w:val="Heading2"/>
        <w:spacing w:after="200" w:before="200"/>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This Sapphire pipeline integrates six sequential stages to systematically identify and rank de-risked therapeutic compounds. The workflow begins with disease-specific electrophysiological signature profiling using patient-derived and genetic model neurons from the Quiver Bioscience platform. Each subsequent stage applies increasingly selective filtering: CRISPR-based gene discovery identifies rescue mechanisms, compound screening validates pharmacological feasibility, and clinical evidence prioritizes molecules with real-world proof-of-concept.</w:t>
      </w:r>
    </w:p>
    <w:p>
      <w:pPr>
        <w:spacing w:after="200" w:line="360"/>
      </w:pPr>
      <w:r>
        <w:rPr>
          <w:rFonts w:ascii="Arial" w:cs="Arial" w:eastAsia="Arial" w:hAnsi="Arial"/>
          <w:sz w:val="24"/>
          <w:szCs w:val="24"/>
        </w:rPr>
        <w:t xml:space="preserve">Multi-modal integration across electrophysiological rescue, molecular mechanism consensus, and clinical biomarker validation ensures that top-ranked compounds address the disease's root dysfunctions rather than treating isolated symptoms. The pipeline outputs actionable compounds ready for IND-enabling studies, with predicted biomarker trajectories and patient enrichment strategies that increase Phase II/III success probability.</w:t>
      </w:r>
    </w:p>
    <w:p>
      <w:pPr>
        <w:pStyle w:val="Heading2"/>
        <w:spacing w:after="200" w:before="200"/>
      </w:pPr>
      <w:r>
        <w:rPr>
          <w:rFonts w:ascii="Arial" w:cs="Arial" w:eastAsia="Arial" w:hAnsi="Arial"/>
          <w:b/>
          <w:bCs/>
          <w:sz w:val="28"/>
          <w:szCs w:val="28"/>
        </w:rPr>
        <w:t xml:space="preserve">Stage 1: Neuronal Autophagy Flux Profiling &amp; mTOR-Independence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Profile neuronal autophagy flux dynamics in proteostatic stress models, establish baseline autophagy capacity, and dissect mTOR-dependent vs. mTOR-independent autophagy regulation through CRISPR/pharmacologic perturbations.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Primary neurons and iPSC-derived neurons with protein aggregation burden (amyloid-β, tau, alpha-synuclein, TDP-43 models)</w:t>
      </w:r>
    </w:p>
    <w:p>
      <w:pPr>
        <w:pStyle w:val="ListParagraph"/>
        <w:numPr>
          <w:ilvl w:val="0"/>
          <w:numId w:val="2"/>
        </w:numPr>
        <w:spacing w:after="100" w:line="360"/>
      </w:pPr>
      <w:r>
        <w:rPr>
          <w:rFonts w:ascii="Arial" w:cs="Arial" w:eastAsia="Arial" w:hAnsi="Arial"/>
          <w:sz w:val="24"/>
          <w:szCs w:val="24"/>
        </w:rPr>
        <w:t xml:space="preserve">Autophagy flux reporters: GFP-LC3, mCherry-GFP-LC3 (autophagic flux; green signal only in autolysosome = flux)</w:t>
      </w:r>
    </w:p>
    <w:p>
      <w:pPr>
        <w:pStyle w:val="ListParagraph"/>
        <w:numPr>
          <w:ilvl w:val="0"/>
          <w:numId w:val="2"/>
        </w:numPr>
        <w:spacing w:after="100" w:line="360"/>
      </w:pPr>
      <w:r>
        <w:rPr>
          <w:rFonts w:ascii="Arial" w:cs="Arial" w:eastAsia="Arial" w:hAnsi="Arial"/>
          <w:sz w:val="24"/>
          <w:szCs w:val="24"/>
        </w:rPr>
        <w:t xml:space="preserve">Autophagy substrate measurements: p62/SQSTM1 levels, ubiquitinated protein aggregates, LC3-II/LC3-I ratio (biochemistry + imaging)</w:t>
      </w:r>
    </w:p>
    <w:p>
      <w:pPr>
        <w:pStyle w:val="ListParagraph"/>
        <w:numPr>
          <w:ilvl w:val="0"/>
          <w:numId w:val="2"/>
        </w:numPr>
        <w:spacing w:after="100" w:line="360"/>
      </w:pPr>
      <w:r>
        <w:rPr>
          <w:rFonts w:ascii="Arial" w:cs="Arial" w:eastAsia="Arial" w:hAnsi="Arial"/>
          <w:sz w:val="24"/>
          <w:szCs w:val="24"/>
        </w:rPr>
        <w:t xml:space="preserve">Electrophysiological recordings in autophagy-perturbed neurons (baseline + mTOR inhibition + mTOR-independent enhancers)</w:t>
      </w:r>
    </w:p>
    <w:p>
      <w:pPr>
        <w:pStyle w:val="ListParagraph"/>
        <w:numPr>
          <w:ilvl w:val="0"/>
          <w:numId w:val="2"/>
        </w:numPr>
        <w:spacing w:after="100" w:line="360"/>
      </w:pPr>
      <w:r>
        <w:rPr>
          <w:rFonts w:ascii="Arial" w:cs="Arial" w:eastAsia="Arial" w:hAnsi="Arial"/>
          <w:sz w:val="24"/>
          <w:szCs w:val="24"/>
        </w:rPr>
        <w:t xml:space="preserve">Metabolic activity measures: ATP/ADP ratio, NAD+/NADH, glucose utilization, mitochondrial membrane potential</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Bioscience EP CRISPR Atlas (ATG genes, mTOR, AMPK, SIRT1/3, VCP/p97 perturbations)</w:t>
      </w:r>
    </w:p>
    <w:p>
      <w:pPr>
        <w:pStyle w:val="ListParagraph"/>
        <w:numPr>
          <w:ilvl w:val="0"/>
          <w:numId w:val="2"/>
        </w:numPr>
        <w:spacing w:after="100" w:line="360"/>
      </w:pPr>
      <w:r>
        <w:rPr>
          <w:rFonts w:ascii="Arial" w:cs="Arial" w:eastAsia="Arial" w:hAnsi="Arial"/>
          <w:sz w:val="24"/>
          <w:szCs w:val="24"/>
        </w:rPr>
        <w:t xml:space="preserve">Autophagy flux analysis pipeline (live-cell confocal mCherry-GFP-LC3 quantification, flux rate calculation)</w:t>
      </w:r>
    </w:p>
    <w:p>
      <w:pPr>
        <w:pStyle w:val="ListParagraph"/>
        <w:numPr>
          <w:ilvl w:val="0"/>
          <w:numId w:val="2"/>
        </w:numPr>
        <w:spacing w:after="100" w:line="360"/>
      </w:pPr>
      <w:r>
        <w:rPr>
          <w:rFonts w:ascii="Arial" w:cs="Arial" w:eastAsia="Arial" w:hAnsi="Arial"/>
          <w:sz w:val="24"/>
          <w:szCs w:val="24"/>
        </w:rPr>
        <w:t xml:space="preserve">Proteostatic stress classifier: protein aggregation burden ↔ EP dysregulation correlation</w:t>
      </w:r>
    </w:p>
    <w:p>
      <w:pPr>
        <w:pStyle w:val="ListParagraph"/>
        <w:numPr>
          <w:ilvl w:val="0"/>
          <w:numId w:val="2"/>
        </w:numPr>
        <w:spacing w:after="100" w:line="360"/>
      </w:pPr>
      <w:r>
        <w:rPr>
          <w:rFonts w:ascii="Arial" w:cs="Arial" w:eastAsia="Arial" w:hAnsi="Arial"/>
          <w:sz w:val="24"/>
          <w:szCs w:val="24"/>
        </w:rPr>
        <w:t xml:space="preserve">mTOR-independent pathway mapper: AMPK, SIRT1, SIRT3, VCP cascade activation tracking</w:t>
      </w:r>
    </w:p>
    <w:p>
      <w:pPr>
        <w:pStyle w:val="ListParagraph"/>
        <w:numPr>
          <w:ilvl w:val="0"/>
          <w:numId w:val="2"/>
        </w:numPr>
        <w:spacing w:after="100" w:line="360"/>
      </w:pPr>
      <w:r>
        <w:rPr>
          <w:rFonts w:ascii="Arial" w:cs="Arial" w:eastAsia="Arial" w:hAnsi="Arial"/>
          <w:sz w:val="24"/>
          <w:szCs w:val="24"/>
        </w:rPr>
        <w:t xml:space="preserve">Metabolic resilience analyzer: ATP/redox state under autophagy modulation</w:t>
      </w:r>
    </w:p>
    <w:p>
      <w:pPr>
        <w:pStyle w:val="ListParagraph"/>
        <w:numPr>
          <w:ilvl w:val="0"/>
          <w:numId w:val="2"/>
        </w:numPr>
        <w:spacing w:after="100" w:line="360"/>
      </w:pPr>
      <w:r>
        <w:rPr>
          <w:rFonts w:ascii="Arial" w:cs="Arial" w:eastAsia="Arial" w:hAnsi="Arial"/>
          <w:sz w:val="24"/>
          <w:szCs w:val="24"/>
        </w:rPr>
        <w:t xml:space="preserve">Firing pattern stability analyzer under proteostatic stress (burst variability, interspike interval CV)</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is the baseline neuronal autophagy flux in protein aggregation models?</w:t>
      </w:r>
    </w:p>
    <w:p>
      <w:pPr>
        <w:pStyle w:val="ListParagraph"/>
        <w:numPr>
          <w:ilvl w:val="0"/>
          <w:numId w:val="2"/>
        </w:numPr>
        <w:spacing w:after="100" w:line="360"/>
      </w:pPr>
      <w:r>
        <w:rPr>
          <w:rFonts w:ascii="Arial" w:cs="Arial" w:eastAsia="Arial" w:hAnsi="Arial"/>
          <w:sz w:val="24"/>
          <w:szCs w:val="24"/>
        </w:rPr>
        <w:t xml:space="preserve">How do mTOR inhibitors vs. mTOR-independent AMPK activators differ in autophagy induction and metabolic costs?</w:t>
      </w:r>
    </w:p>
    <w:p>
      <w:pPr>
        <w:pStyle w:val="ListParagraph"/>
        <w:numPr>
          <w:ilvl w:val="0"/>
          <w:numId w:val="2"/>
        </w:numPr>
        <w:spacing w:after="100" w:line="360"/>
      </w:pPr>
      <w:r>
        <w:rPr>
          <w:rFonts w:ascii="Arial" w:cs="Arial" w:eastAsia="Arial" w:hAnsi="Arial"/>
          <w:sz w:val="24"/>
          <w:szCs w:val="24"/>
        </w:rPr>
        <w:t xml:space="preserve">Which EP features indicate proteostatic stress (bursting instability, firing rate variance)?</w:t>
      </w:r>
    </w:p>
    <w:p>
      <w:pPr>
        <w:pStyle w:val="ListParagraph"/>
        <w:numPr>
          <w:ilvl w:val="0"/>
          <w:numId w:val="2"/>
        </w:numPr>
        <w:spacing w:after="100" w:line="360"/>
      </w:pPr>
      <w:r>
        <w:rPr>
          <w:rFonts w:ascii="Arial" w:cs="Arial" w:eastAsia="Arial" w:hAnsi="Arial"/>
          <w:sz w:val="24"/>
          <w:szCs w:val="24"/>
        </w:rPr>
        <w:t xml:space="preserve">Do neurons with enhanced autophagy flux (mTOR-independent) maintain synaptic plasticity better?</w:t>
      </w:r>
    </w:p>
    <w:p>
      <w:pPr>
        <w:pStyle w:val="ListParagraph"/>
        <w:numPr>
          <w:ilvl w:val="0"/>
          <w:numId w:val="2"/>
        </w:numPr>
        <w:spacing w:after="100" w:line="360"/>
      </w:pPr>
      <w:r>
        <w:rPr>
          <w:rFonts w:ascii="Arial" w:cs="Arial" w:eastAsia="Arial" w:hAnsi="Arial"/>
          <w:sz w:val="24"/>
          <w:szCs w:val="24"/>
        </w:rPr>
        <w:t xml:space="preserve">How does autophagy flux correlate with clearance of specific protein aggregates (amyloid, tau, alpha-syn, TDP-43)?</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Baseline neuronal autophagy flux profile: LC3-II/LC3-I ratios, p62 clearance kinetics, autophagic flux rates per protein burden type</w:t>
      </w:r>
    </w:p>
    <w:p>
      <w:pPr>
        <w:pStyle w:val="ListParagraph"/>
        <w:numPr>
          <w:ilvl w:val="0"/>
          <w:numId w:val="2"/>
        </w:numPr>
        <w:spacing w:after="100" w:line="360"/>
      </w:pPr>
      <w:r>
        <w:rPr>
          <w:rFonts w:ascii="Arial" w:cs="Arial" w:eastAsia="Arial" w:hAnsi="Arial"/>
          <w:sz w:val="24"/>
          <w:szCs w:val="24"/>
        </w:rPr>
        <w:t xml:space="preserve">mTOR-dependent vs. mTOR-independent autophagy split: pathway contribution quantification (AMPK, SIRT1/3, VCP, direct ATG activation)</w:t>
      </w:r>
    </w:p>
    <w:p>
      <w:pPr>
        <w:pStyle w:val="ListParagraph"/>
        <w:numPr>
          <w:ilvl w:val="0"/>
          <w:numId w:val="2"/>
        </w:numPr>
        <w:spacing w:after="100" w:line="360"/>
      </w:pPr>
      <w:r>
        <w:rPr>
          <w:rFonts w:ascii="Arial" w:cs="Arial" w:eastAsia="Arial" w:hAnsi="Arial"/>
          <w:sz w:val="24"/>
          <w:szCs w:val="24"/>
        </w:rPr>
        <w:t xml:space="preserve">Proteostatic stress EP signature: dysregulated features ranking (burst frequency variance, firing stability, plasticity metrics)</w:t>
      </w:r>
    </w:p>
    <w:p>
      <w:pPr>
        <w:pStyle w:val="ListParagraph"/>
        <w:numPr>
          <w:ilvl w:val="0"/>
          <w:numId w:val="2"/>
        </w:numPr>
        <w:spacing w:after="100" w:line="360"/>
      </w:pPr>
      <w:r>
        <w:rPr>
          <w:rFonts w:ascii="Arial" w:cs="Arial" w:eastAsia="Arial" w:hAnsi="Arial"/>
          <w:sz w:val="24"/>
          <w:szCs w:val="24"/>
        </w:rPr>
        <w:t xml:space="preserve">Protein aggregate clearance rates per autophagy pathway: amyloid, tau, alpha-synuclein, TDP-43 degradation kinetics</w:t>
      </w:r>
    </w:p>
    <w:p>
      <w:pPr>
        <w:pStyle w:val="ListParagraph"/>
        <w:numPr>
          <w:ilvl w:val="0"/>
          <w:numId w:val="2"/>
        </w:numPr>
        <w:spacing w:after="100" w:line="360"/>
      </w:pPr>
      <w:r>
        <w:rPr>
          <w:rFonts w:ascii="Arial" w:cs="Arial" w:eastAsia="Arial" w:hAnsi="Arial"/>
          <w:sz w:val="24"/>
          <w:szCs w:val="24"/>
        </w:rPr>
        <w:t xml:space="preserve">Metabolic cost analysis: ATP/ADP, NAD+/NADH changes under mTOR inhibition vs. mTOR-independent enhancement</w:t>
      </w:r>
    </w:p>
    <w:p>
      <w:pPr>
        <w:pStyle w:val="ListParagraph"/>
        <w:numPr>
          <w:ilvl w:val="0"/>
          <w:numId w:val="2"/>
        </w:numPr>
        <w:spacing w:after="100" w:line="360"/>
      </w:pPr>
      <w:r>
        <w:rPr>
          <w:rFonts w:ascii="Arial" w:cs="Arial" w:eastAsia="Arial" w:hAnsi="Arial"/>
          <w:sz w:val="24"/>
          <w:szCs w:val="24"/>
        </w:rPr>
        <w:t xml:space="preserve">EP resilience scoring: autophagy-enhanced neurons maintaining synaptic plasticity, bursting stability, and firing range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Structured JSON with autophagy flux profiles, pathway contribution analysis, proteostatic-EP correlations, and metabolic cost assessments</w:t>
      </w:r>
    </w:p>
    <w:p>
      <w:pPr>
        <w:pStyle w:val="Heading2"/>
        <w:spacing w:after="200" w:before="200"/>
      </w:pPr>
      <w:r>
        <w:rPr>
          <w:rFonts w:ascii="Arial" w:cs="Arial" w:eastAsia="Arial" w:hAnsi="Arial"/>
          <w:b/>
          <w:bCs/>
          <w:sz w:val="28"/>
          <w:szCs w:val="28"/>
        </w:rPr>
        <w:t xml:space="preserve">Stage 2: Discovery of mTOR-Independent Autophagy Enhancer Genes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Mine the Quiver CRISPR atlas to identify genes whose augmentation enhances autophagy through mTOR-independent mechanisms (AMPK, SIRT1/3, VCP, ATG pathway direct activators) while preserving neuronal electrophysiological function.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Neuronal autophagy flux profiles from Stage 1</w:t>
      </w:r>
    </w:p>
    <w:p>
      <w:pPr>
        <w:pStyle w:val="ListParagraph"/>
        <w:numPr>
          <w:ilvl w:val="0"/>
          <w:numId w:val="2"/>
        </w:numPr>
        <w:spacing w:after="100" w:line="360"/>
      </w:pPr>
      <w:r>
        <w:rPr>
          <w:rFonts w:ascii="Arial" w:cs="Arial" w:eastAsia="Arial" w:hAnsi="Arial"/>
          <w:sz w:val="24"/>
          <w:szCs w:val="24"/>
        </w:rPr>
        <w:t xml:space="preserve">Quiver CRISPR atlas: AMPK, SIRT1, SIRT3, VCP/p97, ATG1-ATG14, ATG16L1, WIPI, UVRAG perturbations in proteostatic stress models</w:t>
      </w:r>
    </w:p>
    <w:p>
      <w:pPr>
        <w:pStyle w:val="ListParagraph"/>
        <w:numPr>
          <w:ilvl w:val="0"/>
          <w:numId w:val="2"/>
        </w:numPr>
        <w:spacing w:after="100" w:line="360"/>
      </w:pPr>
      <w:r>
        <w:rPr>
          <w:rFonts w:ascii="Arial" w:cs="Arial" w:eastAsia="Arial" w:hAnsi="Arial"/>
          <w:sz w:val="24"/>
          <w:szCs w:val="24"/>
        </w:rPr>
        <w:t xml:space="preserve">mTOR pathway database (mTORC1, mTORC2, downstream effectors S6K, 4E-BP1)</w:t>
      </w:r>
    </w:p>
    <w:p>
      <w:pPr>
        <w:pStyle w:val="ListParagraph"/>
        <w:numPr>
          <w:ilvl w:val="0"/>
          <w:numId w:val="2"/>
        </w:numPr>
        <w:spacing w:after="100" w:line="360"/>
      </w:pPr>
      <w:r>
        <w:rPr>
          <w:rFonts w:ascii="Arial" w:cs="Arial" w:eastAsia="Arial" w:hAnsi="Arial"/>
          <w:sz w:val="24"/>
          <w:szCs w:val="24"/>
        </w:rPr>
        <w:t xml:space="preserve">SIRT/AMPK-FOXO network (nutrient sensing, stress response cascades)</w:t>
      </w:r>
    </w:p>
    <w:p>
      <w:pPr>
        <w:pStyle w:val="ListParagraph"/>
        <w:numPr>
          <w:ilvl w:val="0"/>
          <w:numId w:val="2"/>
        </w:numPr>
        <w:spacing w:after="100" w:line="360"/>
      </w:pPr>
      <w:r>
        <w:rPr>
          <w:rFonts w:ascii="Arial" w:cs="Arial" w:eastAsia="Arial" w:hAnsi="Arial"/>
          <w:sz w:val="24"/>
          <w:szCs w:val="24"/>
        </w:rPr>
        <w:t xml:space="preserve">Proteostasis pathway genes (HSP70, CHIP, proteasome, autophagy substrate recognizers)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mTOR-independent autophagy CRISPR query (flux enhancement without mTOR inhibition)</w:t>
      </w:r>
    </w:p>
    <w:p>
      <w:pPr>
        <w:pStyle w:val="ListParagraph"/>
        <w:numPr>
          <w:ilvl w:val="0"/>
          <w:numId w:val="2"/>
        </w:numPr>
        <w:spacing w:after="100" w:line="360"/>
      </w:pPr>
      <w:r>
        <w:rPr>
          <w:rFonts w:ascii="Arial" w:cs="Arial" w:eastAsia="Arial" w:hAnsi="Arial"/>
          <w:sz w:val="24"/>
          <w:szCs w:val="24"/>
        </w:rPr>
        <w:t xml:space="preserve">Autophagy pathway activation predictor: AMPK/SIRT/VCP/ATG flux changes per CRISPR gene</w:t>
      </w:r>
    </w:p>
    <w:p>
      <w:pPr>
        <w:pStyle w:val="ListParagraph"/>
        <w:numPr>
          <w:ilvl w:val="0"/>
          <w:numId w:val="2"/>
        </w:numPr>
        <w:spacing w:after="100" w:line="360"/>
      </w:pPr>
      <w:r>
        <w:rPr>
          <w:rFonts w:ascii="Arial" w:cs="Arial" w:eastAsia="Arial" w:hAnsi="Arial"/>
          <w:sz w:val="24"/>
          <w:szCs w:val="24"/>
        </w:rPr>
        <w:t xml:space="preserve">EP function preservation scorer: CRISPR genes enhancing autophagy without synaptic/metabolic toxicity</w:t>
      </w:r>
    </w:p>
    <w:p>
      <w:pPr>
        <w:pStyle w:val="ListParagraph"/>
        <w:numPr>
          <w:ilvl w:val="0"/>
          <w:numId w:val="2"/>
        </w:numPr>
        <w:spacing w:after="100" w:line="360"/>
      </w:pPr>
      <w:r>
        <w:rPr>
          <w:rFonts w:ascii="Arial" w:cs="Arial" w:eastAsia="Arial" w:hAnsi="Arial"/>
          <w:sz w:val="24"/>
          <w:szCs w:val="24"/>
        </w:rPr>
        <w:t xml:space="preserve">mTOR-independent pathway dissector: AMPK vs. SIRT vs. VCP vs. direct ATG activation contributions</w:t>
      </w:r>
    </w:p>
    <w:p>
      <w:pPr>
        <w:pStyle w:val="ListParagraph"/>
        <w:numPr>
          <w:ilvl w:val="0"/>
          <w:numId w:val="2"/>
        </w:numPr>
        <w:spacing w:after="100" w:line="360"/>
      </w:pPr>
      <w:r>
        <w:rPr>
          <w:rFonts w:ascii="Arial" w:cs="Arial" w:eastAsia="Arial" w:hAnsi="Arial"/>
          <w:sz w:val="24"/>
          <w:szCs w:val="24"/>
        </w:rPr>
        <w:t xml:space="preserve">Protein aggregate clearance enhancer scorer: amyloid/tau/alpha-syn/TDP-43 degradation per gene</w:t>
      </w:r>
    </w:p>
    <w:p>
      <w:pPr>
        <w:pStyle w:val="ListParagraph"/>
        <w:numPr>
          <w:ilvl w:val="0"/>
          <w:numId w:val="2"/>
        </w:numPr>
        <w:spacing w:after="100" w:line="360"/>
      </w:pPr>
      <w:r>
        <w:rPr>
          <w:rFonts w:ascii="Arial" w:cs="Arial" w:eastAsia="Arial" w:hAnsi="Arial"/>
          <w:sz w:val="24"/>
          <w:szCs w:val="24"/>
        </w:rPr>
        <w:t xml:space="preserve">Network analysis: nutrient sensing ↔ autophagy ↔ neuronal function axis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CRISPR augmentations (gain-of-function overexpression) enhance autophagy without mTOR inhibition?</w:t>
      </w:r>
    </w:p>
    <w:p>
      <w:pPr>
        <w:pStyle w:val="ListParagraph"/>
        <w:numPr>
          <w:ilvl w:val="0"/>
          <w:numId w:val="2"/>
        </w:numPr>
        <w:spacing w:after="100" w:line="360"/>
      </w:pPr>
      <w:r>
        <w:rPr>
          <w:rFonts w:ascii="Arial" w:cs="Arial" w:eastAsia="Arial" w:hAnsi="Arial"/>
          <w:sz w:val="24"/>
          <w:szCs w:val="24"/>
        </w:rPr>
        <w:t xml:space="preserve">Do AMPK, SIRT1, or SIRT3 enhancements activate autophagy while preserving EP function?</w:t>
      </w:r>
    </w:p>
    <w:p>
      <w:pPr>
        <w:pStyle w:val="ListParagraph"/>
        <w:numPr>
          <w:ilvl w:val="0"/>
          <w:numId w:val="2"/>
        </w:numPr>
        <w:spacing w:after="100" w:line="360"/>
      </w:pPr>
      <w:r>
        <w:rPr>
          <w:rFonts w:ascii="Arial" w:cs="Arial" w:eastAsia="Arial" w:hAnsi="Arial"/>
          <w:sz w:val="24"/>
          <w:szCs w:val="24"/>
        </w:rPr>
        <w:t xml:space="preserve">Which VCP/p97 augmentations improve protein clearance without metabolic collapse?</w:t>
      </w:r>
    </w:p>
    <w:p>
      <w:pPr>
        <w:pStyle w:val="ListParagraph"/>
        <w:numPr>
          <w:ilvl w:val="0"/>
          <w:numId w:val="2"/>
        </w:numPr>
        <w:spacing w:after="100" w:line="360"/>
      </w:pPr>
      <w:r>
        <w:rPr>
          <w:rFonts w:ascii="Arial" w:cs="Arial" w:eastAsia="Arial" w:hAnsi="Arial"/>
          <w:sz w:val="24"/>
          <w:szCs w:val="24"/>
        </w:rPr>
        <w:t xml:space="preserve">What direct ATG gene augmentations (ATG5, ATG7, ATG16L1) enhance flux independently of upstream regulators?</w:t>
      </w:r>
    </w:p>
    <w:p>
      <w:pPr>
        <w:pStyle w:val="ListParagraph"/>
        <w:numPr>
          <w:ilvl w:val="0"/>
          <w:numId w:val="2"/>
        </w:numPr>
        <w:spacing w:after="100" w:line="360"/>
      </w:pPr>
      <w:r>
        <w:rPr>
          <w:rFonts w:ascii="Arial" w:cs="Arial" w:eastAsia="Arial" w:hAnsi="Arial"/>
          <w:sz w:val="24"/>
          <w:szCs w:val="24"/>
        </w:rPr>
        <w:t xml:space="preserve">Are there synergistic CRISPR combinations (AMPK + SIRT1, VCP + ATG) maximizing autophagy without toxicity?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Ranked mTOR-independent autophagy enhancer gene list (top 50+): ranked by autophagy induction strength + EP preservation</w:t>
      </w:r>
    </w:p>
    <w:p>
      <w:pPr>
        <w:pStyle w:val="ListParagraph"/>
        <w:numPr>
          <w:ilvl w:val="0"/>
          <w:numId w:val="2"/>
        </w:numPr>
        <w:spacing w:after="100" w:line="360"/>
      </w:pPr>
      <w:r>
        <w:rPr>
          <w:rFonts w:ascii="Arial" w:cs="Arial" w:eastAsia="Arial" w:hAnsi="Arial"/>
          <w:sz w:val="24"/>
          <w:szCs w:val="24"/>
        </w:rPr>
        <w:t xml:space="preserve">Pathway contribution matrix: AMPK vs. SIRT1 vs. SIRT3 vs. VCP vs. direct ATG activation per gene</w:t>
      </w:r>
    </w:p>
    <w:p>
      <w:pPr>
        <w:pStyle w:val="ListParagraph"/>
        <w:numPr>
          <w:ilvl w:val="0"/>
          <w:numId w:val="2"/>
        </w:numPr>
        <w:spacing w:after="100" w:line="360"/>
      </w:pPr>
      <w:r>
        <w:rPr>
          <w:rFonts w:ascii="Arial" w:cs="Arial" w:eastAsia="Arial" w:hAnsi="Arial"/>
          <w:sz w:val="24"/>
          <w:szCs w:val="24"/>
        </w:rPr>
        <w:t xml:space="preserve">Autophagy flux enhancement per gene: LC3-II/LC3-I increase (%), p62 clearance acceleration (%)</w:t>
      </w:r>
    </w:p>
    <w:p>
      <w:pPr>
        <w:pStyle w:val="ListParagraph"/>
        <w:numPr>
          <w:ilvl w:val="0"/>
          <w:numId w:val="2"/>
        </w:numPr>
        <w:spacing w:after="100" w:line="360"/>
      </w:pPr>
      <w:r>
        <w:rPr>
          <w:rFonts w:ascii="Arial" w:cs="Arial" w:eastAsia="Arial" w:hAnsi="Arial"/>
          <w:sz w:val="24"/>
          <w:szCs w:val="24"/>
        </w:rPr>
        <w:t xml:space="preserve">EP function preservation scoring: neuronal firing stability, synaptic plasticity, bursting patterns maintained</w:t>
      </w:r>
    </w:p>
    <w:p>
      <w:pPr>
        <w:pStyle w:val="ListParagraph"/>
        <w:numPr>
          <w:ilvl w:val="0"/>
          <w:numId w:val="2"/>
        </w:numPr>
        <w:spacing w:after="100" w:line="360"/>
      </w:pPr>
      <w:r>
        <w:rPr>
          <w:rFonts w:ascii="Arial" w:cs="Arial" w:eastAsia="Arial" w:hAnsi="Arial"/>
          <w:sz w:val="24"/>
          <w:szCs w:val="24"/>
        </w:rPr>
        <w:t xml:space="preserve">Protein aggregate clearance optimization per gene: amyloid/tau/alpha-syn/TDP-43 degradation enhancement (%)</w:t>
      </w:r>
    </w:p>
    <w:p>
      <w:pPr>
        <w:pStyle w:val="ListParagraph"/>
        <w:numPr>
          <w:ilvl w:val="0"/>
          <w:numId w:val="2"/>
        </w:numPr>
        <w:spacing w:after="100" w:line="360"/>
      </w:pPr>
      <w:r>
        <w:rPr>
          <w:rFonts w:ascii="Arial" w:cs="Arial" w:eastAsia="Arial" w:hAnsi="Arial"/>
          <w:sz w:val="24"/>
          <w:szCs w:val="24"/>
        </w:rPr>
        <w:t xml:space="preserve">Druggability assessment: small molecule activators/enhancers available for each mTOR-independent autophagy gene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Ranked TSV with mTOR-independent genes, pathway classification, autophagy flux changes, EP preservation, and druggability</w:t>
      </w:r>
    </w:p>
    <w:p>
      <w:pPr>
        <w:pStyle w:val="Heading2"/>
        <w:spacing w:after="200" w:before="200"/>
      </w:pPr>
      <w:r>
        <w:rPr>
          <w:rFonts w:ascii="Arial" w:cs="Arial" w:eastAsia="Arial" w:hAnsi="Arial"/>
          <w:b/>
          <w:bCs/>
          <w:sz w:val="28"/>
          <w:szCs w:val="28"/>
        </w:rPr>
        <w:t xml:space="preserve">Stage 3: mTOR-Independent Autophagy Modulator Compound Screening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Screen the ~3,500 compound library for molecules enhancing neuronal autophagy through mTOR-independent pathways (AMPK activators, SIRT enhancers, VCP inducers, direct ATG inducers, lysosomal function enhancers).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50 mTOR-independent autophagy enhancer genes from Stage 2</w:t>
      </w:r>
    </w:p>
    <w:p>
      <w:pPr>
        <w:pStyle w:val="ListParagraph"/>
        <w:numPr>
          <w:ilvl w:val="0"/>
          <w:numId w:val="2"/>
        </w:numPr>
        <w:spacing w:after="100" w:line="360"/>
      </w:pPr>
      <w:r>
        <w:rPr>
          <w:rFonts w:ascii="Arial" w:cs="Arial" w:eastAsia="Arial" w:hAnsi="Arial"/>
          <w:sz w:val="24"/>
          <w:szCs w:val="24"/>
        </w:rPr>
        <w:t xml:space="preserve">Quiver compound library (~3,500) with autophagy flux and EP phenotypes</w:t>
      </w:r>
    </w:p>
    <w:p>
      <w:pPr>
        <w:pStyle w:val="ListParagraph"/>
        <w:numPr>
          <w:ilvl w:val="0"/>
          <w:numId w:val="2"/>
        </w:numPr>
        <w:spacing w:after="100" w:line="360"/>
      </w:pPr>
      <w:r>
        <w:rPr>
          <w:rFonts w:ascii="Arial" w:cs="Arial" w:eastAsia="Arial" w:hAnsi="Arial"/>
          <w:sz w:val="24"/>
          <w:szCs w:val="24"/>
        </w:rPr>
        <w:t xml:space="preserve">AMPK activator compounds database (A-769662, MK-8722, PF-06409577, etc.)</w:t>
      </w:r>
    </w:p>
    <w:p>
      <w:pPr>
        <w:pStyle w:val="ListParagraph"/>
        <w:numPr>
          <w:ilvl w:val="0"/>
          <w:numId w:val="2"/>
        </w:numPr>
        <w:spacing w:after="100" w:line="360"/>
      </w:pPr>
      <w:r>
        <w:rPr>
          <w:rFonts w:ascii="Arial" w:cs="Arial" w:eastAsia="Arial" w:hAnsi="Arial"/>
          <w:sz w:val="24"/>
          <w:szCs w:val="24"/>
        </w:rPr>
        <w:t xml:space="preserve">SIRT activator database (resveratrol, SRT1720, SRT2104, etc.)</w:t>
      </w:r>
    </w:p>
    <w:p>
      <w:pPr>
        <w:pStyle w:val="ListParagraph"/>
        <w:numPr>
          <w:ilvl w:val="0"/>
          <w:numId w:val="2"/>
        </w:numPr>
        <w:spacing w:after="100" w:line="360"/>
      </w:pPr>
      <w:r>
        <w:rPr>
          <w:rFonts w:ascii="Arial" w:cs="Arial" w:eastAsia="Arial" w:hAnsi="Arial"/>
          <w:sz w:val="24"/>
          <w:szCs w:val="24"/>
        </w:rPr>
        <w:t xml:space="preserve">VCP/p97 enhancer compounds (selective VCP activators, mitochondrial VCP modulators)</w:t>
      </w:r>
    </w:p>
    <w:p>
      <w:pPr>
        <w:pStyle w:val="ListParagraph"/>
        <w:numPr>
          <w:ilvl w:val="0"/>
          <w:numId w:val="2"/>
        </w:numPr>
        <w:spacing w:after="100" w:line="360"/>
      </w:pPr>
      <w:r>
        <w:rPr>
          <w:rFonts w:ascii="Arial" w:cs="Arial" w:eastAsia="Arial" w:hAnsi="Arial"/>
          <w:sz w:val="24"/>
          <w:szCs w:val="24"/>
        </w:rPr>
        <w:t xml:space="preserve">Direct ATG inducers and lysosomal function enhancers (trehalose, spermidine, STX40, etc.)</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mTOR-independent autophagy modulator library matcher (mechanism annotation from biochemical screens)</w:t>
      </w:r>
    </w:p>
    <w:p>
      <w:pPr>
        <w:pStyle w:val="ListParagraph"/>
        <w:numPr>
          <w:ilvl w:val="0"/>
          <w:numId w:val="2"/>
        </w:numPr>
        <w:spacing w:after="100" w:line="360"/>
      </w:pPr>
      <w:r>
        <w:rPr>
          <w:rFonts w:ascii="Arial" w:cs="Arial" w:eastAsia="Arial" w:hAnsi="Arial"/>
          <w:sz w:val="24"/>
          <w:szCs w:val="24"/>
        </w:rPr>
        <w:t xml:space="preserve">Autophagy flux compound mapper: compound phenotype correlation to CRISPR enhancer signatures</w:t>
      </w:r>
    </w:p>
    <w:p>
      <w:pPr>
        <w:pStyle w:val="ListParagraph"/>
        <w:numPr>
          <w:ilvl w:val="0"/>
          <w:numId w:val="2"/>
        </w:numPr>
        <w:spacing w:after="100" w:line="360"/>
      </w:pPr>
      <w:r>
        <w:rPr>
          <w:rFonts w:ascii="Arial" w:cs="Arial" w:eastAsia="Arial" w:hAnsi="Arial"/>
          <w:sz w:val="24"/>
          <w:szCs w:val="24"/>
        </w:rPr>
        <w:t xml:space="preserve">AMPK-SIRT-VCP-ATG pathway impact predictor: compound dose ↔ pathway flux (kinetic modeling)</w:t>
      </w:r>
    </w:p>
    <w:p>
      <w:pPr>
        <w:pStyle w:val="ListParagraph"/>
        <w:numPr>
          <w:ilvl w:val="0"/>
          <w:numId w:val="2"/>
        </w:numPr>
        <w:spacing w:after="100" w:line="360"/>
      </w:pPr>
      <w:r>
        <w:rPr>
          <w:rFonts w:ascii="Arial" w:cs="Arial" w:eastAsia="Arial" w:hAnsi="Arial"/>
          <w:sz w:val="24"/>
          <w:szCs w:val="24"/>
        </w:rPr>
        <w:t xml:space="preserve">EP function preserver scorer: compounds enhancing autophagy without bursting instability or plasticity loss</w:t>
      </w:r>
    </w:p>
    <w:p>
      <w:pPr>
        <w:pStyle w:val="ListParagraph"/>
        <w:numPr>
          <w:ilvl w:val="0"/>
          <w:numId w:val="2"/>
        </w:numPr>
        <w:spacing w:after="100" w:line="360"/>
      </w:pPr>
      <w:r>
        <w:rPr>
          <w:rFonts w:ascii="Arial" w:cs="Arial" w:eastAsia="Arial" w:hAnsi="Arial"/>
          <w:sz w:val="24"/>
          <w:szCs w:val="24"/>
        </w:rPr>
        <w:t xml:space="preserve">Protein aggregate clearance modeler: compound efficacy for amyloid/tau/alpha-syn/TDP-43 degradation</w:t>
      </w:r>
    </w:p>
    <w:p>
      <w:pPr>
        <w:pStyle w:val="ListParagraph"/>
        <w:numPr>
          <w:ilvl w:val="0"/>
          <w:numId w:val="2"/>
        </w:numPr>
        <w:spacing w:after="100" w:line="360"/>
      </w:pPr>
      <w:r>
        <w:rPr>
          <w:rFonts w:ascii="Arial" w:cs="Arial" w:eastAsia="Arial" w:hAnsi="Arial"/>
          <w:sz w:val="24"/>
          <w:szCs w:val="24"/>
        </w:rPr>
        <w:t xml:space="preserve">mTOR off-target checker: confirms compounds avoid mTOR-dependent autophagy (mTOR inhibition flagged as high-risk)</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compounds activate AMPK-SIRT-axis autophagy without mTOR inhibition?</w:t>
      </w:r>
    </w:p>
    <w:p>
      <w:pPr>
        <w:pStyle w:val="ListParagraph"/>
        <w:numPr>
          <w:ilvl w:val="0"/>
          <w:numId w:val="2"/>
        </w:numPr>
        <w:spacing w:after="100" w:line="360"/>
      </w:pPr>
      <w:r>
        <w:rPr>
          <w:rFonts w:ascii="Arial" w:cs="Arial" w:eastAsia="Arial" w:hAnsi="Arial"/>
          <w:sz w:val="24"/>
          <w:szCs w:val="24"/>
        </w:rPr>
        <w:t xml:space="preserve">Do AMPK activators and SIRT enhancers phenocopy mTOR-independent CRISPR gene augmentations?</w:t>
      </w:r>
    </w:p>
    <w:p>
      <w:pPr>
        <w:pStyle w:val="ListParagraph"/>
        <w:numPr>
          <w:ilvl w:val="0"/>
          <w:numId w:val="2"/>
        </w:numPr>
        <w:spacing w:after="100" w:line="360"/>
      </w:pPr>
      <w:r>
        <w:rPr>
          <w:rFonts w:ascii="Arial" w:cs="Arial" w:eastAsia="Arial" w:hAnsi="Arial"/>
          <w:sz w:val="24"/>
          <w:szCs w:val="24"/>
        </w:rPr>
        <w:t xml:space="preserve">Which compounds enhance lysosomal function and protein clearance (VCP-dependent)?</w:t>
      </w:r>
    </w:p>
    <w:p>
      <w:pPr>
        <w:pStyle w:val="ListParagraph"/>
        <w:numPr>
          <w:ilvl w:val="0"/>
          <w:numId w:val="2"/>
        </w:numPr>
        <w:spacing w:after="100" w:line="360"/>
      </w:pPr>
      <w:r>
        <w:rPr>
          <w:rFonts w:ascii="Arial" w:cs="Arial" w:eastAsia="Arial" w:hAnsi="Arial"/>
          <w:sz w:val="24"/>
          <w:szCs w:val="24"/>
        </w:rPr>
        <w:t xml:space="preserve">Are there compounds combining AMPK + SIRT + VCP enhancement (multi-pathway autophagy activation)?</w:t>
      </w:r>
    </w:p>
    <w:p>
      <w:pPr>
        <w:pStyle w:val="ListParagraph"/>
        <w:numPr>
          <w:ilvl w:val="0"/>
          <w:numId w:val="2"/>
        </w:numPr>
        <w:spacing w:after="100" w:line="360"/>
      </w:pPr>
      <w:r>
        <w:rPr>
          <w:rFonts w:ascii="Arial" w:cs="Arial" w:eastAsia="Arial" w:hAnsi="Arial"/>
          <w:sz w:val="24"/>
          <w:szCs w:val="24"/>
        </w:rPr>
        <w:t xml:space="preserve">What compounds enhance autophagy while preserving neuronal firing patterns and metabolic stability?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mTOR-independent autophagy enhancer compound ranking (top 80+): autophagy flux score + EP preservation + mTOR avoidance</w:t>
      </w:r>
    </w:p>
    <w:p>
      <w:pPr>
        <w:pStyle w:val="ListParagraph"/>
        <w:numPr>
          <w:ilvl w:val="0"/>
          <w:numId w:val="2"/>
        </w:numPr>
        <w:spacing w:after="100" w:line="360"/>
      </w:pPr>
      <w:r>
        <w:rPr>
          <w:rFonts w:ascii="Arial" w:cs="Arial" w:eastAsia="Arial" w:hAnsi="Arial"/>
          <w:sz w:val="24"/>
          <w:szCs w:val="24"/>
        </w:rPr>
        <w:t xml:space="preserve">AMPK activation confidence: correlation to known AMPK activators (A-769662, MK-8722 benchmark)</w:t>
      </w:r>
    </w:p>
    <w:p>
      <w:pPr>
        <w:pStyle w:val="ListParagraph"/>
        <w:numPr>
          <w:ilvl w:val="0"/>
          <w:numId w:val="2"/>
        </w:numPr>
        <w:spacing w:after="100" w:line="360"/>
      </w:pPr>
      <w:r>
        <w:rPr>
          <w:rFonts w:ascii="Arial" w:cs="Arial" w:eastAsia="Arial" w:hAnsi="Arial"/>
          <w:sz w:val="24"/>
          <w:szCs w:val="24"/>
        </w:rPr>
        <w:t xml:space="preserve">SIRT enhancement confidence: NAD+-dependency and SIRT1/3 target engagement assessment</w:t>
      </w:r>
    </w:p>
    <w:p>
      <w:pPr>
        <w:pStyle w:val="ListParagraph"/>
        <w:numPr>
          <w:ilvl w:val="0"/>
          <w:numId w:val="2"/>
        </w:numPr>
        <w:spacing w:after="100" w:line="360"/>
      </w:pPr>
      <w:r>
        <w:rPr>
          <w:rFonts w:ascii="Arial" w:cs="Arial" w:eastAsia="Arial" w:hAnsi="Arial"/>
          <w:sz w:val="24"/>
          <w:szCs w:val="24"/>
        </w:rPr>
        <w:t xml:space="preserve">VCP/p97 enhancement prediction: protein clearance optimization and aggregate degradation improvement (%)</w:t>
      </w:r>
    </w:p>
    <w:p>
      <w:pPr>
        <w:pStyle w:val="ListParagraph"/>
        <w:numPr>
          <w:ilvl w:val="0"/>
          <w:numId w:val="2"/>
        </w:numPr>
        <w:spacing w:after="100" w:line="360"/>
      </w:pPr>
      <w:r>
        <w:rPr>
          <w:rFonts w:ascii="Arial" w:cs="Arial" w:eastAsia="Arial" w:hAnsi="Arial"/>
          <w:sz w:val="24"/>
          <w:szCs w:val="24"/>
        </w:rPr>
        <w:t xml:space="preserve">Direct ATG induction scoring: autophagy flux enhancement without upstream pathway activation</w:t>
      </w:r>
    </w:p>
    <w:p>
      <w:pPr>
        <w:pStyle w:val="ListParagraph"/>
        <w:numPr>
          <w:ilvl w:val="0"/>
          <w:numId w:val="2"/>
        </w:numPr>
        <w:spacing w:after="100" w:line="360"/>
      </w:pPr>
      <w:r>
        <w:rPr>
          <w:rFonts w:ascii="Arial" w:cs="Arial" w:eastAsia="Arial" w:hAnsi="Arial"/>
          <w:sz w:val="24"/>
          <w:szCs w:val="24"/>
        </w:rPr>
        <w:t xml:space="preserve">mTOR off-target risk assessment: flagged compounds with mTOR inhibition activity (excluded from ranking)</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Ranked compound table with mTOR-independent mechanism annotation, autophagy flux scores, and EP preservation metrics</w:t>
      </w:r>
    </w:p>
    <w:p>
      <w:pPr>
        <w:pStyle w:val="Heading2"/>
        <w:spacing w:after="200" w:before="200"/>
      </w:pPr>
      <w:r>
        <w:rPr>
          <w:rFonts w:ascii="Arial" w:cs="Arial" w:eastAsia="Arial" w:hAnsi="Arial"/>
          <w:b/>
          <w:bCs/>
          <w:sz w:val="28"/>
          <w:szCs w:val="28"/>
        </w:rPr>
        <w:t xml:space="preserve">Stage 4: Neurodegeneration-Specific Clinical Evidence &amp; Autophagy Biomarker De-Risking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Prioritize mTOR-independent autophagy enhancers using clinical trial data in neurodegeneration (Alzheimer's, Parkinson's, ALS), CSF autophagy biomarkers, and safety/efficacy outcomes demonstrating mTOR avoidance benefit.</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80 mTOR-independent autophagy compounds from Stage 3</w:t>
      </w:r>
    </w:p>
    <w:p>
      <w:pPr>
        <w:pStyle w:val="ListParagraph"/>
        <w:numPr>
          <w:ilvl w:val="0"/>
          <w:numId w:val="2"/>
        </w:numPr>
        <w:spacing w:after="100" w:line="360"/>
      </w:pPr>
      <w:r>
        <w:rPr>
          <w:rFonts w:ascii="Arial" w:cs="Arial" w:eastAsia="Arial" w:hAnsi="Arial"/>
          <w:sz w:val="24"/>
          <w:szCs w:val="24"/>
        </w:rPr>
        <w:t xml:space="preserve">Clinical trials of AMPK activators, SIRT enhancers, and VCP modulators in neurodegeneration</w:t>
      </w:r>
    </w:p>
    <w:p>
      <w:pPr>
        <w:pStyle w:val="ListParagraph"/>
        <w:numPr>
          <w:ilvl w:val="0"/>
          <w:numId w:val="2"/>
        </w:numPr>
        <w:spacing w:after="100" w:line="360"/>
      </w:pPr>
      <w:r>
        <w:rPr>
          <w:rFonts w:ascii="Arial" w:cs="Arial" w:eastAsia="Arial" w:hAnsi="Arial"/>
          <w:sz w:val="24"/>
          <w:szCs w:val="24"/>
        </w:rPr>
        <w:t xml:space="preserve">CSF autophagy biomarkers: LC3-II, p62/SQSTM1, protein aggregates (tau, alpha-syn species)</w:t>
      </w:r>
    </w:p>
    <w:p>
      <w:pPr>
        <w:pStyle w:val="ListParagraph"/>
        <w:numPr>
          <w:ilvl w:val="0"/>
          <w:numId w:val="2"/>
        </w:numPr>
        <w:spacing w:after="100" w:line="360"/>
      </w:pPr>
      <w:r>
        <w:rPr>
          <w:rFonts w:ascii="Arial" w:cs="Arial" w:eastAsia="Arial" w:hAnsi="Arial"/>
          <w:sz w:val="24"/>
          <w:szCs w:val="24"/>
        </w:rPr>
        <w:t xml:space="preserve">Neurodegeneration biomarkers: tau (CSF/plasma), amyloid-β, alpha-synuclein, neurofilament (NfL)</w:t>
      </w:r>
    </w:p>
    <w:p>
      <w:pPr>
        <w:pStyle w:val="ListParagraph"/>
        <w:numPr>
          <w:ilvl w:val="0"/>
          <w:numId w:val="2"/>
        </w:numPr>
        <w:spacing w:after="100" w:line="360"/>
      </w:pPr>
      <w:r>
        <w:rPr>
          <w:rFonts w:ascii="Arial" w:cs="Arial" w:eastAsia="Arial" w:hAnsi="Arial"/>
          <w:sz w:val="24"/>
          <w:szCs w:val="24"/>
        </w:rPr>
        <w:t xml:space="preserve">Safety outcomes: metabolic markers (glucose, lipids), cognitive function, tolerability</w:t>
      </w:r>
    </w:p>
    <w:p>
      <w:pPr>
        <w:pStyle w:val="ListParagraph"/>
        <w:numPr>
          <w:ilvl w:val="0"/>
          <w:numId w:val="2"/>
        </w:numPr>
        <w:spacing w:after="100" w:line="360"/>
      </w:pPr>
      <w:r>
        <w:rPr>
          <w:rFonts w:ascii="Arial" w:cs="Arial" w:eastAsia="Arial" w:hAnsi="Arial"/>
          <w:sz w:val="24"/>
          <w:szCs w:val="24"/>
        </w:rPr>
        <w:t xml:space="preserve">Genetic stratification: APOE, SNCA, GRN, tau GWAS variants and autophagy responsiveness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Neurodegeneration clinical trial biomarker outcome database</w:t>
      </w:r>
    </w:p>
    <w:p>
      <w:pPr>
        <w:pStyle w:val="ListParagraph"/>
        <w:numPr>
          <w:ilvl w:val="0"/>
          <w:numId w:val="2"/>
        </w:numPr>
        <w:spacing w:after="100" w:line="360"/>
      </w:pPr>
      <w:r>
        <w:rPr>
          <w:rFonts w:ascii="Arial" w:cs="Arial" w:eastAsia="Arial" w:hAnsi="Arial"/>
          <w:sz w:val="24"/>
          <w:szCs w:val="24"/>
        </w:rPr>
        <w:t xml:space="preserve">CSF autophagy biomarker trend analyzer (LC3-II/p62 dynamics, protein aggregate clearance)</w:t>
      </w:r>
    </w:p>
    <w:p>
      <w:pPr>
        <w:pStyle w:val="ListParagraph"/>
        <w:numPr>
          <w:ilvl w:val="0"/>
          <w:numId w:val="2"/>
        </w:numPr>
        <w:spacing w:after="100" w:line="360"/>
      </w:pPr>
      <w:r>
        <w:rPr>
          <w:rFonts w:ascii="Arial" w:cs="Arial" w:eastAsia="Arial" w:hAnsi="Arial"/>
          <w:sz w:val="24"/>
          <w:szCs w:val="24"/>
        </w:rPr>
        <w:t xml:space="preserve">Neurodegeneration disease biomarker correlator (autophagy enhancement ↔ tau/amyloid/alpha-syn reduction)</w:t>
      </w:r>
    </w:p>
    <w:p>
      <w:pPr>
        <w:pStyle w:val="ListParagraph"/>
        <w:numPr>
          <w:ilvl w:val="0"/>
          <w:numId w:val="2"/>
        </w:numPr>
        <w:spacing w:after="100" w:line="360"/>
      </w:pPr>
      <w:r>
        <w:rPr>
          <w:rFonts w:ascii="Arial" w:cs="Arial" w:eastAsia="Arial" w:hAnsi="Arial"/>
          <w:sz w:val="24"/>
          <w:szCs w:val="24"/>
        </w:rPr>
        <w:t xml:space="preserve">Metabolic safety validator: glucose tolerance, lipid profile, mitochondrial function preservation</w:t>
      </w:r>
    </w:p>
    <w:p>
      <w:pPr>
        <w:pStyle w:val="ListParagraph"/>
        <w:numPr>
          <w:ilvl w:val="0"/>
          <w:numId w:val="2"/>
        </w:numPr>
        <w:spacing w:after="100" w:line="360"/>
      </w:pPr>
      <w:r>
        <w:rPr>
          <w:rFonts w:ascii="Arial" w:cs="Arial" w:eastAsia="Arial" w:hAnsi="Arial"/>
          <w:sz w:val="24"/>
          <w:szCs w:val="24"/>
        </w:rPr>
        <w:t xml:space="preserve">Cognitive function preserver scorer: compounds maintaining or improving cognitive outcomes (vs. mTOR inhibitors causing dysfunction)</w:t>
      </w:r>
    </w:p>
    <w:p>
      <w:pPr>
        <w:pStyle w:val="ListParagraph"/>
        <w:numPr>
          <w:ilvl w:val="0"/>
          <w:numId w:val="2"/>
        </w:numPr>
        <w:spacing w:after="100" w:line="360"/>
      </w:pPr>
      <w:r>
        <w:rPr>
          <w:rFonts w:ascii="Arial" w:cs="Arial" w:eastAsia="Arial" w:hAnsi="Arial"/>
          <w:sz w:val="24"/>
          <w:szCs w:val="24"/>
        </w:rPr>
        <w:t xml:space="preserve">mTOR-inhibition complication tracker: identifies compounds inadvertently causing mTOR suppression side effects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AMPK activators or SIRT enhancers show CSF autophagy biomarker improvements in neurodegeneration trials?</w:t>
      </w:r>
    </w:p>
    <w:p>
      <w:pPr>
        <w:pStyle w:val="ListParagraph"/>
        <w:numPr>
          <w:ilvl w:val="0"/>
          <w:numId w:val="2"/>
        </w:numPr>
        <w:spacing w:after="100" w:line="360"/>
      </w:pPr>
      <w:r>
        <w:rPr>
          <w:rFonts w:ascii="Arial" w:cs="Arial" w:eastAsia="Arial" w:hAnsi="Arial"/>
          <w:sz w:val="24"/>
          <w:szCs w:val="24"/>
        </w:rPr>
        <w:t xml:space="preserve">Do mTOR-independent autophagy enhancers show tau/amyloid/alpha-synuclein CSF reductions without metabolic toxicity?</w:t>
      </w:r>
    </w:p>
    <w:p>
      <w:pPr>
        <w:pStyle w:val="ListParagraph"/>
        <w:numPr>
          <w:ilvl w:val="0"/>
          <w:numId w:val="2"/>
        </w:numPr>
        <w:spacing w:after="100" w:line="360"/>
      </w:pPr>
      <w:r>
        <w:rPr>
          <w:rFonts w:ascii="Arial" w:cs="Arial" w:eastAsia="Arial" w:hAnsi="Arial"/>
          <w:sz w:val="24"/>
          <w:szCs w:val="24"/>
        </w:rPr>
        <w:t xml:space="preserve">What compounds preserve cognitive function better than mTOR inhibitors?</w:t>
      </w:r>
    </w:p>
    <w:p>
      <w:pPr>
        <w:pStyle w:val="ListParagraph"/>
        <w:numPr>
          <w:ilvl w:val="0"/>
          <w:numId w:val="2"/>
        </w:numPr>
        <w:spacing w:after="100" w:line="360"/>
      </w:pPr>
      <w:r>
        <w:rPr>
          <w:rFonts w:ascii="Arial" w:cs="Arial" w:eastAsia="Arial" w:hAnsi="Arial"/>
          <w:sz w:val="24"/>
          <w:szCs w:val="24"/>
        </w:rPr>
        <w:t xml:space="preserve">Are there APOE/SNCA/GRN genetic responders for specific autophagy compounds?</w:t>
      </w:r>
    </w:p>
    <w:p>
      <w:pPr>
        <w:pStyle w:val="ListParagraph"/>
        <w:numPr>
          <w:ilvl w:val="0"/>
          <w:numId w:val="2"/>
        </w:numPr>
        <w:spacing w:after="100" w:line="360"/>
      </w:pPr>
      <w:r>
        <w:rPr>
          <w:rFonts w:ascii="Arial" w:cs="Arial" w:eastAsia="Arial" w:hAnsi="Arial"/>
          <w:sz w:val="24"/>
          <w:szCs w:val="24"/>
        </w:rPr>
        <w:t xml:space="preserve">How do autophagy compounds rank by slowing neurodegeneration biomarker progression (tau/amyloid velocity)?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De-risked mTOR-independent autophagy shortlist (top 20-25 compounds): ranked by clinical evidence quality + mTOR-avoidance benefit</w:t>
      </w:r>
    </w:p>
    <w:p>
      <w:pPr>
        <w:pStyle w:val="ListParagraph"/>
        <w:numPr>
          <w:ilvl w:val="0"/>
          <w:numId w:val="2"/>
        </w:numPr>
        <w:spacing w:after="100" w:line="360"/>
      </w:pPr>
      <w:r>
        <w:rPr>
          <w:rFonts w:ascii="Arial" w:cs="Arial" w:eastAsia="Arial" w:hAnsi="Arial"/>
          <w:sz w:val="24"/>
          <w:szCs w:val="24"/>
        </w:rPr>
        <w:t xml:space="preserve">CSF autophagy biomarker efficacy: LC3-II increases (%), p62 clearance improvement, protein aggregate reduction (%)</w:t>
      </w:r>
    </w:p>
    <w:p>
      <w:pPr>
        <w:pStyle w:val="ListParagraph"/>
        <w:numPr>
          <w:ilvl w:val="0"/>
          <w:numId w:val="2"/>
        </w:numPr>
        <w:spacing w:after="100" w:line="360"/>
      </w:pPr>
      <w:r>
        <w:rPr>
          <w:rFonts w:ascii="Arial" w:cs="Arial" w:eastAsia="Arial" w:hAnsi="Arial"/>
          <w:sz w:val="24"/>
          <w:szCs w:val="24"/>
        </w:rPr>
        <w:t xml:space="preserve">Neurodegeneration disease biomarker outcomes: tau/amyloid/alpha-syn CSF changes, neurofilament preservation</w:t>
      </w:r>
    </w:p>
    <w:p>
      <w:pPr>
        <w:pStyle w:val="ListParagraph"/>
        <w:numPr>
          <w:ilvl w:val="0"/>
          <w:numId w:val="2"/>
        </w:numPr>
        <w:spacing w:after="100" w:line="360"/>
      </w:pPr>
      <w:r>
        <w:rPr>
          <w:rFonts w:ascii="Arial" w:cs="Arial" w:eastAsia="Arial" w:hAnsi="Arial"/>
          <w:sz w:val="24"/>
          <w:szCs w:val="24"/>
        </w:rPr>
        <w:t xml:space="preserve">Metabolic safety profile: glucose tolerance, lipid metabolism, mitochondrial respiration maintenance</w:t>
      </w:r>
    </w:p>
    <w:p>
      <w:pPr>
        <w:pStyle w:val="ListParagraph"/>
        <w:numPr>
          <w:ilvl w:val="0"/>
          <w:numId w:val="2"/>
        </w:numPr>
        <w:spacing w:after="100" w:line="360"/>
      </w:pPr>
      <w:r>
        <w:rPr>
          <w:rFonts w:ascii="Arial" w:cs="Arial" w:eastAsia="Arial" w:hAnsi="Arial"/>
          <w:sz w:val="24"/>
          <w:szCs w:val="24"/>
        </w:rPr>
        <w:t xml:space="preserve">Cognitive function outcomes: MMSE/MoCA changes, processing speed, memory preservation (vs. mTOR inhibitor cognitive decline)</w:t>
      </w:r>
    </w:p>
    <w:p>
      <w:pPr>
        <w:pStyle w:val="ListParagraph"/>
        <w:numPr>
          <w:ilvl w:val="0"/>
          <w:numId w:val="2"/>
        </w:numPr>
        <w:spacing w:after="100" w:line="360"/>
      </w:pPr>
      <w:r>
        <w:rPr>
          <w:rFonts w:ascii="Arial" w:cs="Arial" w:eastAsia="Arial" w:hAnsi="Arial"/>
          <w:sz w:val="24"/>
          <w:szCs w:val="24"/>
        </w:rPr>
        <w:t xml:space="preserve">De-risking composite: autophagy biomarker evidence (40%) + disease biomarker improvement (30%) + metabolic safety (20%) + cognitive preservation (10%)</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Prioritized neurodegeneration autophagy biomarker table with CSF metrics, disease biomarkers, metabolic safety, cognitive outcomes, and de-risking score</w:t>
      </w:r>
    </w:p>
    <w:p>
      <w:pPr>
        <w:pStyle w:val="Heading2"/>
        <w:spacing w:after="200" w:before="200"/>
      </w:pPr>
      <w:r>
        <w:rPr>
          <w:rFonts w:ascii="Arial" w:cs="Arial" w:eastAsia="Arial" w:hAnsi="Arial"/>
          <w:b/>
          <w:bCs/>
          <w:sz w:val="28"/>
          <w:szCs w:val="28"/>
        </w:rPr>
        <w:t xml:space="preserve">Stage 5: Integrated mTOR-Independent Autophagy Ranking &amp; Multi-Target Consensus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Combine Stage 1-4 results to rank compounds by concordance across autophagy flux enhancement, mTOR-independent CRISPR genes, AMPK/SIRT/VCP mechanism validation, and neurodegeneration clinical evidence.</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Neuronal autophagy flux profiles (Stage 1)</w:t>
      </w:r>
    </w:p>
    <w:p>
      <w:pPr>
        <w:pStyle w:val="ListParagraph"/>
        <w:numPr>
          <w:ilvl w:val="0"/>
          <w:numId w:val="2"/>
        </w:numPr>
        <w:spacing w:after="100" w:line="360"/>
      </w:pPr>
      <w:r>
        <w:rPr>
          <w:rFonts w:ascii="Arial" w:cs="Arial" w:eastAsia="Arial" w:hAnsi="Arial"/>
          <w:sz w:val="24"/>
          <w:szCs w:val="24"/>
        </w:rPr>
        <w:t xml:space="preserve">mTOR-independent autophagy genes (Stage 2)</w:t>
      </w:r>
    </w:p>
    <w:p>
      <w:pPr>
        <w:pStyle w:val="ListParagraph"/>
        <w:numPr>
          <w:ilvl w:val="0"/>
          <w:numId w:val="2"/>
        </w:numPr>
        <w:spacing w:after="100" w:line="360"/>
      </w:pPr>
      <w:r>
        <w:rPr>
          <w:rFonts w:ascii="Arial" w:cs="Arial" w:eastAsia="Arial" w:hAnsi="Arial"/>
          <w:sz w:val="24"/>
          <w:szCs w:val="24"/>
        </w:rPr>
        <w:t xml:space="preserve">mTOR-independent compound scores (Stage 3)</w:t>
      </w:r>
    </w:p>
    <w:p>
      <w:pPr>
        <w:pStyle w:val="ListParagraph"/>
        <w:numPr>
          <w:ilvl w:val="0"/>
          <w:numId w:val="2"/>
        </w:numPr>
        <w:spacing w:after="100" w:line="360"/>
      </w:pPr>
      <w:r>
        <w:rPr>
          <w:rFonts w:ascii="Arial" w:cs="Arial" w:eastAsia="Arial" w:hAnsi="Arial"/>
          <w:sz w:val="24"/>
          <w:szCs w:val="24"/>
        </w:rPr>
        <w:t xml:space="preserve">Neurodegeneration clinical biomarker evidence (Stage 4)</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mTOR-independent multi-modal integrator (weighted aggregation: autophagy flux 30%, CRISPR genes 25%, AMPK/SIRT/VCP mechanism 25%, clinical evidence 20%)</w:t>
      </w:r>
    </w:p>
    <w:p>
      <w:pPr>
        <w:pStyle w:val="ListParagraph"/>
        <w:numPr>
          <w:ilvl w:val="0"/>
          <w:numId w:val="2"/>
        </w:numPr>
        <w:spacing w:after="100" w:line="360"/>
      </w:pPr>
      <w:r>
        <w:rPr>
          <w:rFonts w:ascii="Arial" w:cs="Arial" w:eastAsia="Arial" w:hAnsi="Arial"/>
          <w:sz w:val="24"/>
          <w:szCs w:val="24"/>
        </w:rPr>
        <w:t xml:space="preserve">AMPK-SIRT-VCP-ATG consensus builder: mechanism overlaps and pathway synergies</w:t>
      </w:r>
    </w:p>
    <w:p>
      <w:pPr>
        <w:pStyle w:val="ListParagraph"/>
        <w:numPr>
          <w:ilvl w:val="0"/>
          <w:numId w:val="2"/>
        </w:numPr>
        <w:spacing w:after="100" w:line="360"/>
      </w:pPr>
      <w:r>
        <w:rPr>
          <w:rFonts w:ascii="Arial" w:cs="Arial" w:eastAsia="Arial" w:hAnsi="Arial"/>
          <w:sz w:val="24"/>
          <w:szCs w:val="24"/>
        </w:rPr>
        <w:t xml:space="preserve">mTOR-inhibition risk detector: flags compounds with unintended mTOR suppression</w:t>
      </w:r>
    </w:p>
    <w:p>
      <w:pPr>
        <w:pStyle w:val="ListParagraph"/>
        <w:numPr>
          <w:ilvl w:val="0"/>
          <w:numId w:val="2"/>
        </w:numPr>
        <w:spacing w:after="100" w:line="360"/>
      </w:pPr>
      <w:r>
        <w:rPr>
          <w:rFonts w:ascii="Arial" w:cs="Arial" w:eastAsia="Arial" w:hAnsi="Arial"/>
          <w:sz w:val="24"/>
          <w:szCs w:val="24"/>
        </w:rPr>
        <w:t xml:space="preserve">EP function-autophagy concordance scorer: autophagy enhancement ↔ neuronal firing/plasticity preservation agreement</w:t>
      </w:r>
    </w:p>
    <w:p>
      <w:pPr>
        <w:pStyle w:val="ListParagraph"/>
        <w:numPr>
          <w:ilvl w:val="0"/>
          <w:numId w:val="2"/>
        </w:numPr>
        <w:spacing w:after="100" w:line="360"/>
      </w:pPr>
      <w:r>
        <w:rPr>
          <w:rFonts w:ascii="Arial" w:cs="Arial" w:eastAsia="Arial" w:hAnsi="Arial"/>
          <w:sz w:val="24"/>
          <w:szCs w:val="24"/>
        </w:rPr>
        <w:t xml:space="preserve">Visualization suite: mTOR-independent autophagy pathway maps, compound-gene-disease biomarker networks</w:t>
      </w:r>
    </w:p>
    <w:p>
      <w:pPr>
        <w:pStyle w:val="ListParagraph"/>
        <w:numPr>
          <w:ilvl w:val="0"/>
          <w:numId w:val="2"/>
        </w:numPr>
        <w:spacing w:after="100" w:line="360"/>
      </w:pPr>
      <w:r>
        <w:rPr>
          <w:rFonts w:ascii="Arial" w:cs="Arial" w:eastAsia="Arial" w:hAnsi="Arial"/>
          <w:sz w:val="24"/>
          <w:szCs w:val="24"/>
        </w:rPr>
        <w:t xml:space="preserve">Disease-specific autophagy ranking: differential efficacy for Alzheimer's vs. Parkinson's vs. ALS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autophagy compounds achieve high consensus across flux, CRISPR genes, mTOR-independent mechanism, and clinical evidence?</w:t>
      </w:r>
    </w:p>
    <w:p>
      <w:pPr>
        <w:pStyle w:val="ListParagraph"/>
        <w:numPr>
          <w:ilvl w:val="0"/>
          <w:numId w:val="2"/>
        </w:numPr>
        <w:spacing w:after="100" w:line="360"/>
      </w:pPr>
      <w:r>
        <w:rPr>
          <w:rFonts w:ascii="Arial" w:cs="Arial" w:eastAsia="Arial" w:hAnsi="Arial"/>
          <w:sz w:val="24"/>
          <w:szCs w:val="24"/>
        </w:rPr>
        <w:t xml:space="preserve">Are there compounds with strong autophagy flux but weak clinical neurodegeneration biomarker evidence?</w:t>
      </w:r>
    </w:p>
    <w:p>
      <w:pPr>
        <w:pStyle w:val="ListParagraph"/>
        <w:numPr>
          <w:ilvl w:val="0"/>
          <w:numId w:val="2"/>
        </w:numPr>
        <w:spacing w:after="100" w:line="360"/>
      </w:pPr>
      <w:r>
        <w:rPr>
          <w:rFonts w:ascii="Arial" w:cs="Arial" w:eastAsia="Arial" w:hAnsi="Arial"/>
          <w:sz w:val="24"/>
          <w:szCs w:val="24"/>
        </w:rPr>
        <w:t xml:space="preserve">Do top-ranked compounds share consensus mechanism (AMPK + SIRT activation, VCP enhancement)?</w:t>
      </w:r>
    </w:p>
    <w:p>
      <w:pPr>
        <w:pStyle w:val="ListParagraph"/>
        <w:numPr>
          <w:ilvl w:val="0"/>
          <w:numId w:val="2"/>
        </w:numPr>
        <w:spacing w:after="100" w:line="360"/>
      </w:pPr>
      <w:r>
        <w:rPr>
          <w:rFonts w:ascii="Arial" w:cs="Arial" w:eastAsia="Arial" w:hAnsi="Arial"/>
          <w:sz w:val="24"/>
          <w:szCs w:val="24"/>
        </w:rPr>
        <w:t xml:space="preserve">How do compounds rank for different neurodegeneration types (Alzheimer's, Parkinson's, ALS)?</w:t>
      </w:r>
    </w:p>
    <w:p>
      <w:pPr>
        <w:pStyle w:val="ListParagraph"/>
        <w:numPr>
          <w:ilvl w:val="0"/>
          <w:numId w:val="2"/>
        </w:numPr>
        <w:spacing w:after="100" w:line="360"/>
      </w:pPr>
      <w:r>
        <w:rPr>
          <w:rFonts w:ascii="Arial" w:cs="Arial" w:eastAsia="Arial" w:hAnsi="Arial"/>
          <w:sz w:val="24"/>
          <w:szCs w:val="24"/>
        </w:rPr>
        <w:t xml:space="preserve">What independent literature evidence supports top compounds' mTOR-independent autophagy activation?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Final mTOR-independent autophagy ranking: top 15 compounds with integrated multi-modal score</w:t>
      </w:r>
    </w:p>
    <w:p>
      <w:pPr>
        <w:pStyle w:val="ListParagraph"/>
        <w:numPr>
          <w:ilvl w:val="0"/>
          <w:numId w:val="2"/>
        </w:numPr>
        <w:spacing w:after="100" w:line="360"/>
      </w:pPr>
      <w:r>
        <w:rPr>
          <w:rFonts w:ascii="Arial" w:cs="Arial" w:eastAsia="Arial" w:hAnsi="Arial"/>
          <w:sz w:val="24"/>
          <w:szCs w:val="24"/>
        </w:rPr>
        <w:t xml:space="preserve">Mechanism consensus: overlapping AMPK/SIRT/VCP/ATG pathway activations, synergistic combinations</w:t>
      </w:r>
    </w:p>
    <w:p>
      <w:pPr>
        <w:pStyle w:val="ListParagraph"/>
        <w:numPr>
          <w:ilvl w:val="0"/>
          <w:numId w:val="2"/>
        </w:numPr>
        <w:spacing w:after="100" w:line="360"/>
      </w:pPr>
      <w:r>
        <w:rPr>
          <w:rFonts w:ascii="Arial" w:cs="Arial" w:eastAsia="Arial" w:hAnsi="Arial"/>
          <w:sz w:val="24"/>
          <w:szCs w:val="24"/>
        </w:rPr>
        <w:t xml:space="preserve">mTOR-inhibition safety confirmation: verified compounds avoid mTOR suppression</w:t>
      </w:r>
    </w:p>
    <w:p>
      <w:pPr>
        <w:pStyle w:val="ListParagraph"/>
        <w:numPr>
          <w:ilvl w:val="0"/>
          <w:numId w:val="2"/>
        </w:numPr>
        <w:spacing w:after="100" w:line="360"/>
      </w:pPr>
      <w:r>
        <w:rPr>
          <w:rFonts w:ascii="Arial" w:cs="Arial" w:eastAsia="Arial" w:hAnsi="Arial"/>
          <w:sz w:val="24"/>
          <w:szCs w:val="24"/>
        </w:rPr>
        <w:t xml:space="preserve">EP function-autophagy concordance: neuronal firing/plasticity ↔ autophagy flux agreement scores</w:t>
      </w:r>
    </w:p>
    <w:p>
      <w:pPr>
        <w:pStyle w:val="ListParagraph"/>
        <w:numPr>
          <w:ilvl w:val="0"/>
          <w:numId w:val="2"/>
        </w:numPr>
        <w:spacing w:after="100" w:line="360"/>
      </w:pPr>
      <w:r>
        <w:rPr>
          <w:rFonts w:ascii="Arial" w:cs="Arial" w:eastAsia="Arial" w:hAnsi="Arial"/>
          <w:sz w:val="24"/>
          <w:szCs w:val="24"/>
        </w:rPr>
        <w:t xml:space="preserve">Disease-specific ranking: separate rankings for Alzheimer's, Parkinson's, and ALS populations</w:t>
      </w:r>
    </w:p>
    <w:p>
      <w:pPr>
        <w:pStyle w:val="ListParagraph"/>
        <w:numPr>
          <w:ilvl w:val="0"/>
          <w:numId w:val="2"/>
        </w:numPr>
        <w:spacing w:after="100" w:line="360"/>
      </w:pPr>
      <w:r>
        <w:rPr>
          <w:rFonts w:ascii="Arial" w:cs="Arial" w:eastAsia="Arial" w:hAnsi="Arial"/>
          <w:sz w:val="24"/>
          <w:szCs w:val="24"/>
        </w:rPr>
        <w:t xml:space="preserve">High-confidence vs. exploratory stratification: multi-pathway supported vs. single-mechanism leads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Executive mTOR-independent autophagy ranking with mechanism consensus, disease stratification, and mTOR-safety confirmation</w:t>
      </w:r>
    </w:p>
    <w:p>
      <w:pPr>
        <w:pStyle w:val="Heading2"/>
        <w:spacing w:after="200" w:before="200"/>
      </w:pPr>
      <w:r>
        <w:rPr>
          <w:rFonts w:ascii="Arial" w:cs="Arial" w:eastAsia="Arial" w:hAnsi="Arial"/>
          <w:b/>
          <w:bCs/>
          <w:sz w:val="28"/>
          <w:szCs w:val="28"/>
        </w:rPr>
        <w:t xml:space="preserve">Stage 6: Autophagy Mechanism Validation &amp; Neurodegeneration Progression Biomarker Predictions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detailed validation protocols for mTOR-independent autophagy compounds, predict CSF/blood autophagy and disease biomarker trajectories, and establish go/no-go criteria for autophagy-enriched neurodegeneration trials.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15 integrated mTOR-independent autophagy compounds</w:t>
      </w:r>
    </w:p>
    <w:p>
      <w:pPr>
        <w:pStyle w:val="ListParagraph"/>
        <w:numPr>
          <w:ilvl w:val="0"/>
          <w:numId w:val="2"/>
        </w:numPr>
        <w:spacing w:after="100" w:line="360"/>
      </w:pPr>
      <w:r>
        <w:rPr>
          <w:rFonts w:ascii="Arial" w:cs="Arial" w:eastAsia="Arial" w:hAnsi="Arial"/>
          <w:sz w:val="24"/>
          <w:szCs w:val="24"/>
        </w:rPr>
        <w:t xml:space="preserve">Neuronal autophagy CRISPR models and mechanisms</w:t>
      </w:r>
    </w:p>
    <w:p>
      <w:pPr>
        <w:pStyle w:val="ListParagraph"/>
        <w:numPr>
          <w:ilvl w:val="0"/>
          <w:numId w:val="2"/>
        </w:numPr>
        <w:spacing w:after="100" w:line="360"/>
      </w:pPr>
      <w:r>
        <w:rPr>
          <w:rFonts w:ascii="Arial" w:cs="Arial" w:eastAsia="Arial" w:hAnsi="Arial"/>
          <w:sz w:val="24"/>
          <w:szCs w:val="24"/>
        </w:rPr>
        <w:t xml:space="preserve">Published PK/PD models for AMPK/SIRT activators and lysosomal function enhancers</w:t>
      </w:r>
    </w:p>
    <w:p>
      <w:pPr>
        <w:pStyle w:val="ListParagraph"/>
        <w:numPr>
          <w:ilvl w:val="0"/>
          <w:numId w:val="2"/>
        </w:numPr>
        <w:spacing w:after="100" w:line="360"/>
      </w:pPr>
      <w:r>
        <w:rPr>
          <w:rFonts w:ascii="Arial" w:cs="Arial" w:eastAsia="Arial" w:hAnsi="Arial"/>
          <w:sz w:val="24"/>
          <w:szCs w:val="24"/>
        </w:rPr>
        <w:t xml:space="preserve">Autophagy flux recovery kinetics in disease models</w:t>
      </w:r>
    </w:p>
    <w:p>
      <w:pPr>
        <w:pStyle w:val="ListParagraph"/>
        <w:numPr>
          <w:ilvl w:val="0"/>
          <w:numId w:val="2"/>
        </w:numPr>
        <w:spacing w:after="100" w:line="360"/>
      </w:pPr>
      <w:r>
        <w:rPr>
          <w:rFonts w:ascii="Arial" w:cs="Arial" w:eastAsia="Arial" w:hAnsi="Arial"/>
          <w:sz w:val="24"/>
          <w:szCs w:val="24"/>
        </w:rPr>
        <w:t xml:space="preserve">Validated autophagy/disease biomarker assays (CSF/plasma LC3, p62, tau, amyloid, alpha-syn, NfL)</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Autophagy flux validation assay recommender (LC3-II/p62 turnover, GFP-LC3 imaging, lysosomal pH changes)</w:t>
      </w:r>
    </w:p>
    <w:p>
      <w:pPr>
        <w:pStyle w:val="ListParagraph"/>
        <w:numPr>
          <w:ilvl w:val="0"/>
          <w:numId w:val="2"/>
        </w:numPr>
        <w:spacing w:after="100" w:line="360"/>
      </w:pPr>
      <w:r>
        <w:rPr>
          <w:rFonts w:ascii="Arial" w:cs="Arial" w:eastAsia="Arial" w:hAnsi="Arial"/>
          <w:sz w:val="24"/>
          <w:szCs w:val="24"/>
        </w:rPr>
        <w:t xml:space="preserve">AMPK/SIRT activity tracker: substrate phosphorylation and NAD+ dynamics per compound</w:t>
      </w:r>
    </w:p>
    <w:p>
      <w:pPr>
        <w:pStyle w:val="ListParagraph"/>
        <w:numPr>
          <w:ilvl w:val="0"/>
          <w:numId w:val="2"/>
        </w:numPr>
        <w:spacing w:after="100" w:line="360"/>
      </w:pPr>
      <w:r>
        <w:rPr>
          <w:rFonts w:ascii="Arial" w:cs="Arial" w:eastAsia="Arial" w:hAnsi="Arial"/>
          <w:sz w:val="24"/>
          <w:szCs w:val="24"/>
        </w:rPr>
        <w:t xml:space="preserve">mTOR pathway suppression detector: ensures mTOR1/mTORC1 remain unaffected</w:t>
      </w:r>
    </w:p>
    <w:p>
      <w:pPr>
        <w:pStyle w:val="ListParagraph"/>
        <w:numPr>
          <w:ilvl w:val="0"/>
          <w:numId w:val="2"/>
        </w:numPr>
        <w:spacing w:after="100" w:line="360"/>
      </w:pPr>
      <w:r>
        <w:rPr>
          <w:rFonts w:ascii="Arial" w:cs="Arial" w:eastAsia="Arial" w:hAnsi="Arial"/>
          <w:sz w:val="24"/>
          <w:szCs w:val="24"/>
        </w:rPr>
        <w:t xml:space="preserve">CSF/blood autophagy biomarker kinetics simulator: LC3-II, p62, protein aggregate trajectories (PK/PD)</w:t>
      </w:r>
    </w:p>
    <w:p>
      <w:pPr>
        <w:pStyle w:val="ListParagraph"/>
        <w:numPr>
          <w:ilvl w:val="0"/>
          <w:numId w:val="2"/>
        </w:numPr>
        <w:spacing w:after="100" w:line="360"/>
      </w:pPr>
      <w:r>
        <w:rPr>
          <w:rFonts w:ascii="Arial" w:cs="Arial" w:eastAsia="Arial" w:hAnsi="Arial"/>
          <w:sz w:val="24"/>
          <w:szCs w:val="24"/>
        </w:rPr>
        <w:t xml:space="preserve">Disease biomarker progression predictor: tau/amyloid/alpha-syn velocity changes, NfL stabilization</w:t>
      </w:r>
    </w:p>
    <w:p>
      <w:pPr>
        <w:pStyle w:val="ListParagraph"/>
        <w:numPr>
          <w:ilvl w:val="0"/>
          <w:numId w:val="2"/>
        </w:numPr>
        <w:spacing w:after="100" w:line="360"/>
      </w:pPr>
      <w:r>
        <w:rPr>
          <w:rFonts w:ascii="Arial" w:cs="Arial" w:eastAsia="Arial" w:hAnsi="Arial"/>
          <w:sz w:val="24"/>
          <w:szCs w:val="24"/>
        </w:rPr>
        <w:t xml:space="preserve">Biomarker-enriched patient selection criteria builder: baseline autophagy/proteostatic markers for responder enrichment</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in vitro/ex vivo autophagy assays best validate mTOR-independent enhancement for each compound?</w:t>
      </w:r>
    </w:p>
    <w:p>
      <w:pPr>
        <w:pStyle w:val="ListParagraph"/>
        <w:numPr>
          <w:ilvl w:val="0"/>
          <w:numId w:val="2"/>
        </w:numPr>
        <w:spacing w:after="100" w:line="360"/>
      </w:pPr>
      <w:r>
        <w:rPr>
          <w:rFonts w:ascii="Arial" w:cs="Arial" w:eastAsia="Arial" w:hAnsi="Arial"/>
          <w:sz w:val="24"/>
          <w:szCs w:val="24"/>
        </w:rPr>
        <w:t xml:space="preserve">Predict CSF LC3-II and p62 changes, as well as protein aggregate (tau, amyloid, alpha-syn) clearance per compound over 12 weeks.</w:t>
      </w:r>
    </w:p>
    <w:p>
      <w:pPr>
        <w:pStyle w:val="ListParagraph"/>
        <w:numPr>
          <w:ilvl w:val="0"/>
          <w:numId w:val="2"/>
        </w:numPr>
        <w:spacing w:after="100" w:line="360"/>
      </w:pPr>
      <w:r>
        <w:rPr>
          <w:rFonts w:ascii="Arial" w:cs="Arial" w:eastAsia="Arial" w:hAnsi="Arial"/>
          <w:sz w:val="24"/>
          <w:szCs w:val="24"/>
        </w:rPr>
        <w:t xml:space="preserve">What baseline CSF/blood autophagy markers best predict compound responder status?</w:t>
      </w:r>
    </w:p>
    <w:p>
      <w:pPr>
        <w:pStyle w:val="ListParagraph"/>
        <w:numPr>
          <w:ilvl w:val="0"/>
          <w:numId w:val="2"/>
        </w:numPr>
        <w:spacing w:after="100" w:line="360"/>
      </w:pPr>
      <w:r>
        <w:rPr>
          <w:rFonts w:ascii="Arial" w:cs="Arial" w:eastAsia="Arial" w:hAnsi="Arial"/>
          <w:sz w:val="24"/>
          <w:szCs w:val="24"/>
        </w:rPr>
        <w:t xml:space="preserve">How quickly should CSF protein aggregate burden (tau, amyloid) decrease post-treatment initiation?</w:t>
      </w:r>
    </w:p>
    <w:p>
      <w:pPr>
        <w:pStyle w:val="ListParagraph"/>
        <w:numPr>
          <w:ilvl w:val="0"/>
          <w:numId w:val="2"/>
        </w:numPr>
        <w:spacing w:after="100" w:line="360"/>
      </w:pPr>
      <w:r>
        <w:rPr>
          <w:rFonts w:ascii="Arial" w:cs="Arial" w:eastAsia="Arial" w:hAnsi="Arial"/>
          <w:sz w:val="24"/>
          <w:szCs w:val="24"/>
        </w:rPr>
        <w:t xml:space="preserve">What is the minimum acceptable biomarker change (CSF autophagy markers, disease biomarker velocity change) for Phase II advancement?</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Autophagy mechanism validation protocol per compound: mTOR-independent AMPK/SIRT/VCP assays, LC3 turnover, p62 kinetics, lysosomal function</w:t>
      </w:r>
    </w:p>
    <w:p>
      <w:pPr>
        <w:pStyle w:val="ListParagraph"/>
        <w:numPr>
          <w:ilvl w:val="0"/>
          <w:numId w:val="2"/>
        </w:numPr>
        <w:spacing w:after="100" w:line="360"/>
      </w:pPr>
      <w:r>
        <w:rPr>
          <w:rFonts w:ascii="Arial" w:cs="Arial" w:eastAsia="Arial" w:hAnsi="Arial"/>
          <w:sz w:val="24"/>
          <w:szCs w:val="24"/>
        </w:rPr>
        <w:t xml:space="preserve">mTOR pathway safety profile: confirmed pathway avoidance, mTORC1 activity preservation per compound</w:t>
      </w:r>
    </w:p>
    <w:p>
      <w:pPr>
        <w:pStyle w:val="ListParagraph"/>
        <w:numPr>
          <w:ilvl w:val="0"/>
          <w:numId w:val="2"/>
        </w:numPr>
        <w:spacing w:after="100" w:line="360"/>
      </w:pPr>
      <w:r>
        <w:rPr>
          <w:rFonts w:ascii="Arial" w:cs="Arial" w:eastAsia="Arial" w:hAnsi="Arial"/>
          <w:sz w:val="24"/>
          <w:szCs w:val="24"/>
        </w:rPr>
        <w:t xml:space="preserve">CSF autophagy biomarker trajectory predictions: median % change in LC3-II and p62 per timepoint (4w, 8w, 12w, 24w)</w:t>
      </w:r>
    </w:p>
    <w:p>
      <w:pPr>
        <w:pStyle w:val="ListParagraph"/>
        <w:numPr>
          <w:ilvl w:val="0"/>
          <w:numId w:val="2"/>
        </w:numPr>
        <w:spacing w:after="100" w:line="360"/>
      </w:pPr>
      <w:r>
        <w:rPr>
          <w:rFonts w:ascii="Arial" w:cs="Arial" w:eastAsia="Arial" w:hAnsi="Arial"/>
          <w:sz w:val="24"/>
          <w:szCs w:val="24"/>
        </w:rPr>
        <w:t xml:space="preserve">Disease biomarker predictions: expected tau/amyloid/alpha-syn CSF reduction (%), plasma NfL stabilization or decline (%)</w:t>
      </w:r>
    </w:p>
    <w:p>
      <w:pPr>
        <w:pStyle w:val="ListParagraph"/>
        <w:numPr>
          <w:ilvl w:val="0"/>
          <w:numId w:val="2"/>
        </w:numPr>
        <w:spacing w:after="100" w:line="360"/>
      </w:pPr>
      <w:r>
        <w:rPr>
          <w:rFonts w:ascii="Arial" w:cs="Arial" w:eastAsia="Arial" w:hAnsi="Arial"/>
          <w:sz w:val="24"/>
          <w:szCs w:val="24"/>
        </w:rPr>
        <w:t xml:space="preserve">Biomarker-enriched patient selection: baseline CSF LC3/p62, protein aggregate burden, proteostatic stress thresholds for enrichment</w:t>
      </w:r>
    </w:p>
    <w:p>
      <w:pPr>
        <w:pStyle w:val="ListParagraph"/>
        <w:numPr>
          <w:ilvl w:val="0"/>
          <w:numId w:val="2"/>
        </w:numPr>
        <w:spacing w:after="100" w:line="360"/>
      </w:pPr>
      <w:r>
        <w:rPr>
          <w:rFonts w:ascii="Arial" w:cs="Arial" w:eastAsia="Arial" w:hAnsi="Arial"/>
          <w:sz w:val="24"/>
          <w:szCs w:val="24"/>
        </w:rPr>
        <w:t xml:space="preserve">Go/no-go autophagy biomarker thresholds: minimum acceptable LC3/p62 changes, disease biomarker velocity reduction, mTOR pathway preservation for advancement</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Autophagy mechanism validation protocol document with assay templates, biomarker trajectories, mTOR-safety confirmation, patient enrichment criteria, and advancement thresholds</w:t>
      </w:r>
    </w:p>
    <w:p>
      <w:pPr>
        <w:pStyle w:val="Heading2"/>
        <w:spacing w:after="200" w:before="200"/>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Quiver Bioscience EP CRISPR Atlas: ~18,000 gene perturbations with comprehensive electrophysiology phenotypes across disease models</w:t>
      </w:r>
    </w:p>
    <w:p>
      <w:pPr>
        <w:pStyle w:val="ListParagraph"/>
        <w:numPr>
          <w:ilvl w:val="0"/>
          <w:numId w:val="2"/>
        </w:numPr>
        <w:spacing w:after="100" w:line="360"/>
      </w:pPr>
      <w:r>
        <w:rPr>
          <w:rFonts w:ascii="Arial" w:cs="Arial" w:eastAsia="Arial" w:hAnsi="Arial"/>
          <w:sz w:val="24"/>
          <w:szCs w:val="24"/>
        </w:rPr>
        <w:t xml:space="preserve">Compound Library Database: ~3,500 small molecules with electrophysiological EP and mechanistic screening data</w:t>
      </w:r>
    </w:p>
    <w:p>
      <w:pPr>
        <w:pStyle w:val="ListParagraph"/>
        <w:numPr>
          <w:ilvl w:val="0"/>
          <w:numId w:val="2"/>
        </w:numPr>
        <w:spacing w:after="100" w:line="360"/>
      </w:pPr>
      <w:r>
        <w:rPr>
          <w:rFonts w:ascii="Arial" w:cs="Arial" w:eastAsia="Arial" w:hAnsi="Arial"/>
          <w:sz w:val="24"/>
          <w:szCs w:val="24"/>
        </w:rPr>
        <w:t xml:space="preserve">Disease-Specific Patient Cohorts: iPSC-derived neurons from disease patients with biomarker stratification and genetic annotations</w:t>
      </w:r>
    </w:p>
    <w:p>
      <w:pPr>
        <w:pStyle w:val="ListParagraph"/>
        <w:numPr>
          <w:ilvl w:val="0"/>
          <w:numId w:val="2"/>
        </w:numPr>
        <w:spacing w:after="100" w:line="360"/>
      </w:pPr>
      <w:r>
        <w:rPr>
          <w:rFonts w:ascii="Arial" w:cs="Arial" w:eastAsia="Arial" w:hAnsi="Arial"/>
          <w:sz w:val="24"/>
          <w:szCs w:val="24"/>
        </w:rPr>
        <w:t xml:space="preserve">Electrophysiology Feature Extraction Pipeline: Automated spike detection, feature calculation, and multi-dimensional normalization</w:t>
      </w:r>
    </w:p>
    <w:p>
      <w:pPr>
        <w:pStyle w:val="ListParagraph"/>
        <w:numPr>
          <w:ilvl w:val="0"/>
          <w:numId w:val="2"/>
        </w:numPr>
        <w:spacing w:after="100" w:line="360"/>
      </w:pPr>
      <w:r>
        <w:rPr>
          <w:rFonts w:ascii="Arial" w:cs="Arial" w:eastAsia="Arial" w:hAnsi="Arial"/>
          <w:sz w:val="24"/>
          <w:szCs w:val="24"/>
        </w:rPr>
        <w:t xml:space="preserve">Biomarker Integration Module: CSF, plasma, imaging biomarker aggregation and temporal trajectory modeling</w:t>
      </w:r>
    </w:p>
    <w:p>
      <w:pPr>
        <w:pStyle w:val="ListParagraph"/>
        <w:numPr>
          <w:ilvl w:val="0"/>
          <w:numId w:val="2"/>
        </w:numPr>
        <w:spacing w:after="100" w:line="360"/>
      </w:pPr>
      <w:r>
        <w:rPr>
          <w:rFonts w:ascii="Arial" w:cs="Arial" w:eastAsia="Arial" w:hAnsi="Arial"/>
          <w:sz w:val="24"/>
          <w:szCs w:val="24"/>
        </w:rPr>
        <w:t xml:space="preserve">CRISPR Rescue Similarity Search Engine: K-nearest neighbor and cosine distance-based query of atlas for rescue gene discovery</w:t>
      </w:r>
    </w:p>
    <w:p>
      <w:pPr>
        <w:pStyle w:val="ListParagraph"/>
        <w:numPr>
          <w:ilvl w:val="0"/>
          <w:numId w:val="2"/>
        </w:numPr>
        <w:spacing w:after="100" w:line="360"/>
      </w:pPr>
      <w:r>
        <w:rPr>
          <w:rFonts w:ascii="Arial" w:cs="Arial" w:eastAsia="Arial" w:hAnsi="Arial"/>
          <w:sz w:val="24"/>
          <w:szCs w:val="24"/>
        </w:rPr>
        <w:t xml:space="preserve">Target Druggability Predictor: ChEMBL/kinase selectivity annotation, structure-activity relationship prediction, and ligandability scoring</w:t>
      </w:r>
    </w:p>
    <w:p>
      <w:pPr>
        <w:pStyle w:val="ListParagraph"/>
        <w:numPr>
          <w:ilvl w:val="0"/>
          <w:numId w:val="2"/>
        </w:numPr>
        <w:spacing w:after="100" w:line="360"/>
      </w:pPr>
      <w:r>
        <w:rPr>
          <w:rFonts w:ascii="Arial" w:cs="Arial" w:eastAsia="Arial" w:hAnsi="Arial"/>
          <w:sz w:val="24"/>
          <w:szCs w:val="24"/>
        </w:rPr>
        <w:t xml:space="preserve">Clinical Trial Outcome Aggregator: ClinicalTrials.gov integration, literature mining NLP, and efficacy/safety meta-analysis</w:t>
      </w:r>
    </w:p>
    <w:p>
      <w:pPr>
        <w:pStyle w:val="ListParagraph"/>
        <w:numPr>
          <w:ilvl w:val="0"/>
          <w:numId w:val="2"/>
        </w:numPr>
        <w:spacing w:after="100" w:line="360"/>
      </w:pPr>
      <w:r>
        <w:rPr>
          <w:rFonts w:ascii="Arial" w:cs="Arial" w:eastAsia="Arial" w:hAnsi="Arial"/>
          <w:sz w:val="24"/>
          <w:szCs w:val="24"/>
        </w:rPr>
        <w:t xml:space="preserve">Multi-Modal Ranking Integrator: Weighted Borda aggregation combining EP, CRISPR, mechanism, and clinical evidence modalities</w:t>
      </w:r>
    </w:p>
    <w:p>
      <w:pPr>
        <w:pStyle w:val="ListParagraph"/>
        <w:numPr>
          <w:ilvl w:val="0"/>
          <w:numId w:val="2"/>
        </w:numPr>
        <w:spacing w:after="100" w:line="360"/>
      </w:pPr>
      <w:r>
        <w:rPr>
          <w:rFonts w:ascii="Arial" w:cs="Arial" w:eastAsia="Arial" w:hAnsi="Arial"/>
          <w:sz w:val="24"/>
          <w:szCs w:val="24"/>
        </w:rPr>
        <w:t xml:space="preserve">Pharmacokinetic/Pharmacodynamic Simulator: PK-PD model solver for biomarker trajectory prediction and dose optimization</w:t>
      </w:r>
    </w:p>
    <w:p>
      <w:pPr>
        <w:pStyle w:val="ListParagraph"/>
        <w:numPr>
          <w:ilvl w:val="0"/>
          <w:numId w:val="2"/>
        </w:numPr>
        <w:spacing w:after="100" w:line="360"/>
      </w:pPr>
      <w:r>
        <w:rPr>
          <w:rFonts w:ascii="Arial" w:cs="Arial" w:eastAsia="Arial" w:hAnsi="Arial"/>
          <w:sz w:val="24"/>
          <w:szCs w:val="24"/>
        </w:rPr>
        <w:t xml:space="preserve">Pathway Enrichment &amp; Network Analyzer: GSEA, hypergeometric tests, and disease-relevant network propagation</w:t>
      </w:r>
    </w:p>
    <w:p>
      <w:pPr>
        <w:pStyle w:val="ListParagraph"/>
        <w:numPr>
          <w:ilvl w:val="0"/>
          <w:numId w:val="2"/>
        </w:numPr>
        <w:spacing w:after="100" w:line="360"/>
      </w:pPr>
      <w:r>
        <w:rPr>
          <w:rFonts w:ascii="Arial" w:cs="Arial" w:eastAsia="Arial" w:hAnsi="Arial"/>
          <w:sz w:val="24"/>
          <w:szCs w:val="24"/>
        </w:rPr>
        <w:t xml:space="preserve">Gene-Disease Association Databases: GeneCards, DisGeNET, OMIM, and specialized neurodegeneration pathway databases</w:t>
      </w:r>
    </w:p>
    <w:p>
      <w:pPr>
        <w:pStyle w:val="ListParagraph"/>
        <w:numPr>
          <w:ilvl w:val="0"/>
          <w:numId w:val="2"/>
        </w:numPr>
        <w:spacing w:after="100" w:line="360"/>
      </w:pPr>
      <w:r>
        <w:rPr>
          <w:rFonts w:ascii="Arial" w:cs="Arial" w:eastAsia="Arial" w:hAnsi="Arial"/>
          <w:sz w:val="24"/>
          <w:szCs w:val="24"/>
        </w:rPr>
        <w:t xml:space="preserve">Validation Assay Protocol Generator: Automated protocol templates for EP, imaging, biomarker, and functional readouts</w:t>
      </w:r>
    </w:p>
    <w:p>
      <w:pPr>
        <w:pStyle w:val="ListParagraph"/>
        <w:numPr>
          <w:ilvl w:val="0"/>
          <w:numId w:val="2"/>
        </w:numPr>
        <w:spacing w:after="100" w:line="360"/>
      </w:pPr>
      <w:r>
        <w:rPr>
          <w:rFonts w:ascii="Arial" w:cs="Arial" w:eastAsia="Arial" w:hAnsi="Arial"/>
          <w:sz w:val="24"/>
          <w:szCs w:val="24"/>
        </w:rPr>
        <w:t xml:space="preserve">Statistical Power Calculator: Sample size estimation for Phase II trials with specified biomarker endpoints</w:t>
      </w:r>
    </w:p>
    <w:p>
      <w:pPr>
        <w:pStyle w:val="ListParagraph"/>
        <w:numPr>
          <w:ilvl w:val="0"/>
          <w:numId w:val="2"/>
        </w:numPr>
        <w:spacing w:after="100" w:line="360"/>
      </w:pPr>
      <w:r>
        <w:rPr>
          <w:rFonts w:ascii="Arial" w:cs="Arial" w:eastAsia="Arial" w:hAnsi="Arial"/>
          <w:sz w:val="24"/>
          <w:szCs w:val="24"/>
        </w:rPr>
        <w:t xml:space="preserve">Visualization Suite: Pathway diagrams, mechanism-gene-disease networks, heatmaps, radar plots, and ranked compound dashboards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2026-03-04T01:32:47.677Z</dcterms:created>
  <dcterms:modified xsi:type="dcterms:W3CDTF">2026-03-04T01:32:47.677Z</dcterms:modified>
</cp:coreProperties>
</file>

<file path=docProps/custom.xml><?xml version="1.0" encoding="utf-8"?>
<Properties xmlns="http://schemas.openxmlformats.org/officeDocument/2006/custom-properties" xmlns:vt="http://schemas.openxmlformats.org/officeDocument/2006/docPropsVTypes"/>
</file>