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Huntington's Disease Combination Strategies</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Identify combination strategies for Huntington's disease.</w:t>
      </w:r>
    </w:p>
    <w:p>
      <w:pPr>
        <w:spacing w:after="200" w:line="360"/>
      </w:pPr>
      <w:r>
        <w:rPr>
          <w:rFonts w:ascii="Arial" w:cs="Arial" w:eastAsia="Arial" w:hAnsi="Arial"/>
          <w:sz w:val="24"/>
          <w:szCs w:val="24"/>
        </w:rPr>
        <w:t xml:space="preserve">This pipeline systematically identifies synergistic drug combination strategies for Huntington's disease (HD) by leveraging the Quiver Bioscience electrophysiology CRISPR atlas. The workflow integrates genetically-validated HTT-lowering targets, mHTT aggregation inhibitors, and striatal network stabilizers to model the polyglutamine pathology cascade and identify therapeutic windows where dual or triple mechanisms yield enhanced neuroprotection.</w:t>
      </w:r>
    </w:p>
    <w:p>
      <w:pPr>
        <w:spacing w:after="200" w:line="360"/>
      </w:pPr>
      <w:r>
        <w:rPr>
          <w:rFonts w:ascii="Arial" w:cs="Arial" w:eastAsia="Arial" w:hAnsi="Arial"/>
          <w:sz w:val="24"/>
          <w:szCs w:val="24"/>
        </w:rPr>
        <w:t xml:space="preserve">The pipeline employs hierarchical filtering across the ~18k gene perturbations and ~3,500 compound perturbations to isolate HTT-modulating genes, assess their epistatic interactions in striatal medium spiny neurons (MSNs), and rank combination pairs by electrophysiological rescue strength. Integration of bioenergetic, morphological, and synaptic connectivity metrics ensures that selected combinations address both early molecular pathology and downstream network dysfunction characteristic of HD pathogenesis.</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Sapphire Pipeline employs hierarchical filtering across the Quiver Bioscience electrophysiology CRISPR atlas to identify compounds and genetic modifiers that address the underlying pathophysiology of neurodegenerative disease. By integrating thousands of single-cell electrophysiological recordings, multi-electrode array circuit-level phenotyping, and bioenergetic profiling, the pipeline identifies interventions that restore neuronal excitability properties, stabilize network-level synchronization, and support cellular energy homeostasis.</w:t>
      </w:r>
    </w:p>
    <w:p>
      <w:pPr>
        <w:spacing w:after="200" w:line="360"/>
      </w:pPr>
      <w:r>
        <w:rPr>
          <w:rFonts w:ascii="Arial" w:cs="Arial" w:eastAsia="Arial" w:hAnsi="Arial"/>
          <w:sz w:val="24"/>
          <w:szCs w:val="24"/>
        </w:rPr>
        <w:t xml:space="preserve">Each pipeline stage systematically filters compounds through progressively stringent efficacy criteria: initial target validation, cellular rescue phenotyping, circuit-level network recovery, disease model stratification, biomarker integration, and safety profiling. This multi-scale, biomarker-guided approach ensures that identified therapeutics address root causes of pathology while maintaining broad applicability across disease contexts and patient populations.</w:t>
      </w:r>
    </w:p>
    <w:p>
      <w:pPr>
        <w:pStyle w:val="Heading2"/>
      </w:pPr>
      <w:r>
        <w:rPr>
          <w:rFonts w:ascii="Arial" w:cs="Arial" w:eastAsia="Arial" w:hAnsi="Arial"/>
          <w:b/>
          <w:bCs/>
          <w:sz w:val="28"/>
          <w:szCs w:val="28"/>
        </w:rPr>
        <w:t xml:space="preserve">Stage 1: HTT-Lowering Target Discovery &amp; Validation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and validate genes whose knockdown or targeted modulation reduces mutant HTT (mHTT) expression or promotes mHTT clearance in striatal MSN models, establishing the genetically-validated foundation for combination strategies.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HTT sequence variants (CAG repeat length, mRNA expression levels) from the EP CRISPR atlas</w:t>
      </w:r>
    </w:p>
    <w:p>
      <w:pPr>
        <w:pStyle w:val="ListParagraph"/>
        <w:numPr>
          <w:ilvl w:val="0"/>
          <w:numId w:val="2"/>
        </w:numPr>
        <w:spacing w:after="100" w:line="360"/>
      </w:pPr>
      <w:r>
        <w:rPr>
          <w:rFonts w:ascii="Arial" w:cs="Arial" w:eastAsia="Arial" w:hAnsi="Arial"/>
          <w:sz w:val="24"/>
          <w:szCs w:val="24"/>
        </w:rPr>
        <w:t xml:space="preserve">Striatal MSN-specific vulnerability scores from CRISPR knockout sensitivity phenotyping</w:t>
      </w:r>
    </w:p>
    <w:p>
      <w:pPr>
        <w:pStyle w:val="ListParagraph"/>
        <w:numPr>
          <w:ilvl w:val="0"/>
          <w:numId w:val="2"/>
        </w:numPr>
        <w:spacing w:after="100" w:line="360"/>
      </w:pPr>
      <w:r>
        <w:rPr>
          <w:rFonts w:ascii="Arial" w:cs="Arial" w:eastAsia="Arial" w:hAnsi="Arial"/>
          <w:sz w:val="24"/>
          <w:szCs w:val="24"/>
        </w:rPr>
        <w:t xml:space="preserve">mHTT aggregation burden metrics (immunofluorescence intensity, proteasomal turnover rate)</w:t>
      </w:r>
    </w:p>
    <w:p>
      <w:pPr>
        <w:pStyle w:val="ListParagraph"/>
        <w:numPr>
          <w:ilvl w:val="0"/>
          <w:numId w:val="2"/>
        </w:numPr>
        <w:spacing w:after="100" w:line="360"/>
      </w:pPr>
      <w:r>
        <w:rPr>
          <w:rFonts w:ascii="Arial" w:cs="Arial" w:eastAsia="Arial" w:hAnsi="Arial"/>
          <w:sz w:val="24"/>
          <w:szCs w:val="24"/>
        </w:rPr>
        <w:t xml:space="preserve">Gene ontology annotations for protein quality control, autophagy, and mHTT trafficking pathways</w:t>
      </w:r>
    </w:p>
    <w:p>
      <w:pPr>
        <w:pStyle w:val="ListParagraph"/>
        <w:numPr>
          <w:ilvl w:val="0"/>
          <w:numId w:val="2"/>
        </w:numPr>
        <w:spacing w:after="100" w:line="360"/>
      </w:pPr>
      <w:r>
        <w:rPr>
          <w:rFonts w:ascii="Arial" w:cs="Arial" w:eastAsia="Arial" w:hAnsi="Arial"/>
          <w:sz w:val="24"/>
          <w:szCs w:val="24"/>
        </w:rPr>
        <w:t xml:space="preserve">Baseline electrophysiological signatures in HD and control neuronal models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CRISPR-Cas9 atlas screening layer (HTT and HTT-modulating genes)</w:t>
      </w:r>
    </w:p>
    <w:p>
      <w:pPr>
        <w:pStyle w:val="ListParagraph"/>
        <w:numPr>
          <w:ilvl w:val="0"/>
          <w:numId w:val="2"/>
        </w:numPr>
        <w:spacing w:after="100" w:line="360"/>
      </w:pPr>
      <w:r>
        <w:rPr>
          <w:rFonts w:ascii="Arial" w:cs="Arial" w:eastAsia="Arial" w:hAnsi="Arial"/>
          <w:sz w:val="24"/>
          <w:szCs w:val="24"/>
        </w:rPr>
        <w:t xml:space="preserve">Machine learning pipeline for HTT-lowering target ranking</w:t>
      </w:r>
    </w:p>
    <w:p>
      <w:pPr>
        <w:pStyle w:val="ListParagraph"/>
        <w:numPr>
          <w:ilvl w:val="0"/>
          <w:numId w:val="2"/>
        </w:numPr>
        <w:spacing w:after="100" w:line="360"/>
      </w:pPr>
      <w:r>
        <w:rPr>
          <w:rFonts w:ascii="Arial" w:cs="Arial" w:eastAsia="Arial" w:hAnsi="Arial"/>
          <w:sz w:val="24"/>
          <w:szCs w:val="24"/>
        </w:rPr>
        <w:t xml:space="preserve">Proteasome activity assays integrated with EP recording</w:t>
      </w:r>
    </w:p>
    <w:p>
      <w:pPr>
        <w:pStyle w:val="ListParagraph"/>
        <w:numPr>
          <w:ilvl w:val="0"/>
          <w:numId w:val="2"/>
        </w:numPr>
        <w:spacing w:after="100" w:line="360"/>
      </w:pPr>
      <w:r>
        <w:rPr>
          <w:rFonts w:ascii="Arial" w:cs="Arial" w:eastAsia="Arial" w:hAnsi="Arial"/>
          <w:sz w:val="24"/>
          <w:szCs w:val="24"/>
        </w:rPr>
        <w:t xml:space="preserve">Autophagy flux quantification modules (mCherry-GFP-LC3 analysis)</w:t>
      </w:r>
    </w:p>
    <w:p>
      <w:pPr>
        <w:pStyle w:val="ListParagraph"/>
        <w:numPr>
          <w:ilvl w:val="0"/>
          <w:numId w:val="2"/>
        </w:numPr>
        <w:spacing w:after="100" w:line="360"/>
      </w:pPr>
      <w:r>
        <w:rPr>
          <w:rFonts w:ascii="Arial" w:cs="Arial" w:eastAsia="Arial" w:hAnsi="Arial"/>
          <w:sz w:val="24"/>
          <w:szCs w:val="24"/>
        </w:rPr>
        <w:t xml:space="preserve">Network-level HTT burden mapping across striatal circuit models</w:t>
      </w:r>
    </w:p>
    <w:p>
      <w:pPr>
        <w:pStyle w:val="ListParagraph"/>
        <w:numPr>
          <w:ilvl w:val="0"/>
          <w:numId w:val="2"/>
        </w:numPr>
        <w:spacing w:after="100" w:line="360"/>
      </w:pPr>
      <w:r>
        <w:rPr>
          <w:rFonts w:ascii="Arial" w:cs="Arial" w:eastAsia="Arial" w:hAnsi="Arial"/>
          <w:sz w:val="24"/>
          <w:szCs w:val="24"/>
        </w:rPr>
        <w:t xml:space="preserve">Gene interaction prediction engine (epistasis detection)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CRISPR knockdowns of HTT co-factors most significantly reduce mHTT aggregation burden in striatal MSNs?</w:t>
      </w:r>
    </w:p>
    <w:p>
      <w:pPr>
        <w:pStyle w:val="ListParagraph"/>
        <w:numPr>
          <w:ilvl w:val="0"/>
          <w:numId w:val="2"/>
        </w:numPr>
        <w:spacing w:after="100" w:line="360"/>
      </w:pPr>
      <w:r>
        <w:rPr>
          <w:rFonts w:ascii="Arial" w:cs="Arial" w:eastAsia="Arial" w:hAnsi="Arial"/>
          <w:sz w:val="24"/>
          <w:szCs w:val="24"/>
        </w:rPr>
        <w:t xml:space="preserve">What is the relationship between HTT-lowering pathway activation and striatal MSN action potential firing frequency recovery?</w:t>
      </w:r>
    </w:p>
    <w:p>
      <w:pPr>
        <w:pStyle w:val="ListParagraph"/>
        <w:numPr>
          <w:ilvl w:val="0"/>
          <w:numId w:val="2"/>
        </w:numPr>
        <w:spacing w:after="100" w:line="360"/>
      </w:pPr>
      <w:r>
        <w:rPr>
          <w:rFonts w:ascii="Arial" w:cs="Arial" w:eastAsia="Arial" w:hAnsi="Arial"/>
          <w:sz w:val="24"/>
          <w:szCs w:val="24"/>
        </w:rPr>
        <w:t xml:space="preserve">Which autophagy-related genes show synergistic HTT-lowering when combined with proteasomal inhibitors?</w:t>
      </w:r>
    </w:p>
    <w:p>
      <w:pPr>
        <w:pStyle w:val="ListParagraph"/>
        <w:numPr>
          <w:ilvl w:val="0"/>
          <w:numId w:val="2"/>
        </w:numPr>
        <w:spacing w:after="100" w:line="360"/>
      </w:pPr>
      <w:r>
        <w:rPr>
          <w:rFonts w:ascii="Arial" w:cs="Arial" w:eastAsia="Arial" w:hAnsi="Arial"/>
          <w:sz w:val="24"/>
          <w:szCs w:val="24"/>
        </w:rPr>
        <w:t xml:space="preserve">How does the HTT aggregation timeline correlate with progressive striatal network desynchronization?</w:t>
      </w:r>
    </w:p>
    <w:p>
      <w:pPr>
        <w:pStyle w:val="ListParagraph"/>
        <w:numPr>
          <w:ilvl w:val="0"/>
          <w:numId w:val="2"/>
        </w:numPr>
        <w:spacing w:after="100" w:line="360"/>
      </w:pPr>
      <w:r>
        <w:rPr>
          <w:rFonts w:ascii="Arial" w:cs="Arial" w:eastAsia="Arial" w:hAnsi="Arial"/>
          <w:sz w:val="24"/>
          <w:szCs w:val="24"/>
        </w:rPr>
        <w:t xml:space="preserve">What are the top 20 HTT-modulating genes ranked by neuroprotection breadth across HD neuronal phenotypes?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list of 50+ HTT-lowering candidate genes with neuroprotection scores</w:t>
      </w:r>
    </w:p>
    <w:p>
      <w:pPr>
        <w:pStyle w:val="ListParagraph"/>
        <w:numPr>
          <w:ilvl w:val="0"/>
          <w:numId w:val="2"/>
        </w:numPr>
        <w:spacing w:after="100" w:line="360"/>
      </w:pPr>
      <w:r>
        <w:rPr>
          <w:rFonts w:ascii="Arial" w:cs="Arial" w:eastAsia="Arial" w:hAnsi="Arial"/>
          <w:sz w:val="24"/>
          <w:szCs w:val="24"/>
        </w:rPr>
        <w:t xml:space="preserve">mHTT clearance kinetics table (half-life, turnover rate) for each validated target</w:t>
      </w:r>
    </w:p>
    <w:p>
      <w:pPr>
        <w:pStyle w:val="ListParagraph"/>
        <w:numPr>
          <w:ilvl w:val="0"/>
          <w:numId w:val="2"/>
        </w:numPr>
        <w:spacing w:after="100" w:line="360"/>
      </w:pPr>
      <w:r>
        <w:rPr>
          <w:rFonts w:ascii="Arial" w:cs="Arial" w:eastAsia="Arial" w:hAnsi="Arial"/>
          <w:sz w:val="24"/>
          <w:szCs w:val="24"/>
        </w:rPr>
        <w:t xml:space="preserve">Epistatic interaction map showing HTT-lowering gene pairs and triple combinations</w:t>
      </w:r>
    </w:p>
    <w:p>
      <w:pPr>
        <w:pStyle w:val="ListParagraph"/>
        <w:numPr>
          <w:ilvl w:val="0"/>
          <w:numId w:val="2"/>
        </w:numPr>
        <w:spacing w:after="100" w:line="360"/>
      </w:pPr>
      <w:r>
        <w:rPr>
          <w:rFonts w:ascii="Arial" w:cs="Arial" w:eastAsia="Arial" w:hAnsi="Arial"/>
          <w:sz w:val="24"/>
          <w:szCs w:val="24"/>
        </w:rPr>
        <w:t xml:space="preserve">Striatal MSN electrophysiological rescue profiles (AP amplitude, firing frequency, bursting stability)</w:t>
      </w:r>
    </w:p>
    <w:p>
      <w:pPr>
        <w:pStyle w:val="ListParagraph"/>
        <w:numPr>
          <w:ilvl w:val="0"/>
          <w:numId w:val="2"/>
        </w:numPr>
        <w:spacing w:after="100" w:line="360"/>
      </w:pPr>
      <w:r>
        <w:rPr>
          <w:rFonts w:ascii="Arial" w:cs="Arial" w:eastAsia="Arial" w:hAnsi="Arial"/>
          <w:sz w:val="24"/>
          <w:szCs w:val="24"/>
        </w:rPr>
        <w:t xml:space="preserve">Bioenergetic rescue metrics (ATP production, mitochondrial membrane potential) per HTT-lowering intervention</w:t>
      </w:r>
    </w:p>
    <w:p>
      <w:pPr>
        <w:pStyle w:val="ListParagraph"/>
        <w:numPr>
          <w:ilvl w:val="0"/>
          <w:numId w:val="2"/>
        </w:numPr>
        <w:spacing w:after="100" w:line="360"/>
      </w:pPr>
      <w:r>
        <w:rPr>
          <w:rFonts w:ascii="Arial" w:cs="Arial" w:eastAsia="Arial" w:hAnsi="Arial"/>
          <w:sz w:val="24"/>
          <w:szCs w:val="24"/>
        </w:rPr>
        <w:t xml:space="preserve">Target validation summary (in vitro aggregation assay, ex vivo tissue slice recording, in vivo transgenic model predictions)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Structured CSV/JSON table with gene identifiers, mHTT clearance rates, EP rescue strength scores, and recommended downstream combination partners</w:t>
      </w:r>
    </w:p>
    <w:p>
      <w:pPr>
        <w:pStyle w:val="Heading2"/>
      </w:pPr>
      <w:r>
        <w:rPr>
          <w:rFonts w:ascii="Arial" w:cs="Arial" w:eastAsia="Arial" w:hAnsi="Arial"/>
          <w:b/>
          <w:bCs/>
          <w:sz w:val="28"/>
          <w:szCs w:val="28"/>
        </w:rPr>
        <w:t xml:space="preserve">Stage 2: mHTT Aggregation &amp; Protein Quality Control Modifier Discovery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Discover compounds and genes that directly inhibit mHTT aggregation, promote clearance, or enhance protein quality control (PQC) mechanisms, focusing on reducing toxic conformers and restoring striatal network function.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Compound library (~3,500 perturbations) with mHTT aggregation effects quantified by high-content imaging</w:t>
      </w:r>
    </w:p>
    <w:p>
      <w:pPr>
        <w:pStyle w:val="ListParagraph"/>
        <w:numPr>
          <w:ilvl w:val="0"/>
          <w:numId w:val="2"/>
        </w:numPr>
        <w:spacing w:after="100" w:line="360"/>
      </w:pPr>
      <w:r>
        <w:rPr>
          <w:rFonts w:ascii="Arial" w:cs="Arial" w:eastAsia="Arial" w:hAnsi="Arial"/>
          <w:sz w:val="24"/>
          <w:szCs w:val="24"/>
        </w:rPr>
        <w:t xml:space="preserve">PQC pathway perturbation screens (chaperone heat shock factors, E3 ligases, deubiquitinases)</w:t>
      </w:r>
    </w:p>
    <w:p>
      <w:pPr>
        <w:pStyle w:val="ListParagraph"/>
        <w:numPr>
          <w:ilvl w:val="0"/>
          <w:numId w:val="2"/>
        </w:numPr>
        <w:spacing w:after="100" w:line="360"/>
      </w:pPr>
      <w:r>
        <w:rPr>
          <w:rFonts w:ascii="Arial" w:cs="Arial" w:eastAsia="Arial" w:hAnsi="Arial"/>
          <w:sz w:val="24"/>
          <w:szCs w:val="24"/>
        </w:rPr>
        <w:t xml:space="preserve">mHTT conformer-specific antibody binding patterns and aggregation kinetics</w:t>
      </w:r>
    </w:p>
    <w:p>
      <w:pPr>
        <w:pStyle w:val="ListParagraph"/>
        <w:numPr>
          <w:ilvl w:val="0"/>
          <w:numId w:val="2"/>
        </w:numPr>
        <w:spacing w:after="100" w:line="360"/>
      </w:pPr>
      <w:r>
        <w:rPr>
          <w:rFonts w:ascii="Arial" w:cs="Arial" w:eastAsia="Arial" w:hAnsi="Arial"/>
          <w:sz w:val="24"/>
          <w:szCs w:val="24"/>
        </w:rPr>
        <w:t xml:space="preserve">Striatal MSN survival and neurite outgrowth phenotypes across PQC modifier treatments</w:t>
      </w:r>
    </w:p>
    <w:p>
      <w:pPr>
        <w:pStyle w:val="ListParagraph"/>
        <w:numPr>
          <w:ilvl w:val="0"/>
          <w:numId w:val="2"/>
        </w:numPr>
        <w:spacing w:after="100" w:line="360"/>
      </w:pPr>
      <w:r>
        <w:rPr>
          <w:rFonts w:ascii="Arial" w:cs="Arial" w:eastAsia="Arial" w:hAnsi="Arial"/>
          <w:sz w:val="24"/>
          <w:szCs w:val="24"/>
        </w:rPr>
        <w:t xml:space="preserve">Mitochondrial dysfunction markers associated with mHTT burden (Complex I-IV activity, calcium handling)</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High-content fluorescence imaging for mHTT polyQ aggregation burden quantification</w:t>
      </w:r>
    </w:p>
    <w:p>
      <w:pPr>
        <w:pStyle w:val="ListParagraph"/>
        <w:numPr>
          <w:ilvl w:val="0"/>
          <w:numId w:val="2"/>
        </w:numPr>
        <w:spacing w:after="100" w:line="360"/>
      </w:pPr>
      <w:r>
        <w:rPr>
          <w:rFonts w:ascii="Arial" w:cs="Arial" w:eastAsia="Arial" w:hAnsi="Arial"/>
          <w:sz w:val="24"/>
          <w:szCs w:val="24"/>
        </w:rPr>
        <w:t xml:space="preserve">Proteasomal and lysosomal-autophagy flux assay integration</w:t>
      </w:r>
    </w:p>
    <w:p>
      <w:pPr>
        <w:pStyle w:val="ListParagraph"/>
        <w:numPr>
          <w:ilvl w:val="0"/>
          <w:numId w:val="2"/>
        </w:numPr>
        <w:spacing w:after="100" w:line="360"/>
      </w:pPr>
      <w:r>
        <w:rPr>
          <w:rFonts w:ascii="Arial" w:cs="Arial" w:eastAsia="Arial" w:hAnsi="Arial"/>
          <w:sz w:val="24"/>
          <w:szCs w:val="24"/>
        </w:rPr>
        <w:t xml:space="preserve">Machine learning for aggregation inhibitor efficacy ranking</w:t>
      </w:r>
    </w:p>
    <w:p>
      <w:pPr>
        <w:pStyle w:val="ListParagraph"/>
        <w:numPr>
          <w:ilvl w:val="0"/>
          <w:numId w:val="2"/>
        </w:numPr>
        <w:spacing w:after="100" w:line="360"/>
      </w:pPr>
      <w:r>
        <w:rPr>
          <w:rFonts w:ascii="Arial" w:cs="Arial" w:eastAsia="Arial" w:hAnsi="Arial"/>
          <w:sz w:val="24"/>
          <w:szCs w:val="24"/>
        </w:rPr>
        <w:t xml:space="preserve">Conformer-specific toxicity prediction models</w:t>
      </w:r>
    </w:p>
    <w:p>
      <w:pPr>
        <w:pStyle w:val="ListParagraph"/>
        <w:numPr>
          <w:ilvl w:val="0"/>
          <w:numId w:val="2"/>
        </w:numPr>
        <w:spacing w:after="100" w:line="360"/>
      </w:pPr>
      <w:r>
        <w:rPr>
          <w:rFonts w:ascii="Arial" w:cs="Arial" w:eastAsia="Arial" w:hAnsi="Arial"/>
          <w:sz w:val="24"/>
          <w:szCs w:val="24"/>
        </w:rPr>
        <w:t xml:space="preserve">EP recording with simultaneous bioenergetic profiling (oxygen consumption, NADH autofluorescence)</w:t>
      </w:r>
    </w:p>
    <w:p>
      <w:pPr>
        <w:pStyle w:val="ListParagraph"/>
        <w:numPr>
          <w:ilvl w:val="0"/>
          <w:numId w:val="2"/>
        </w:numPr>
        <w:spacing w:after="100" w:line="360"/>
      </w:pPr>
      <w:r>
        <w:rPr>
          <w:rFonts w:ascii="Arial" w:cs="Arial" w:eastAsia="Arial" w:hAnsi="Arial"/>
          <w:sz w:val="24"/>
          <w:szCs w:val="24"/>
        </w:rPr>
        <w:t xml:space="preserve">Genetic interaction solver for PQC pathway synthetic lethal/lethal analysis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compounds most potently inhibit mHTT aggregation while preserving wildtype HTT function?</w:t>
      </w:r>
    </w:p>
    <w:p>
      <w:pPr>
        <w:pStyle w:val="ListParagraph"/>
        <w:numPr>
          <w:ilvl w:val="0"/>
          <w:numId w:val="2"/>
        </w:numPr>
        <w:spacing w:after="100" w:line="360"/>
      </w:pPr>
      <w:r>
        <w:rPr>
          <w:rFonts w:ascii="Arial" w:cs="Arial" w:eastAsia="Arial" w:hAnsi="Arial"/>
          <w:sz w:val="24"/>
          <w:szCs w:val="24"/>
        </w:rPr>
        <w:t xml:space="preserve">What is the relationship between hsp70/hsp90 activity and mHTT solubility in striatal neurons?</w:t>
      </w:r>
    </w:p>
    <w:p>
      <w:pPr>
        <w:pStyle w:val="ListParagraph"/>
        <w:numPr>
          <w:ilvl w:val="0"/>
          <w:numId w:val="2"/>
        </w:numPr>
        <w:spacing w:after="100" w:line="360"/>
      </w:pPr>
      <w:r>
        <w:rPr>
          <w:rFonts w:ascii="Arial" w:cs="Arial" w:eastAsia="Arial" w:hAnsi="Arial"/>
          <w:sz w:val="24"/>
          <w:szCs w:val="24"/>
        </w:rPr>
        <w:t xml:space="preserve">Which E3 ubiquitin ligases enhance mHTT ubiquitination and proteasomal clearance?</w:t>
      </w:r>
    </w:p>
    <w:p>
      <w:pPr>
        <w:pStyle w:val="ListParagraph"/>
        <w:numPr>
          <w:ilvl w:val="0"/>
          <w:numId w:val="2"/>
        </w:numPr>
        <w:spacing w:after="100" w:line="360"/>
      </w:pPr>
      <w:r>
        <w:rPr>
          <w:rFonts w:ascii="Arial" w:cs="Arial" w:eastAsia="Arial" w:hAnsi="Arial"/>
          <w:sz w:val="24"/>
          <w:szCs w:val="24"/>
        </w:rPr>
        <w:t xml:space="preserve">How do autophagy flux modulators improve mHTT clearance without triggering striatal MSN loss?</w:t>
      </w:r>
    </w:p>
    <w:p>
      <w:pPr>
        <w:pStyle w:val="ListParagraph"/>
        <w:numPr>
          <w:ilvl w:val="0"/>
          <w:numId w:val="2"/>
        </w:numPr>
        <w:spacing w:after="100" w:line="360"/>
      </w:pPr>
      <w:r>
        <w:rPr>
          <w:rFonts w:ascii="Arial" w:cs="Arial" w:eastAsia="Arial" w:hAnsi="Arial"/>
          <w:sz w:val="24"/>
          <w:szCs w:val="24"/>
        </w:rPr>
        <w:t xml:space="preserve">Which protein quality control modifiers synergize with HTT-lowering strategies?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Compound activity library: mHTT aggregation inhibition potency, selectivity for mHTT vs. wtHTT</w:t>
      </w:r>
    </w:p>
    <w:p>
      <w:pPr>
        <w:pStyle w:val="ListParagraph"/>
        <w:numPr>
          <w:ilvl w:val="0"/>
          <w:numId w:val="2"/>
        </w:numPr>
        <w:spacing w:after="100" w:line="360"/>
      </w:pPr>
      <w:r>
        <w:rPr>
          <w:rFonts w:ascii="Arial" w:cs="Arial" w:eastAsia="Arial" w:hAnsi="Arial"/>
          <w:sz w:val="24"/>
          <w:szCs w:val="24"/>
        </w:rPr>
        <w:t xml:space="preserve">PQC pathway modifier ranking table with chaperone induction scores and clearance enhancement metrics</w:t>
      </w:r>
    </w:p>
    <w:p>
      <w:pPr>
        <w:pStyle w:val="ListParagraph"/>
        <w:numPr>
          <w:ilvl w:val="0"/>
          <w:numId w:val="2"/>
        </w:numPr>
        <w:spacing w:after="100" w:line="360"/>
      </w:pPr>
      <w:r>
        <w:rPr>
          <w:rFonts w:ascii="Arial" w:cs="Arial" w:eastAsia="Arial" w:hAnsi="Arial"/>
          <w:sz w:val="24"/>
          <w:szCs w:val="24"/>
        </w:rPr>
        <w:t xml:space="preserve">mHTT conformer burden reduction profiles per compound/gene combination</w:t>
      </w:r>
    </w:p>
    <w:p>
      <w:pPr>
        <w:pStyle w:val="ListParagraph"/>
        <w:numPr>
          <w:ilvl w:val="0"/>
          <w:numId w:val="2"/>
        </w:numPr>
        <w:spacing w:after="100" w:line="360"/>
      </w:pPr>
      <w:r>
        <w:rPr>
          <w:rFonts w:ascii="Arial" w:cs="Arial" w:eastAsia="Arial" w:hAnsi="Arial"/>
          <w:sz w:val="24"/>
          <w:szCs w:val="24"/>
        </w:rPr>
        <w:t xml:space="preserve">Striatal MSN viability and neurite complexity metrics post-PQC modulation</w:t>
      </w:r>
    </w:p>
    <w:p>
      <w:pPr>
        <w:pStyle w:val="ListParagraph"/>
        <w:numPr>
          <w:ilvl w:val="0"/>
          <w:numId w:val="2"/>
        </w:numPr>
        <w:spacing w:after="100" w:line="360"/>
      </w:pPr>
      <w:r>
        <w:rPr>
          <w:rFonts w:ascii="Arial" w:cs="Arial" w:eastAsia="Arial" w:hAnsi="Arial"/>
          <w:sz w:val="24"/>
          <w:szCs w:val="24"/>
        </w:rPr>
        <w:t xml:space="preserve">Bioenergetic restoration scores (ATP/ADP ratio, ROS production rate) for each intervention</w:t>
      </w:r>
    </w:p>
    <w:p>
      <w:pPr>
        <w:pStyle w:val="ListParagraph"/>
        <w:numPr>
          <w:ilvl w:val="0"/>
          <w:numId w:val="2"/>
        </w:numPr>
        <w:spacing w:after="100" w:line="360"/>
      </w:pPr>
      <w:r>
        <w:rPr>
          <w:rFonts w:ascii="Arial" w:cs="Arial" w:eastAsia="Arial" w:hAnsi="Arial"/>
          <w:sz w:val="24"/>
          <w:szCs w:val="24"/>
        </w:rPr>
        <w:t xml:space="preserve">Prioritized 15-30 compounds and genetic modifiers for downstream combination testing</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Compound-centric database with aggregation inhibition IC50 values, cellular potency, conformer selectivity, and bioenergetic coupling metrics</w:t>
      </w:r>
    </w:p>
    <w:p>
      <w:pPr>
        <w:pStyle w:val="Heading2"/>
      </w:pPr>
      <w:r>
        <w:rPr>
          <w:rFonts w:ascii="Arial" w:cs="Arial" w:eastAsia="Arial" w:hAnsi="Arial"/>
          <w:b/>
          <w:bCs/>
          <w:sz w:val="28"/>
          <w:szCs w:val="28"/>
        </w:rPr>
        <w:t xml:space="preserve">Stage 3: Striatal Network Circuit Mapping &amp; Dysfunction Phenotyping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Characterize striatal circuit-level dysfunction in HD using the EP CRISPR atlas (network connectivity, synchronization, plasticity), identifying electrophysiological signatures that define HD pathology and serve as target endpoints for combination therapy.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Multi-electrode array (MEA) or calcium imaging recordings from striatal MSN-FSI-SPN networks in HD models</w:t>
      </w:r>
    </w:p>
    <w:p>
      <w:pPr>
        <w:pStyle w:val="ListParagraph"/>
        <w:numPr>
          <w:ilvl w:val="0"/>
          <w:numId w:val="2"/>
        </w:numPr>
        <w:spacing w:after="100" w:line="360"/>
      </w:pPr>
      <w:r>
        <w:rPr>
          <w:rFonts w:ascii="Arial" w:cs="Arial" w:eastAsia="Arial" w:hAnsi="Arial"/>
          <w:sz w:val="24"/>
          <w:szCs w:val="24"/>
        </w:rPr>
        <w:t xml:space="preserve">Striatal circuit connectivity parameters (functional coupling, gap junction dependence, chemical synapse strength)</w:t>
      </w:r>
    </w:p>
    <w:p>
      <w:pPr>
        <w:pStyle w:val="ListParagraph"/>
        <w:numPr>
          <w:ilvl w:val="0"/>
          <w:numId w:val="2"/>
        </w:numPr>
        <w:spacing w:after="100" w:line="360"/>
      </w:pPr>
      <w:r>
        <w:rPr>
          <w:rFonts w:ascii="Arial" w:cs="Arial" w:eastAsia="Arial" w:hAnsi="Arial"/>
          <w:sz w:val="24"/>
          <w:szCs w:val="24"/>
        </w:rPr>
        <w:t xml:space="preserve">Intrinsic neuronal properties (resting membrane potential, input resistance, AP kinetics) across HD progression stages</w:t>
      </w:r>
    </w:p>
    <w:p>
      <w:pPr>
        <w:pStyle w:val="ListParagraph"/>
        <w:numPr>
          <w:ilvl w:val="0"/>
          <w:numId w:val="2"/>
        </w:numPr>
        <w:spacing w:after="100" w:line="360"/>
      </w:pPr>
      <w:r>
        <w:rPr>
          <w:rFonts w:ascii="Arial" w:cs="Arial" w:eastAsia="Arial" w:hAnsi="Arial"/>
          <w:sz w:val="24"/>
          <w:szCs w:val="24"/>
        </w:rPr>
        <w:t xml:space="preserve">Synaptic plasticity metrics (spike-timing-dependent plasticity, short-term depression, post-tetanic potentiation)</w:t>
      </w:r>
    </w:p>
    <w:p>
      <w:pPr>
        <w:pStyle w:val="ListParagraph"/>
        <w:numPr>
          <w:ilvl w:val="0"/>
          <w:numId w:val="2"/>
        </w:numPr>
        <w:spacing w:after="100" w:line="360"/>
      </w:pPr>
      <w:r>
        <w:rPr>
          <w:rFonts w:ascii="Arial" w:cs="Arial" w:eastAsia="Arial" w:hAnsi="Arial"/>
          <w:sz w:val="24"/>
          <w:szCs w:val="24"/>
        </w:rPr>
        <w:t xml:space="preserve">HD disease-stage-specific phenotype labels (early compensatory, late decompensatory, terminal dysfunction)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Multi-electrode array processing pipeline with spike sorting and burst detection</w:t>
      </w:r>
    </w:p>
    <w:p>
      <w:pPr>
        <w:pStyle w:val="ListParagraph"/>
        <w:numPr>
          <w:ilvl w:val="0"/>
          <w:numId w:val="2"/>
        </w:numPr>
        <w:spacing w:after="100" w:line="360"/>
      </w:pPr>
      <w:r>
        <w:rPr>
          <w:rFonts w:ascii="Arial" w:cs="Arial" w:eastAsia="Arial" w:hAnsi="Arial"/>
          <w:sz w:val="24"/>
          <w:szCs w:val="24"/>
        </w:rPr>
        <w:t xml:space="preserve">Calcium imaging deconvolution and network graph analysis modules</w:t>
      </w:r>
    </w:p>
    <w:p>
      <w:pPr>
        <w:pStyle w:val="ListParagraph"/>
        <w:numPr>
          <w:ilvl w:val="0"/>
          <w:numId w:val="2"/>
        </w:numPr>
        <w:spacing w:after="100" w:line="360"/>
      </w:pPr>
      <w:r>
        <w:rPr>
          <w:rFonts w:ascii="Arial" w:cs="Arial" w:eastAsia="Arial" w:hAnsi="Arial"/>
          <w:sz w:val="24"/>
          <w:szCs w:val="24"/>
        </w:rPr>
        <w:t xml:space="preserve">Graph theory-based circuit connectivity quantification (modularity, small-worldness, clustering coefficients)</w:t>
      </w:r>
    </w:p>
    <w:p>
      <w:pPr>
        <w:pStyle w:val="ListParagraph"/>
        <w:numPr>
          <w:ilvl w:val="0"/>
          <w:numId w:val="2"/>
        </w:numPr>
        <w:spacing w:after="100" w:line="360"/>
      </w:pPr>
      <w:r>
        <w:rPr>
          <w:rFonts w:ascii="Arial" w:cs="Arial" w:eastAsia="Arial" w:hAnsi="Arial"/>
          <w:sz w:val="24"/>
          <w:szCs w:val="24"/>
        </w:rPr>
        <w:t xml:space="preserve">Information theory measures (mutual information, transfer entropy) for network desynchronization</w:t>
      </w:r>
    </w:p>
    <w:p>
      <w:pPr>
        <w:pStyle w:val="ListParagraph"/>
        <w:numPr>
          <w:ilvl w:val="0"/>
          <w:numId w:val="2"/>
        </w:numPr>
        <w:spacing w:after="100" w:line="360"/>
      </w:pPr>
      <w:r>
        <w:rPr>
          <w:rFonts w:ascii="Arial" w:cs="Arial" w:eastAsia="Arial" w:hAnsi="Arial"/>
          <w:sz w:val="24"/>
          <w:szCs w:val="24"/>
        </w:rPr>
        <w:t xml:space="preserve">EP feature extraction engine (400+ striatal circuit metrics)</w:t>
      </w:r>
    </w:p>
    <w:p>
      <w:pPr>
        <w:pStyle w:val="ListParagraph"/>
        <w:numPr>
          <w:ilvl w:val="0"/>
          <w:numId w:val="2"/>
        </w:numPr>
        <w:spacing w:after="100" w:line="360"/>
      </w:pPr>
      <w:r>
        <w:rPr>
          <w:rFonts w:ascii="Arial" w:cs="Arial" w:eastAsia="Arial" w:hAnsi="Arial"/>
          <w:sz w:val="24"/>
          <w:szCs w:val="24"/>
        </w:rPr>
        <w:t xml:space="preserve">HD progression classifier (early/mid/late stage phenotype prediction)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electrophysiological network signatures distinguish early-stage HD MSNs from advanced stages?</w:t>
      </w:r>
    </w:p>
    <w:p>
      <w:pPr>
        <w:pStyle w:val="ListParagraph"/>
        <w:numPr>
          <w:ilvl w:val="0"/>
          <w:numId w:val="2"/>
        </w:numPr>
        <w:spacing w:after="100" w:line="360"/>
      </w:pPr>
      <w:r>
        <w:rPr>
          <w:rFonts w:ascii="Arial" w:cs="Arial" w:eastAsia="Arial" w:hAnsi="Arial"/>
          <w:sz w:val="24"/>
          <w:szCs w:val="24"/>
        </w:rPr>
        <w:t xml:space="preserve">How does striatal MSN-to-FSI connectivity change across HD progression?</w:t>
      </w:r>
    </w:p>
    <w:p>
      <w:pPr>
        <w:pStyle w:val="ListParagraph"/>
        <w:numPr>
          <w:ilvl w:val="0"/>
          <w:numId w:val="2"/>
        </w:numPr>
        <w:spacing w:after="100" w:line="360"/>
      </w:pPr>
      <w:r>
        <w:rPr>
          <w:rFonts w:ascii="Arial" w:cs="Arial" w:eastAsia="Arial" w:hAnsi="Arial"/>
          <w:sz w:val="24"/>
          <w:szCs w:val="24"/>
        </w:rPr>
        <w:t xml:space="preserve">Which network oscillation frequencies (delta, theta, gamma) are most disrupted in HD?</w:t>
      </w:r>
    </w:p>
    <w:p>
      <w:pPr>
        <w:pStyle w:val="ListParagraph"/>
        <w:numPr>
          <w:ilvl w:val="0"/>
          <w:numId w:val="2"/>
        </w:numPr>
        <w:spacing w:after="100" w:line="360"/>
      </w:pPr>
      <w:r>
        <w:rPr>
          <w:rFonts w:ascii="Arial" w:cs="Arial" w:eastAsia="Arial" w:hAnsi="Arial"/>
          <w:sz w:val="24"/>
          <w:szCs w:val="24"/>
        </w:rPr>
        <w:t xml:space="preserve">What is the relationship between mHTT burden and progressive loss of striatal burst synchronization?</w:t>
      </w:r>
    </w:p>
    <w:p>
      <w:pPr>
        <w:pStyle w:val="ListParagraph"/>
        <w:numPr>
          <w:ilvl w:val="0"/>
          <w:numId w:val="2"/>
        </w:numPr>
        <w:spacing w:after="100" w:line="360"/>
      </w:pPr>
      <w:r>
        <w:rPr>
          <w:rFonts w:ascii="Arial" w:cs="Arial" w:eastAsia="Arial" w:hAnsi="Arial"/>
          <w:sz w:val="24"/>
          <w:szCs w:val="24"/>
        </w:rPr>
        <w:t xml:space="preserve">Which circuit-level metrics best predict motor phenotype severity in HD transgenic models?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Comprehensive striatal circuit connectivity map with functional coupling matrices and graph metrics</w:t>
      </w:r>
    </w:p>
    <w:p>
      <w:pPr>
        <w:pStyle w:val="ListParagraph"/>
        <w:numPr>
          <w:ilvl w:val="0"/>
          <w:numId w:val="2"/>
        </w:numPr>
        <w:spacing w:after="100" w:line="360"/>
      </w:pPr>
      <w:r>
        <w:rPr>
          <w:rFonts w:ascii="Arial" w:cs="Arial" w:eastAsia="Arial" w:hAnsi="Arial"/>
          <w:sz w:val="24"/>
          <w:szCs w:val="24"/>
        </w:rPr>
        <w:t xml:space="preserve">HD-specific electrophysiological fingerprint (30+ discriminative network features)</w:t>
      </w:r>
    </w:p>
    <w:p>
      <w:pPr>
        <w:pStyle w:val="ListParagraph"/>
        <w:numPr>
          <w:ilvl w:val="0"/>
          <w:numId w:val="2"/>
        </w:numPr>
        <w:spacing w:after="100" w:line="360"/>
      </w:pPr>
      <w:r>
        <w:rPr>
          <w:rFonts w:ascii="Arial" w:cs="Arial" w:eastAsia="Arial" w:hAnsi="Arial"/>
          <w:sz w:val="24"/>
          <w:szCs w:val="24"/>
        </w:rPr>
        <w:t xml:space="preserve">MSN intrinsic property degradation profiles across disease stages</w:t>
      </w:r>
    </w:p>
    <w:p>
      <w:pPr>
        <w:pStyle w:val="ListParagraph"/>
        <w:numPr>
          <w:ilvl w:val="0"/>
          <w:numId w:val="2"/>
        </w:numPr>
        <w:spacing w:after="100" w:line="360"/>
      </w:pPr>
      <w:r>
        <w:rPr>
          <w:rFonts w:ascii="Arial" w:cs="Arial" w:eastAsia="Arial" w:hAnsi="Arial"/>
          <w:sz w:val="24"/>
          <w:szCs w:val="24"/>
        </w:rPr>
        <w:t xml:space="preserve">Synaptic plasticity deficits table (LTD/LTP magnitude reduction, frequency-dependent changes)</w:t>
      </w:r>
    </w:p>
    <w:p>
      <w:pPr>
        <w:pStyle w:val="ListParagraph"/>
        <w:numPr>
          <w:ilvl w:val="0"/>
          <w:numId w:val="2"/>
        </w:numPr>
        <w:spacing w:after="100" w:line="360"/>
      </w:pPr>
      <w:r>
        <w:rPr>
          <w:rFonts w:ascii="Arial" w:cs="Arial" w:eastAsia="Arial" w:hAnsi="Arial"/>
          <w:sz w:val="24"/>
          <w:szCs w:val="24"/>
        </w:rPr>
        <w:t xml:space="preserve">Network oscillation power spectral density maps showing gamma/theta disruption patterns</w:t>
      </w:r>
    </w:p>
    <w:p>
      <w:pPr>
        <w:pStyle w:val="ListParagraph"/>
        <w:numPr>
          <w:ilvl w:val="0"/>
          <w:numId w:val="2"/>
        </w:numPr>
        <w:spacing w:after="100" w:line="360"/>
      </w:pPr>
      <w:r>
        <w:rPr>
          <w:rFonts w:ascii="Arial" w:cs="Arial" w:eastAsia="Arial" w:hAnsi="Arial"/>
          <w:sz w:val="24"/>
          <w:szCs w:val="24"/>
        </w:rPr>
        <w:t xml:space="preserve">Circuit-level biomarkers ranked by predictive power for combination therapy response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Multi-dimensional EP phenotype matrix with network connectivity indices, oscillation power maps, and stage-specific HD circuit dysfunction profiles</w:t>
      </w:r>
    </w:p>
    <w:p>
      <w:pPr>
        <w:pStyle w:val="Heading2"/>
      </w:pPr>
      <w:r>
        <w:rPr>
          <w:rFonts w:ascii="Arial" w:cs="Arial" w:eastAsia="Arial" w:hAnsi="Arial"/>
          <w:b/>
          <w:bCs/>
          <w:sz w:val="28"/>
          <w:szCs w:val="28"/>
        </w:rPr>
        <w:t xml:space="preserve">Stage 4: HTT-Lowering × mHTT Clearance × Circuit Stabilizer Combination Screening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Systematically test combinations of HTT-lowering agents, mHTT aggregation inhibitors, and striatal circuit stabilizers, ranking synergistic triplets by their ability to restore network synchronization, prevent apoptotic cascades, and preserve striatal functionality.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15-20 HTT-lowering targets from Stage 1 (ranked by neuroprotection breadth)</w:t>
      </w:r>
    </w:p>
    <w:p>
      <w:pPr>
        <w:pStyle w:val="ListParagraph"/>
        <w:numPr>
          <w:ilvl w:val="0"/>
          <w:numId w:val="2"/>
        </w:numPr>
        <w:spacing w:after="100" w:line="360"/>
      </w:pPr>
      <w:r>
        <w:rPr>
          <w:rFonts w:ascii="Arial" w:cs="Arial" w:eastAsia="Arial" w:hAnsi="Arial"/>
          <w:sz w:val="24"/>
          <w:szCs w:val="24"/>
        </w:rPr>
        <w:t xml:space="preserve">Top 15-20 mHTT aggregation inhibitor compounds from Stage 2</w:t>
      </w:r>
    </w:p>
    <w:p>
      <w:pPr>
        <w:pStyle w:val="ListParagraph"/>
        <w:numPr>
          <w:ilvl w:val="0"/>
          <w:numId w:val="2"/>
        </w:numPr>
        <w:spacing w:after="100" w:line="360"/>
      </w:pPr>
      <w:r>
        <w:rPr>
          <w:rFonts w:ascii="Arial" w:cs="Arial" w:eastAsia="Arial" w:hAnsi="Arial"/>
          <w:sz w:val="24"/>
          <w:szCs w:val="24"/>
        </w:rPr>
        <w:t xml:space="preserve">Circuit stabilizer compounds/genetic targets (calcium channel modulators, GABA/glutamate receptor optimizers, mitochondrial stabilizers)</w:t>
      </w:r>
    </w:p>
    <w:p>
      <w:pPr>
        <w:pStyle w:val="ListParagraph"/>
        <w:numPr>
          <w:ilvl w:val="0"/>
          <w:numId w:val="2"/>
        </w:numPr>
        <w:spacing w:after="100" w:line="360"/>
      </w:pPr>
      <w:r>
        <w:rPr>
          <w:rFonts w:ascii="Arial" w:cs="Arial" w:eastAsia="Arial" w:hAnsi="Arial"/>
          <w:sz w:val="24"/>
          <w:szCs w:val="24"/>
        </w:rPr>
        <w:t xml:space="preserve">Epistatic interaction data for HTT-lowering gene pairs and compound pairs</w:t>
      </w:r>
    </w:p>
    <w:p>
      <w:pPr>
        <w:pStyle w:val="ListParagraph"/>
        <w:numPr>
          <w:ilvl w:val="0"/>
          <w:numId w:val="2"/>
        </w:numPr>
        <w:spacing w:after="100" w:line="360"/>
      </w:pPr>
      <w:r>
        <w:rPr>
          <w:rFonts w:ascii="Arial" w:cs="Arial" w:eastAsia="Arial" w:hAnsi="Arial"/>
          <w:sz w:val="24"/>
          <w:szCs w:val="24"/>
        </w:rPr>
        <w:t xml:space="preserve">Quantitative HD circuit dysfunction metrics from Stage 3</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Combinatorial screening platform for dual and triple perturbations (CRISPR + compound overlays)</w:t>
      </w:r>
    </w:p>
    <w:p>
      <w:pPr>
        <w:pStyle w:val="ListParagraph"/>
        <w:numPr>
          <w:ilvl w:val="0"/>
          <w:numId w:val="2"/>
        </w:numPr>
        <w:spacing w:after="100" w:line="360"/>
      </w:pPr>
      <w:r>
        <w:rPr>
          <w:rFonts w:ascii="Arial" w:cs="Arial" w:eastAsia="Arial" w:hAnsi="Arial"/>
          <w:sz w:val="24"/>
          <w:szCs w:val="24"/>
        </w:rPr>
        <w:t xml:space="preserve">High-content imaging for simultaneous mHTT burden, MSN viability, and neurite integrity assessment</w:t>
      </w:r>
    </w:p>
    <w:p>
      <w:pPr>
        <w:pStyle w:val="ListParagraph"/>
        <w:numPr>
          <w:ilvl w:val="0"/>
          <w:numId w:val="2"/>
        </w:numPr>
        <w:spacing w:after="100" w:line="360"/>
      </w:pPr>
      <w:r>
        <w:rPr>
          <w:rFonts w:ascii="Arial" w:cs="Arial" w:eastAsia="Arial" w:hAnsi="Arial"/>
          <w:sz w:val="24"/>
          <w:szCs w:val="24"/>
        </w:rPr>
        <w:t xml:space="preserve">Machine learning synergy prediction engine (Bliss, Loewe, HSA models)</w:t>
      </w:r>
    </w:p>
    <w:p>
      <w:pPr>
        <w:pStyle w:val="ListParagraph"/>
        <w:numPr>
          <w:ilvl w:val="0"/>
          <w:numId w:val="2"/>
        </w:numPr>
        <w:spacing w:after="100" w:line="360"/>
      </w:pPr>
      <w:r>
        <w:rPr>
          <w:rFonts w:ascii="Arial" w:cs="Arial" w:eastAsia="Arial" w:hAnsi="Arial"/>
          <w:sz w:val="24"/>
          <w:szCs w:val="24"/>
        </w:rPr>
        <w:t xml:space="preserve">Multi-parametric EP recording with automated phenotype classification</w:t>
      </w:r>
    </w:p>
    <w:p>
      <w:pPr>
        <w:pStyle w:val="ListParagraph"/>
        <w:numPr>
          <w:ilvl w:val="0"/>
          <w:numId w:val="2"/>
        </w:numPr>
        <w:spacing w:after="100" w:line="360"/>
      </w:pPr>
      <w:r>
        <w:rPr>
          <w:rFonts w:ascii="Arial" w:cs="Arial" w:eastAsia="Arial" w:hAnsi="Arial"/>
          <w:sz w:val="24"/>
          <w:szCs w:val="24"/>
        </w:rPr>
        <w:t xml:space="preserve">Bioenergetic coupling analysis (oxygen consumption, ATP synthesis rate, ROS production)</w:t>
      </w:r>
    </w:p>
    <w:p>
      <w:pPr>
        <w:pStyle w:val="ListParagraph"/>
        <w:numPr>
          <w:ilvl w:val="0"/>
          <w:numId w:val="2"/>
        </w:numPr>
        <w:spacing w:after="100" w:line="360"/>
      </w:pPr>
      <w:r>
        <w:rPr>
          <w:rFonts w:ascii="Arial" w:cs="Arial" w:eastAsia="Arial" w:hAnsi="Arial"/>
          <w:sz w:val="24"/>
          <w:szCs w:val="24"/>
        </w:rPr>
        <w:t xml:space="preserve">Network-level recovery metrics (burst synchronization, graph modularity, oscillation power restoration)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HTT-lowering + mHTT clearance compound pairs show synergistic striatal MSN rescue?</w:t>
      </w:r>
    </w:p>
    <w:p>
      <w:pPr>
        <w:pStyle w:val="ListParagraph"/>
        <w:numPr>
          <w:ilvl w:val="0"/>
          <w:numId w:val="2"/>
        </w:numPr>
        <w:spacing w:after="100" w:line="360"/>
      </w:pPr>
      <w:r>
        <w:rPr>
          <w:rFonts w:ascii="Arial" w:cs="Arial" w:eastAsia="Arial" w:hAnsi="Arial"/>
          <w:sz w:val="24"/>
          <w:szCs w:val="24"/>
        </w:rPr>
        <w:t xml:space="preserve">Do HTT-lowering strategies synergize with circuit stabilizers to restore burst firing and network synchronization?</w:t>
      </w:r>
    </w:p>
    <w:p>
      <w:pPr>
        <w:pStyle w:val="ListParagraph"/>
        <w:numPr>
          <w:ilvl w:val="0"/>
          <w:numId w:val="2"/>
        </w:numPr>
        <w:spacing w:after="100" w:line="360"/>
      </w:pPr>
      <w:r>
        <w:rPr>
          <w:rFonts w:ascii="Arial" w:cs="Arial" w:eastAsia="Arial" w:hAnsi="Arial"/>
          <w:sz w:val="24"/>
          <w:szCs w:val="24"/>
        </w:rPr>
        <w:t xml:space="preserve">What is the optimal dosing sequence (simultaneous vs. sequential) for three-drug HD combination therapy?</w:t>
      </w:r>
    </w:p>
    <w:p>
      <w:pPr>
        <w:pStyle w:val="ListParagraph"/>
        <w:numPr>
          <w:ilvl w:val="0"/>
          <w:numId w:val="2"/>
        </w:numPr>
        <w:spacing w:after="100" w:line="360"/>
      </w:pPr>
      <w:r>
        <w:rPr>
          <w:rFonts w:ascii="Arial" w:cs="Arial" w:eastAsia="Arial" w:hAnsi="Arial"/>
          <w:sz w:val="24"/>
          <w:szCs w:val="24"/>
        </w:rPr>
        <w:t xml:space="preserve">Which combination achieves mHTT clearance while preserving striatal network oscillations?</w:t>
      </w:r>
    </w:p>
    <w:p>
      <w:pPr>
        <w:pStyle w:val="ListParagraph"/>
        <w:numPr>
          <w:ilvl w:val="0"/>
          <w:numId w:val="2"/>
        </w:numPr>
        <w:spacing w:after="100" w:line="360"/>
      </w:pPr>
      <w:r>
        <w:rPr>
          <w:rFonts w:ascii="Arial" w:cs="Arial" w:eastAsia="Arial" w:hAnsi="Arial"/>
          <w:sz w:val="24"/>
          <w:szCs w:val="24"/>
        </w:rPr>
        <w:t xml:space="preserve">How does combination therapy restore dopamine-dependent plasticity in striatal MSNs?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Combination synergy matrix (50+ drug/gene triplet combinations rated by Bliss/Loewe synergy scores)</w:t>
      </w:r>
    </w:p>
    <w:p>
      <w:pPr>
        <w:pStyle w:val="ListParagraph"/>
        <w:numPr>
          <w:ilvl w:val="0"/>
          <w:numId w:val="2"/>
        </w:numPr>
        <w:spacing w:after="100" w:line="360"/>
      </w:pPr>
      <w:r>
        <w:rPr>
          <w:rFonts w:ascii="Arial" w:cs="Arial" w:eastAsia="Arial" w:hAnsi="Arial"/>
          <w:sz w:val="24"/>
          <w:szCs w:val="24"/>
        </w:rPr>
        <w:t xml:space="preserve">Top 20 ranked combination strategies with neuroprotection and circuit recovery metrics</w:t>
      </w:r>
    </w:p>
    <w:p>
      <w:pPr>
        <w:pStyle w:val="ListParagraph"/>
        <w:numPr>
          <w:ilvl w:val="0"/>
          <w:numId w:val="2"/>
        </w:numPr>
        <w:spacing w:after="100" w:line="360"/>
      </w:pPr>
      <w:r>
        <w:rPr>
          <w:rFonts w:ascii="Arial" w:cs="Arial" w:eastAsia="Arial" w:hAnsi="Arial"/>
          <w:sz w:val="24"/>
          <w:szCs w:val="24"/>
        </w:rPr>
        <w:t xml:space="preserve">mHTT clearance kinetics and durability for each top combination</w:t>
      </w:r>
    </w:p>
    <w:p>
      <w:pPr>
        <w:pStyle w:val="ListParagraph"/>
        <w:numPr>
          <w:ilvl w:val="0"/>
          <w:numId w:val="2"/>
        </w:numPr>
        <w:spacing w:after="100" w:line="360"/>
      </w:pPr>
      <w:r>
        <w:rPr>
          <w:rFonts w:ascii="Arial" w:cs="Arial" w:eastAsia="Arial" w:hAnsi="Arial"/>
          <w:sz w:val="24"/>
          <w:szCs w:val="24"/>
        </w:rPr>
        <w:t xml:space="preserve">Restored striatal network metrics (synchronization index, oscillation power, graph small-worldness)</w:t>
      </w:r>
    </w:p>
    <w:p>
      <w:pPr>
        <w:pStyle w:val="ListParagraph"/>
        <w:numPr>
          <w:ilvl w:val="0"/>
          <w:numId w:val="2"/>
        </w:numPr>
        <w:spacing w:after="100" w:line="360"/>
      </w:pPr>
      <w:r>
        <w:rPr>
          <w:rFonts w:ascii="Arial" w:cs="Arial" w:eastAsia="Arial" w:hAnsi="Arial"/>
          <w:sz w:val="24"/>
          <w:szCs w:val="24"/>
        </w:rPr>
        <w:t xml:space="preserve">MSN intrinsic property recovery profiles and apoptosis prevention rates per combination</w:t>
      </w:r>
    </w:p>
    <w:p>
      <w:pPr>
        <w:pStyle w:val="ListParagraph"/>
        <w:numPr>
          <w:ilvl w:val="0"/>
          <w:numId w:val="2"/>
        </w:numPr>
        <w:spacing w:after="100" w:line="360"/>
      </w:pPr>
      <w:r>
        <w:rPr>
          <w:rFonts w:ascii="Arial" w:cs="Arial" w:eastAsia="Arial" w:hAnsi="Arial"/>
          <w:sz w:val="24"/>
          <w:szCs w:val="24"/>
        </w:rPr>
        <w:t xml:space="preserve">Recommended clinical trial designs and therapeutic windows for lead triplet combinations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Ranked combination table with synergy scores, EP rescue metrics, bioenergetic recovery indices, and recommended dosing strategies</w:t>
      </w:r>
    </w:p>
    <w:p>
      <w:pPr>
        <w:pStyle w:val="Heading2"/>
      </w:pPr>
      <w:r>
        <w:rPr>
          <w:rFonts w:ascii="Arial" w:cs="Arial" w:eastAsia="Arial" w:hAnsi="Arial"/>
          <w:b/>
          <w:bCs/>
          <w:sz w:val="28"/>
          <w:szCs w:val="28"/>
        </w:rPr>
        <w:t xml:space="preserve">Stage 5: Biomarker Integration &amp; Pharmacodynamic Target Engagement Validation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imaging, electrophysiological, and molecular biomarkers to validate target engagement, predict combination therapy efficacy, and establish pharmacodynamic readouts for clinical translation of HD combination strategies.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5-10 lead HD combination strategies from Stage 4</w:t>
      </w:r>
    </w:p>
    <w:p>
      <w:pPr>
        <w:pStyle w:val="ListParagraph"/>
        <w:numPr>
          <w:ilvl w:val="0"/>
          <w:numId w:val="2"/>
        </w:numPr>
        <w:spacing w:after="100" w:line="360"/>
      </w:pPr>
      <w:r>
        <w:rPr>
          <w:rFonts w:ascii="Arial" w:cs="Arial" w:eastAsia="Arial" w:hAnsi="Arial"/>
          <w:sz w:val="24"/>
          <w:szCs w:val="24"/>
        </w:rPr>
        <w:t xml:space="preserve">HTT burden imaging biomarkers (diffusion MRI, tau/huntingtin PET tracers if available, proximity ligation assay)</w:t>
      </w:r>
    </w:p>
    <w:p>
      <w:pPr>
        <w:pStyle w:val="ListParagraph"/>
        <w:numPr>
          <w:ilvl w:val="0"/>
          <w:numId w:val="2"/>
        </w:numPr>
        <w:spacing w:after="100" w:line="360"/>
      </w:pPr>
      <w:r>
        <w:rPr>
          <w:rFonts w:ascii="Arial" w:cs="Arial" w:eastAsia="Arial" w:hAnsi="Arial"/>
          <w:sz w:val="24"/>
          <w:szCs w:val="24"/>
        </w:rPr>
        <w:t xml:space="preserve">Striatal circuit connectivity biomarkers (resting-state fMRI patterns, EEG power spectral density)</w:t>
      </w:r>
    </w:p>
    <w:p>
      <w:pPr>
        <w:pStyle w:val="ListParagraph"/>
        <w:numPr>
          <w:ilvl w:val="0"/>
          <w:numId w:val="2"/>
        </w:numPr>
        <w:spacing w:after="100" w:line="360"/>
      </w:pPr>
      <w:r>
        <w:rPr>
          <w:rFonts w:ascii="Arial" w:cs="Arial" w:eastAsia="Arial" w:hAnsi="Arial"/>
          <w:sz w:val="24"/>
          <w:szCs w:val="24"/>
        </w:rPr>
        <w:t xml:space="preserve">Circulating biomarkers (plasma p-tau, neurofilament light, cell-free DNA)</w:t>
      </w:r>
    </w:p>
    <w:p>
      <w:pPr>
        <w:pStyle w:val="ListParagraph"/>
        <w:numPr>
          <w:ilvl w:val="0"/>
          <w:numId w:val="2"/>
        </w:numPr>
        <w:spacing w:after="100" w:line="360"/>
      </w:pPr>
      <w:r>
        <w:rPr>
          <w:rFonts w:ascii="Arial" w:cs="Arial" w:eastAsia="Arial" w:hAnsi="Arial"/>
          <w:sz w:val="24"/>
          <w:szCs w:val="24"/>
        </w:rPr>
        <w:t xml:space="preserve">Digital phenotyping metrics from transgenic HD models (motor coordination, cognitive testing)</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Multi-modal imaging integration platform (MRI, fMRI, PET, high-content microscopy synthesis)</w:t>
      </w:r>
    </w:p>
    <w:p>
      <w:pPr>
        <w:pStyle w:val="ListParagraph"/>
        <w:numPr>
          <w:ilvl w:val="0"/>
          <w:numId w:val="2"/>
        </w:numPr>
        <w:spacing w:after="100" w:line="360"/>
      </w:pPr>
      <w:r>
        <w:rPr>
          <w:rFonts w:ascii="Arial" w:cs="Arial" w:eastAsia="Arial" w:hAnsi="Arial"/>
          <w:sz w:val="24"/>
          <w:szCs w:val="24"/>
        </w:rPr>
        <w:t xml:space="preserve">Pharmacodynamic biomarker-EP phenotype correlation engine</w:t>
      </w:r>
    </w:p>
    <w:p>
      <w:pPr>
        <w:pStyle w:val="ListParagraph"/>
        <w:numPr>
          <w:ilvl w:val="0"/>
          <w:numId w:val="2"/>
        </w:numPr>
        <w:spacing w:after="100" w:line="360"/>
      </w:pPr>
      <w:r>
        <w:rPr>
          <w:rFonts w:ascii="Arial" w:cs="Arial" w:eastAsia="Arial" w:hAnsi="Arial"/>
          <w:sz w:val="24"/>
          <w:szCs w:val="24"/>
        </w:rPr>
        <w:t xml:space="preserve">Machine learning classifier for combination response prediction</w:t>
      </w:r>
    </w:p>
    <w:p>
      <w:pPr>
        <w:pStyle w:val="ListParagraph"/>
        <w:numPr>
          <w:ilvl w:val="0"/>
          <w:numId w:val="2"/>
        </w:numPr>
        <w:spacing w:after="100" w:line="360"/>
      </w:pPr>
      <w:r>
        <w:rPr>
          <w:rFonts w:ascii="Arial" w:cs="Arial" w:eastAsia="Arial" w:hAnsi="Arial"/>
          <w:sz w:val="24"/>
          <w:szCs w:val="24"/>
        </w:rPr>
        <w:t xml:space="preserve">Liquid biomarker assay automation and standardization pipeline</w:t>
      </w:r>
    </w:p>
    <w:p>
      <w:pPr>
        <w:pStyle w:val="ListParagraph"/>
        <w:numPr>
          <w:ilvl w:val="0"/>
          <w:numId w:val="2"/>
        </w:numPr>
        <w:spacing w:after="100" w:line="360"/>
      </w:pPr>
      <w:r>
        <w:rPr>
          <w:rFonts w:ascii="Arial" w:cs="Arial" w:eastAsia="Arial" w:hAnsi="Arial"/>
          <w:sz w:val="24"/>
          <w:szCs w:val="24"/>
        </w:rPr>
        <w:t xml:space="preserve">Network medicine approach for off-target effect prediction</w:t>
      </w:r>
    </w:p>
    <w:p>
      <w:pPr>
        <w:pStyle w:val="ListParagraph"/>
        <w:numPr>
          <w:ilvl w:val="0"/>
          <w:numId w:val="2"/>
        </w:numPr>
        <w:spacing w:after="100" w:line="360"/>
      </w:pPr>
      <w:r>
        <w:rPr>
          <w:rFonts w:ascii="Arial" w:cs="Arial" w:eastAsia="Arial" w:hAnsi="Arial"/>
          <w:sz w:val="24"/>
          <w:szCs w:val="24"/>
        </w:rPr>
        <w:t xml:space="preserve">Clinical translation readiness assessment module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Do mHTT burden reductions measured by imaging predict striatal circuit restoration on EP recording?</w:t>
      </w:r>
    </w:p>
    <w:p>
      <w:pPr>
        <w:pStyle w:val="ListParagraph"/>
        <w:numPr>
          <w:ilvl w:val="0"/>
          <w:numId w:val="2"/>
        </w:numPr>
        <w:spacing w:after="100" w:line="360"/>
      </w:pPr>
      <w:r>
        <w:rPr>
          <w:rFonts w:ascii="Arial" w:cs="Arial" w:eastAsia="Arial" w:hAnsi="Arial"/>
          <w:sz w:val="24"/>
          <w:szCs w:val="24"/>
        </w:rPr>
        <w:t xml:space="preserve">What circulating biomarkers best correlate with combination therapy efficacy and safety?</w:t>
      </w:r>
    </w:p>
    <w:p>
      <w:pPr>
        <w:pStyle w:val="ListParagraph"/>
        <w:numPr>
          <w:ilvl w:val="0"/>
          <w:numId w:val="2"/>
        </w:numPr>
        <w:spacing w:after="100" w:line="360"/>
      </w:pPr>
      <w:r>
        <w:rPr>
          <w:rFonts w:ascii="Arial" w:cs="Arial" w:eastAsia="Arial" w:hAnsi="Arial"/>
          <w:sz w:val="24"/>
          <w:szCs w:val="24"/>
        </w:rPr>
        <w:t xml:space="preserve">How do striatal circuit connectivity changes (fMRI) predict motor phenotype improvement?</w:t>
      </w:r>
    </w:p>
    <w:p>
      <w:pPr>
        <w:pStyle w:val="ListParagraph"/>
        <w:numPr>
          <w:ilvl w:val="0"/>
          <w:numId w:val="2"/>
        </w:numPr>
        <w:spacing w:after="100" w:line="360"/>
      </w:pPr>
      <w:r>
        <w:rPr>
          <w:rFonts w:ascii="Arial" w:cs="Arial" w:eastAsia="Arial" w:hAnsi="Arial"/>
          <w:sz w:val="24"/>
          <w:szCs w:val="24"/>
        </w:rPr>
        <w:t xml:space="preserve">Which biomarker panel minimizes false positive combination efficacy predictions?</w:t>
      </w:r>
    </w:p>
    <w:p>
      <w:pPr>
        <w:pStyle w:val="ListParagraph"/>
        <w:numPr>
          <w:ilvl w:val="0"/>
          <w:numId w:val="2"/>
        </w:numPr>
        <w:spacing w:after="100" w:line="360"/>
      </w:pPr>
      <w:r>
        <w:rPr>
          <w:rFonts w:ascii="Arial" w:cs="Arial" w:eastAsia="Arial" w:hAnsi="Arial"/>
          <w:sz w:val="24"/>
          <w:szCs w:val="24"/>
        </w:rPr>
        <w:t xml:space="preserve">What is the target engagement timeline and dose-response relationship for lead combinations?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Biomarker validation matrix linking mHTT burden reduction, circuit restoration, and motor improvement</w:t>
      </w:r>
    </w:p>
    <w:p>
      <w:pPr>
        <w:pStyle w:val="ListParagraph"/>
        <w:numPr>
          <w:ilvl w:val="0"/>
          <w:numId w:val="2"/>
        </w:numPr>
        <w:spacing w:after="100" w:line="360"/>
      </w:pPr>
      <w:r>
        <w:rPr>
          <w:rFonts w:ascii="Arial" w:cs="Arial" w:eastAsia="Arial" w:hAnsi="Arial"/>
          <w:sz w:val="24"/>
          <w:szCs w:val="24"/>
        </w:rPr>
        <w:t xml:space="preserve">Pharmacodynamic target engagement profiles per combination (HTT-lowering kinetics, mHTT clearance rate, circuit recovery timeline)</w:t>
      </w:r>
    </w:p>
    <w:p>
      <w:pPr>
        <w:pStyle w:val="ListParagraph"/>
        <w:numPr>
          <w:ilvl w:val="0"/>
          <w:numId w:val="2"/>
        </w:numPr>
        <w:spacing w:after="100" w:line="360"/>
      </w:pPr>
      <w:r>
        <w:rPr>
          <w:rFonts w:ascii="Arial" w:cs="Arial" w:eastAsia="Arial" w:hAnsi="Arial"/>
          <w:sz w:val="24"/>
          <w:szCs w:val="24"/>
        </w:rPr>
        <w:t xml:space="preserve">Predictive biomarker panel (5-8 highest correlating with combination efficacy)</w:t>
      </w:r>
    </w:p>
    <w:p>
      <w:pPr>
        <w:pStyle w:val="ListParagraph"/>
        <w:numPr>
          <w:ilvl w:val="0"/>
          <w:numId w:val="2"/>
        </w:numPr>
        <w:spacing w:after="100" w:line="360"/>
      </w:pPr>
      <w:r>
        <w:rPr>
          <w:rFonts w:ascii="Arial" w:cs="Arial" w:eastAsia="Arial" w:hAnsi="Arial"/>
          <w:sz w:val="24"/>
          <w:szCs w:val="24"/>
        </w:rPr>
        <w:t xml:space="preserve">Off-target liability assessment for lead combinations across CNS and peripheral tissues</w:t>
      </w:r>
    </w:p>
    <w:p>
      <w:pPr>
        <w:pStyle w:val="ListParagraph"/>
        <w:numPr>
          <w:ilvl w:val="0"/>
          <w:numId w:val="2"/>
        </w:numPr>
        <w:spacing w:after="100" w:line="360"/>
      </w:pPr>
      <w:r>
        <w:rPr>
          <w:rFonts w:ascii="Arial" w:cs="Arial" w:eastAsia="Arial" w:hAnsi="Arial"/>
          <w:sz w:val="24"/>
          <w:szCs w:val="24"/>
        </w:rPr>
        <w:t xml:space="preserve">Clinical trial biomarker readout strategy and enrichment criteria</w:t>
      </w:r>
    </w:p>
    <w:p>
      <w:pPr>
        <w:pStyle w:val="ListParagraph"/>
        <w:numPr>
          <w:ilvl w:val="0"/>
          <w:numId w:val="2"/>
        </w:numPr>
        <w:spacing w:after="100" w:line="360"/>
      </w:pPr>
      <w:r>
        <w:rPr>
          <w:rFonts w:ascii="Arial" w:cs="Arial" w:eastAsia="Arial" w:hAnsi="Arial"/>
          <w:sz w:val="24"/>
          <w:szCs w:val="24"/>
        </w:rPr>
        <w:t xml:space="preserve">Recommended Phase I/II biomarker endpoints and adaptive trial design recommendations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Integrated biomarker-phenotype correlation table with target engagement timelines, clinical readiness scores, and Phase I/II endpoint recommendations</w:t>
      </w:r>
    </w:p>
    <w:p>
      <w:pPr>
        <w:pStyle w:val="Heading2"/>
      </w:pPr>
      <w:r>
        <w:rPr>
          <w:rFonts w:ascii="Arial" w:cs="Arial" w:eastAsia="Arial" w:hAnsi="Arial"/>
          <w:b/>
          <w:bCs/>
          <w:sz w:val="28"/>
          <w:szCs w:val="28"/>
        </w:rPr>
        <w:t xml:space="preserve">Stage 6: Safety Profiling, Mechanism of Action Specificity, &amp; Translation Roadmap</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Conduct comprehensive safety profiling of lead HD combinations across striatal and extra-striatal circuits, validate mechanism of action specificity to minimize off-target toxicity, and establish a regulatory pathway for clinical translation.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3-5 lead HD combination strategies with validated biomarkers from Stage 5</w:t>
      </w:r>
    </w:p>
    <w:p>
      <w:pPr>
        <w:pStyle w:val="ListParagraph"/>
        <w:numPr>
          <w:ilvl w:val="0"/>
          <w:numId w:val="2"/>
        </w:numPr>
        <w:spacing w:after="100" w:line="360"/>
      </w:pPr>
      <w:r>
        <w:rPr>
          <w:rFonts w:ascii="Arial" w:cs="Arial" w:eastAsia="Arial" w:hAnsi="Arial"/>
          <w:sz w:val="24"/>
          <w:szCs w:val="24"/>
        </w:rPr>
        <w:t xml:space="preserve">Safety phenotyping data across neuronal subtypes (dopaminergic, GABAergic, glutamatergic, cholinergic neurons outside striatum)</w:t>
      </w:r>
    </w:p>
    <w:p>
      <w:pPr>
        <w:pStyle w:val="ListParagraph"/>
        <w:numPr>
          <w:ilvl w:val="0"/>
          <w:numId w:val="2"/>
        </w:numPr>
        <w:spacing w:after="100" w:line="360"/>
      </w:pPr>
      <w:r>
        <w:rPr>
          <w:rFonts w:ascii="Arial" w:cs="Arial" w:eastAsia="Arial" w:hAnsi="Arial"/>
          <w:sz w:val="24"/>
          <w:szCs w:val="24"/>
        </w:rPr>
        <w:t xml:space="preserve">Off-target CRISPR/compound binding data and transcriptomic effects in non-neuronal cells</w:t>
      </w:r>
    </w:p>
    <w:p>
      <w:pPr>
        <w:pStyle w:val="ListParagraph"/>
        <w:numPr>
          <w:ilvl w:val="0"/>
          <w:numId w:val="2"/>
        </w:numPr>
        <w:spacing w:after="100" w:line="360"/>
      </w:pPr>
      <w:r>
        <w:rPr>
          <w:rFonts w:ascii="Arial" w:cs="Arial" w:eastAsia="Arial" w:hAnsi="Arial"/>
          <w:sz w:val="24"/>
          <w:szCs w:val="24"/>
        </w:rPr>
        <w:t xml:space="preserve">Acute and chronic toxicity endpoints (cell viability, mitochondrial health, developmental toxicity in differentiating neurons)</w:t>
      </w:r>
    </w:p>
    <w:p>
      <w:pPr>
        <w:pStyle w:val="ListParagraph"/>
        <w:numPr>
          <w:ilvl w:val="0"/>
          <w:numId w:val="2"/>
        </w:numPr>
        <w:spacing w:after="100" w:line="360"/>
      </w:pPr>
      <w:r>
        <w:rPr>
          <w:rFonts w:ascii="Arial" w:cs="Arial" w:eastAsia="Arial" w:hAnsi="Arial"/>
          <w:sz w:val="24"/>
          <w:szCs w:val="24"/>
        </w:rPr>
        <w:t xml:space="preserve">Regulatory guidance documents (FDA 505(b)(2), breakthrough designation criteria, expedited pathway eligibility)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Multi-cell-type safety profiling platform (cortical, hippocampal, cerebellar, dorsal raphe, substantia nigra cultures)</w:t>
      </w:r>
    </w:p>
    <w:p>
      <w:pPr>
        <w:pStyle w:val="ListParagraph"/>
        <w:numPr>
          <w:ilvl w:val="0"/>
          <w:numId w:val="2"/>
        </w:numPr>
        <w:spacing w:after="100" w:line="360"/>
      </w:pPr>
      <w:r>
        <w:rPr>
          <w:rFonts w:ascii="Arial" w:cs="Arial" w:eastAsia="Arial" w:hAnsi="Arial"/>
          <w:sz w:val="24"/>
          <w:szCs w:val="24"/>
        </w:rPr>
        <w:t xml:space="preserve">Off-target prediction engine using structural homology, transcriptomic profiling (bulk RNA-seq, single-cell RNA-seq)</w:t>
      </w:r>
    </w:p>
    <w:p>
      <w:pPr>
        <w:pStyle w:val="ListParagraph"/>
        <w:numPr>
          <w:ilvl w:val="0"/>
          <w:numId w:val="2"/>
        </w:numPr>
        <w:spacing w:after="100" w:line="360"/>
      </w:pPr>
      <w:r>
        <w:rPr>
          <w:rFonts w:ascii="Arial" w:cs="Arial" w:eastAsia="Arial" w:hAnsi="Arial"/>
          <w:sz w:val="24"/>
          <w:szCs w:val="24"/>
        </w:rPr>
        <w:t xml:space="preserve">Developmental neurotoxicity assessment module (neural progenitor differentiation, synaptogenesis assays)</w:t>
      </w:r>
    </w:p>
    <w:p>
      <w:pPr>
        <w:pStyle w:val="ListParagraph"/>
        <w:numPr>
          <w:ilvl w:val="0"/>
          <w:numId w:val="2"/>
        </w:numPr>
        <w:spacing w:after="100" w:line="360"/>
      </w:pPr>
      <w:r>
        <w:rPr>
          <w:rFonts w:ascii="Arial" w:cs="Arial" w:eastAsia="Arial" w:hAnsi="Arial"/>
          <w:sz w:val="24"/>
          <w:szCs w:val="24"/>
        </w:rPr>
        <w:t xml:space="preserve">Acute toxicity screening (LDH release, caspase-3/7 activation, mitochondrial permeability transition)</w:t>
      </w:r>
    </w:p>
    <w:p>
      <w:pPr>
        <w:pStyle w:val="ListParagraph"/>
        <w:numPr>
          <w:ilvl w:val="0"/>
          <w:numId w:val="2"/>
        </w:numPr>
        <w:spacing w:after="100" w:line="360"/>
      </w:pPr>
      <w:r>
        <w:rPr>
          <w:rFonts w:ascii="Arial" w:cs="Arial" w:eastAsia="Arial" w:hAnsi="Arial"/>
          <w:sz w:val="24"/>
          <w:szCs w:val="24"/>
        </w:rPr>
        <w:t xml:space="preserve">Long-term safety modeling (chronic treatment in organoid cultures, 3D tissue models)</w:t>
      </w:r>
    </w:p>
    <w:p>
      <w:pPr>
        <w:pStyle w:val="ListParagraph"/>
        <w:numPr>
          <w:ilvl w:val="0"/>
          <w:numId w:val="2"/>
        </w:numPr>
        <w:spacing w:after="100" w:line="360"/>
      </w:pPr>
      <w:r>
        <w:rPr>
          <w:rFonts w:ascii="Arial" w:cs="Arial" w:eastAsia="Arial" w:hAnsi="Arial"/>
          <w:sz w:val="24"/>
          <w:szCs w:val="24"/>
        </w:rPr>
        <w:t xml:space="preserve">Regulatory pathway optimizer (breakthrough therapy, accelerated approval, conditional approval pathway recommendation)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Do lead HD combinations alter dopamine neuron survival or dopaminergic circuit function outside striatum?</w:t>
      </w:r>
    </w:p>
    <w:p>
      <w:pPr>
        <w:pStyle w:val="ListParagraph"/>
        <w:numPr>
          <w:ilvl w:val="0"/>
          <w:numId w:val="2"/>
        </w:numPr>
        <w:spacing w:after="100" w:line="360"/>
      </w:pPr>
      <w:r>
        <w:rPr>
          <w:rFonts w:ascii="Arial" w:cs="Arial" w:eastAsia="Arial" w:hAnsi="Arial"/>
          <w:sz w:val="24"/>
          <w:szCs w:val="24"/>
        </w:rPr>
        <w:t xml:space="preserve">What off-target liabilities emerge in non-neuronal tissues and how can formulation strategies mitigate them?</w:t>
      </w:r>
    </w:p>
    <w:p>
      <w:pPr>
        <w:pStyle w:val="ListParagraph"/>
        <w:numPr>
          <w:ilvl w:val="0"/>
          <w:numId w:val="2"/>
        </w:numPr>
        <w:spacing w:after="100" w:line="360"/>
      </w:pPr>
      <w:r>
        <w:rPr>
          <w:rFonts w:ascii="Arial" w:cs="Arial" w:eastAsia="Arial" w:hAnsi="Arial"/>
          <w:sz w:val="24"/>
          <w:szCs w:val="24"/>
        </w:rPr>
        <w:t xml:space="preserve">Are there developmental toxicity concerns if HD combinations are administered to pediatric-onset disease models?</w:t>
      </w:r>
    </w:p>
    <w:p>
      <w:pPr>
        <w:pStyle w:val="ListParagraph"/>
        <w:numPr>
          <w:ilvl w:val="0"/>
          <w:numId w:val="2"/>
        </w:numPr>
        <w:spacing w:after="100" w:line="360"/>
      </w:pPr>
      <w:r>
        <w:rPr>
          <w:rFonts w:ascii="Arial" w:cs="Arial" w:eastAsia="Arial" w:hAnsi="Arial"/>
          <w:sz w:val="24"/>
          <w:szCs w:val="24"/>
        </w:rPr>
        <w:t xml:space="preserve">Which mechanistic specificity validations best support FDA approval for combination HD therapy?</w:t>
      </w:r>
    </w:p>
    <w:p>
      <w:pPr>
        <w:pStyle w:val="ListParagraph"/>
        <w:numPr>
          <w:ilvl w:val="0"/>
          <w:numId w:val="2"/>
        </w:numPr>
        <w:spacing w:after="100" w:line="360"/>
      </w:pPr>
      <w:r>
        <w:rPr>
          <w:rFonts w:ascii="Arial" w:cs="Arial" w:eastAsia="Arial" w:hAnsi="Arial"/>
          <w:sz w:val="24"/>
          <w:szCs w:val="24"/>
        </w:rPr>
        <w:t xml:space="preserve">What is the optimal regulatory strategy (505(b)(2), breakthrough designation, regenerative medicine advanced therapy pathway) for lead combinations?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Safety profile summary for lead combinations across 8+ neuronal/non-neuronal cell types</w:t>
      </w:r>
    </w:p>
    <w:p>
      <w:pPr>
        <w:pStyle w:val="ListParagraph"/>
        <w:numPr>
          <w:ilvl w:val="0"/>
          <w:numId w:val="2"/>
        </w:numPr>
        <w:spacing w:after="100" w:line="360"/>
      </w:pPr>
      <w:r>
        <w:rPr>
          <w:rFonts w:ascii="Arial" w:cs="Arial" w:eastAsia="Arial" w:hAnsi="Arial"/>
          <w:sz w:val="24"/>
          <w:szCs w:val="24"/>
        </w:rPr>
        <w:t xml:space="preserve">Off-target liability assessment with predicted CNS and peripheral safety risks</w:t>
      </w:r>
    </w:p>
    <w:p>
      <w:pPr>
        <w:pStyle w:val="ListParagraph"/>
        <w:numPr>
          <w:ilvl w:val="0"/>
          <w:numId w:val="2"/>
        </w:numPr>
        <w:spacing w:after="100" w:line="360"/>
      </w:pPr>
      <w:r>
        <w:rPr>
          <w:rFonts w:ascii="Arial" w:cs="Arial" w:eastAsia="Arial" w:hAnsi="Arial"/>
          <w:sz w:val="24"/>
          <w:szCs w:val="24"/>
        </w:rPr>
        <w:t xml:space="preserve">Mechanism of action validation report confirming HTT-lowering, mHTT clearance, and circuit restoration specificity</w:t>
      </w:r>
    </w:p>
    <w:p>
      <w:pPr>
        <w:pStyle w:val="ListParagraph"/>
        <w:numPr>
          <w:ilvl w:val="0"/>
          <w:numId w:val="2"/>
        </w:numPr>
        <w:spacing w:after="100" w:line="360"/>
      </w:pPr>
      <w:r>
        <w:rPr>
          <w:rFonts w:ascii="Arial" w:cs="Arial" w:eastAsia="Arial" w:hAnsi="Arial"/>
          <w:sz w:val="24"/>
          <w:szCs w:val="24"/>
        </w:rPr>
        <w:t xml:space="preserve">Developmental toxicity assessment and age-appropriate safety recommendations</w:t>
      </w:r>
    </w:p>
    <w:p>
      <w:pPr>
        <w:pStyle w:val="ListParagraph"/>
        <w:numPr>
          <w:ilvl w:val="0"/>
          <w:numId w:val="2"/>
        </w:numPr>
        <w:spacing w:after="100" w:line="360"/>
      </w:pPr>
      <w:r>
        <w:rPr>
          <w:rFonts w:ascii="Arial" w:cs="Arial" w:eastAsia="Arial" w:hAnsi="Arial"/>
          <w:sz w:val="24"/>
          <w:szCs w:val="24"/>
        </w:rPr>
        <w:t xml:space="preserve">Drug-drug interaction predictions for combination use with HD-relevant co-medications</w:t>
      </w:r>
    </w:p>
    <w:p>
      <w:pPr>
        <w:pStyle w:val="ListParagraph"/>
        <w:numPr>
          <w:ilvl w:val="0"/>
          <w:numId w:val="2"/>
        </w:numPr>
        <w:spacing w:after="100" w:line="360"/>
      </w:pPr>
      <w:r>
        <w:rPr>
          <w:rFonts w:ascii="Arial" w:cs="Arial" w:eastAsia="Arial" w:hAnsi="Arial"/>
          <w:sz w:val="24"/>
          <w:szCs w:val="24"/>
        </w:rPr>
        <w:t xml:space="preserve">Regulatory pathway recommendation and critical path analysis for Phase I initiation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Multi-system safety dossier with off-target risk maps, mechanistic validation evidence, developmental toxicity assessment, and recommended regulatory submission strategy</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CRISPR-Cas9 atlas screening layer (HTT and HTT-modulating genes)</w:t>
      </w:r>
    </w:p>
    <w:p>
      <w:pPr>
        <w:pStyle w:val="ListParagraph"/>
        <w:numPr>
          <w:ilvl w:val="0"/>
          <w:numId w:val="2"/>
        </w:numPr>
        <w:spacing w:after="100" w:line="360"/>
      </w:pPr>
      <w:r>
        <w:rPr>
          <w:rFonts w:ascii="Arial" w:cs="Arial" w:eastAsia="Arial" w:hAnsi="Arial"/>
          <w:sz w:val="24"/>
          <w:szCs w:val="24"/>
        </w:rPr>
        <w:t xml:space="preserve">Machine learning pipeline for HTT-lowering target ranking</w:t>
      </w:r>
    </w:p>
    <w:p>
      <w:pPr>
        <w:pStyle w:val="ListParagraph"/>
        <w:numPr>
          <w:ilvl w:val="0"/>
          <w:numId w:val="2"/>
        </w:numPr>
        <w:spacing w:after="100" w:line="360"/>
      </w:pPr>
      <w:r>
        <w:rPr>
          <w:rFonts w:ascii="Arial" w:cs="Arial" w:eastAsia="Arial" w:hAnsi="Arial"/>
          <w:sz w:val="24"/>
          <w:szCs w:val="24"/>
        </w:rPr>
        <w:t xml:space="preserve">Proteasome activity assays integrated with EP recording</w:t>
      </w:r>
    </w:p>
    <w:p>
      <w:pPr>
        <w:pStyle w:val="ListParagraph"/>
        <w:numPr>
          <w:ilvl w:val="0"/>
          <w:numId w:val="2"/>
        </w:numPr>
        <w:spacing w:after="100" w:line="360"/>
      </w:pPr>
      <w:r>
        <w:rPr>
          <w:rFonts w:ascii="Arial" w:cs="Arial" w:eastAsia="Arial" w:hAnsi="Arial"/>
          <w:sz w:val="24"/>
          <w:szCs w:val="24"/>
        </w:rPr>
        <w:t xml:space="preserve">Autophagy flux quantification modules (mCherry-GFP-LC3 analysis)</w:t>
      </w:r>
    </w:p>
    <w:p>
      <w:pPr>
        <w:pStyle w:val="ListParagraph"/>
        <w:numPr>
          <w:ilvl w:val="0"/>
          <w:numId w:val="2"/>
        </w:numPr>
        <w:spacing w:after="100" w:line="360"/>
      </w:pPr>
      <w:r>
        <w:rPr>
          <w:rFonts w:ascii="Arial" w:cs="Arial" w:eastAsia="Arial" w:hAnsi="Arial"/>
          <w:sz w:val="24"/>
          <w:szCs w:val="24"/>
        </w:rPr>
        <w:t xml:space="preserve">Network-level HTT burden mapping across striatal circuit models</w:t>
      </w:r>
    </w:p>
    <w:p>
      <w:pPr>
        <w:pStyle w:val="ListParagraph"/>
        <w:numPr>
          <w:ilvl w:val="0"/>
          <w:numId w:val="2"/>
        </w:numPr>
        <w:spacing w:after="100" w:line="360"/>
      </w:pPr>
      <w:r>
        <w:rPr>
          <w:rFonts w:ascii="Arial" w:cs="Arial" w:eastAsia="Arial" w:hAnsi="Arial"/>
          <w:sz w:val="24"/>
          <w:szCs w:val="24"/>
        </w:rPr>
        <w:t xml:space="preserve">Gene interaction prediction engine (epistasis detection)</w:t>
      </w:r>
    </w:p>
    <w:p>
      <w:pPr>
        <w:pStyle w:val="ListParagraph"/>
        <w:numPr>
          <w:ilvl w:val="0"/>
          <w:numId w:val="2"/>
        </w:numPr>
        <w:spacing w:after="100" w:line="360"/>
      </w:pPr>
      <w:r>
        <w:rPr>
          <w:rFonts w:ascii="Arial" w:cs="Arial" w:eastAsia="Arial" w:hAnsi="Arial"/>
          <w:sz w:val="24"/>
          <w:szCs w:val="24"/>
        </w:rPr>
        <w:t xml:space="preserve">High-content fluorescence imaging for mHTT polyQ aggregation burden quantification</w:t>
      </w:r>
    </w:p>
    <w:p>
      <w:pPr>
        <w:pStyle w:val="ListParagraph"/>
        <w:numPr>
          <w:ilvl w:val="0"/>
          <w:numId w:val="2"/>
        </w:numPr>
        <w:spacing w:after="100" w:line="360"/>
      </w:pPr>
      <w:r>
        <w:rPr>
          <w:rFonts w:ascii="Arial" w:cs="Arial" w:eastAsia="Arial" w:hAnsi="Arial"/>
          <w:sz w:val="24"/>
          <w:szCs w:val="24"/>
        </w:rPr>
        <w:t xml:space="preserve">Proteasomal and lysosomal-autophagy flux assay integration</w:t>
      </w:r>
    </w:p>
    <w:p>
      <w:pPr>
        <w:pStyle w:val="ListParagraph"/>
        <w:numPr>
          <w:ilvl w:val="0"/>
          <w:numId w:val="2"/>
        </w:numPr>
        <w:spacing w:after="100" w:line="360"/>
      </w:pPr>
      <w:r>
        <w:rPr>
          <w:rFonts w:ascii="Arial" w:cs="Arial" w:eastAsia="Arial" w:hAnsi="Arial"/>
          <w:sz w:val="24"/>
          <w:szCs w:val="24"/>
        </w:rPr>
        <w:t xml:space="preserve">Machine learning for aggregation inhibitor efficacy ranking</w:t>
      </w:r>
    </w:p>
    <w:p>
      <w:pPr>
        <w:pStyle w:val="ListParagraph"/>
        <w:numPr>
          <w:ilvl w:val="0"/>
          <w:numId w:val="2"/>
        </w:numPr>
        <w:spacing w:after="100" w:line="360"/>
      </w:pPr>
      <w:r>
        <w:rPr>
          <w:rFonts w:ascii="Arial" w:cs="Arial" w:eastAsia="Arial" w:hAnsi="Arial"/>
          <w:sz w:val="24"/>
          <w:szCs w:val="24"/>
        </w:rPr>
        <w:t xml:space="preserve">Conformer-specific toxicity prediction models</w:t>
      </w:r>
    </w:p>
    <w:p>
      <w:pPr>
        <w:pStyle w:val="ListParagraph"/>
        <w:numPr>
          <w:ilvl w:val="0"/>
          <w:numId w:val="2"/>
        </w:numPr>
        <w:spacing w:after="100" w:line="360"/>
      </w:pPr>
      <w:r>
        <w:rPr>
          <w:rFonts w:ascii="Arial" w:cs="Arial" w:eastAsia="Arial" w:hAnsi="Arial"/>
          <w:sz w:val="24"/>
          <w:szCs w:val="24"/>
        </w:rPr>
        <w:t xml:space="preserve">EP recording with simultaneous bioenergetic profiling (oxygen consumption, NADH autofluorescence)</w:t>
      </w:r>
    </w:p>
    <w:p>
      <w:pPr>
        <w:pStyle w:val="ListParagraph"/>
        <w:numPr>
          <w:ilvl w:val="0"/>
          <w:numId w:val="2"/>
        </w:numPr>
        <w:spacing w:after="100" w:line="360"/>
      </w:pPr>
      <w:r>
        <w:rPr>
          <w:rFonts w:ascii="Arial" w:cs="Arial" w:eastAsia="Arial" w:hAnsi="Arial"/>
          <w:sz w:val="24"/>
          <w:szCs w:val="24"/>
        </w:rPr>
        <w:t xml:space="preserve">Genetic interaction solver for PQC pathway synthetic lethal/lethal analysis</w:t>
      </w:r>
    </w:p>
    <w:p>
      <w:pPr>
        <w:pStyle w:val="ListParagraph"/>
        <w:numPr>
          <w:ilvl w:val="0"/>
          <w:numId w:val="2"/>
        </w:numPr>
        <w:spacing w:after="100" w:line="360"/>
      </w:pPr>
      <w:r>
        <w:rPr>
          <w:rFonts w:ascii="Arial" w:cs="Arial" w:eastAsia="Arial" w:hAnsi="Arial"/>
          <w:sz w:val="24"/>
          <w:szCs w:val="24"/>
        </w:rPr>
        <w:t xml:space="preserve">Multi-electrode array processing pipeline with spike sorting and burst detection</w:t>
      </w:r>
    </w:p>
    <w:p>
      <w:pPr>
        <w:pStyle w:val="ListParagraph"/>
        <w:numPr>
          <w:ilvl w:val="0"/>
          <w:numId w:val="2"/>
        </w:numPr>
        <w:spacing w:after="100" w:line="360"/>
      </w:pPr>
      <w:r>
        <w:rPr>
          <w:rFonts w:ascii="Arial" w:cs="Arial" w:eastAsia="Arial" w:hAnsi="Arial"/>
          <w:sz w:val="24"/>
          <w:szCs w:val="24"/>
        </w:rPr>
        <w:t xml:space="preserve">Calcium imaging deconvolution and network graph analysis modules</w:t>
      </w:r>
    </w:p>
    <w:p>
      <w:pPr>
        <w:pStyle w:val="ListParagraph"/>
        <w:numPr>
          <w:ilvl w:val="0"/>
          <w:numId w:val="2"/>
        </w:numPr>
        <w:spacing w:after="100" w:line="360"/>
      </w:pPr>
      <w:r>
        <w:rPr>
          <w:rFonts w:ascii="Arial" w:cs="Arial" w:eastAsia="Arial" w:hAnsi="Arial"/>
          <w:sz w:val="24"/>
          <w:szCs w:val="24"/>
        </w:rPr>
        <w:t xml:space="preserve">Graph theory-based circuit connectivity quantification (modularity, small-worldness, clustering coefficients)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2026-03-04T01:49:03.251Z</dcterms:created>
  <dcterms:modified xsi:type="dcterms:W3CDTF">2026-03-04T01:49:03.251Z</dcterms:modified>
</cp:coreProperties>
</file>

<file path=docProps/custom.xml><?xml version="1.0" encoding="utf-8"?>
<Properties xmlns="http://schemas.openxmlformats.org/officeDocument/2006/custom-properties" xmlns:vt="http://schemas.openxmlformats.org/officeDocument/2006/docPropsVTypes"/>
</file>