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Mitochondrial Stabilizers Ranked by EP Rescue Strength</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Rank mitochondrial stabilizers by EP rescue strength.</w:t>
      </w:r>
    </w:p>
    <w:p>
      <w:pPr>
        <w:spacing w:after="200" w:line="360"/>
      </w:pPr>
      <w:r>
        <w:rPr>
          <w:rFonts w:ascii="Arial" w:cs="Arial" w:eastAsia="Arial" w:hAnsi="Arial"/>
          <w:sz w:val="24"/>
          <w:szCs w:val="24"/>
        </w:rPr>
        <w:t xml:space="preserve">This pipeline systematically identifies and ranks mitochondrial stabilizer compounds by their electrophysiological rescue strength across neurodegeneration models using the Quiver Bioscience EP CRISPR atlas. Mitochondrial dysfunction—characterized by Complex I-IV impairment, mitochondrial membrane potential collapse, and ROS accumulation—is a central pathogenic driver across Parkinson's, Alzheimer's, and FTD. The workflow integrates bioenergetic profiling, network-level electrophysiological recovery, and cellular resilience metrics to identify compounds that restore neuronal energy homeostasis and synaptic function.</w:t>
      </w:r>
    </w:p>
    <w:p>
      <w:pPr>
        <w:spacing w:after="200" w:line="360"/>
      </w:pPr>
      <w:r>
        <w:rPr>
          <w:rFonts w:ascii="Arial" w:cs="Arial" w:eastAsia="Arial" w:hAnsi="Arial"/>
          <w:sz w:val="24"/>
          <w:szCs w:val="24"/>
        </w:rPr>
        <w:t xml:space="preserve">The pipeline employs a hierarchical ranking system that filters ~3,500 compounds through progressively stringent electrophysiological rescue criteria: initial Complex I-IV restoration, mitochondrial membrane potential recovery, ROS reduction efficacy, and finally striatal/cortical circuit-level network synchronization improvement. Integration of acute mitochondrial stress models (oligomycin, rotenone, CCCP exposure) with chronic neurodegenerative disease models ensures that identified stabilizers provide robust bioenergetic rescue across disease contexts and progression stages.</w:t>
      </w:r>
    </w:p>
    <w:p>
      <w:pPr>
        <w:pStyle w:val="Heading2"/>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The Sapphire Pipeline employs hierarchical filtering across the Quiver Bioscience electrophysiology CRISPR atlas to identify compounds and genetic modifiers that address the underlying pathophysiology of neurodegenerative disease. By integrating thousands of single-cell electrophysiological recordings, multi-electrode array circuit-level phenotyping, and bioenergetic profiling, the pipeline identifies interventions that restore neuronal excitability properties, stabilize network-level synchronization, and support cellular energy homeostasis.</w:t>
      </w:r>
    </w:p>
    <w:p>
      <w:pPr>
        <w:spacing w:after="200" w:line="360"/>
      </w:pPr>
      <w:r>
        <w:rPr>
          <w:rFonts w:ascii="Arial" w:cs="Arial" w:eastAsia="Arial" w:hAnsi="Arial"/>
          <w:sz w:val="24"/>
          <w:szCs w:val="24"/>
        </w:rPr>
        <w:t xml:space="preserve">Each pipeline stage systematically filters compounds through progressively stringent efficacy criteria: initial target validation, cellular rescue phenotyping, circuit-level network recovery, disease model stratification, biomarker integration, and safety profiling. This multi-scale, biomarker-guided approach ensures that identified therapeutics address root causes of pathology while maintaining broad applicability across disease contexts and patient populations.</w:t>
      </w:r>
    </w:p>
    <w:p>
      <w:pPr>
        <w:pStyle w:val="Heading2"/>
      </w:pPr>
      <w:r>
        <w:rPr>
          <w:rFonts w:ascii="Arial" w:cs="Arial" w:eastAsia="Arial" w:hAnsi="Arial"/>
          <w:b/>
          <w:bCs/>
          <w:sz w:val="28"/>
          <w:szCs w:val="28"/>
        </w:rPr>
        <w:t xml:space="preserve">Stage 1: Mitochondrial Bioenergetic Profiling &amp; Dysfunction Phenotyping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characterize mitochondrial dysfunction across neurodegenerative disease models and identify quantitative bioenergetic biomarkers that serve as ranking criteria for mitochondrial stabilizer efficacy.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Neuronal models with induced mitochondrial dysfunction (Complex I/III/IV inhibition, mtDNA mutations, age-associated decline)</w:t>
      </w:r>
    </w:p>
    <w:p>
      <w:pPr>
        <w:pStyle w:val="ListParagraph"/>
        <w:numPr>
          <w:ilvl w:val="0"/>
          <w:numId w:val="2"/>
        </w:numPr>
        <w:spacing w:after="100" w:line="360"/>
      </w:pPr>
      <w:r>
        <w:rPr>
          <w:rFonts w:ascii="Arial" w:cs="Arial" w:eastAsia="Arial" w:hAnsi="Arial"/>
          <w:sz w:val="24"/>
          <w:szCs w:val="24"/>
        </w:rPr>
        <w:t xml:space="preserve">Oxygen consumption rate (OCR), proton leak, and ATP synthesis measurements via Seahorse assays</w:t>
      </w:r>
    </w:p>
    <w:p>
      <w:pPr>
        <w:pStyle w:val="ListParagraph"/>
        <w:numPr>
          <w:ilvl w:val="0"/>
          <w:numId w:val="2"/>
        </w:numPr>
        <w:spacing w:after="100" w:line="360"/>
      </w:pPr>
      <w:r>
        <w:rPr>
          <w:rFonts w:ascii="Arial" w:cs="Arial" w:eastAsia="Arial" w:hAnsi="Arial"/>
          <w:sz w:val="24"/>
          <w:szCs w:val="24"/>
        </w:rPr>
        <w:t xml:space="preserve">Mitochondrial membrane potential (ΔΨm) imaging using JC-1, TMRM fluorescence in real-time recording</w:t>
      </w:r>
    </w:p>
    <w:p>
      <w:pPr>
        <w:pStyle w:val="ListParagraph"/>
        <w:numPr>
          <w:ilvl w:val="0"/>
          <w:numId w:val="2"/>
        </w:numPr>
        <w:spacing w:after="100" w:line="360"/>
      </w:pPr>
      <w:r>
        <w:rPr>
          <w:rFonts w:ascii="Arial" w:cs="Arial" w:eastAsia="Arial" w:hAnsi="Arial"/>
          <w:sz w:val="24"/>
          <w:szCs w:val="24"/>
        </w:rPr>
        <w:t xml:space="preserve">ROS production quantification (DHE, MitoSOX, H2O2 biosensors) correlated with neuronal firing patterns</w:t>
      </w:r>
    </w:p>
    <w:p>
      <w:pPr>
        <w:pStyle w:val="ListParagraph"/>
        <w:numPr>
          <w:ilvl w:val="0"/>
          <w:numId w:val="2"/>
        </w:numPr>
        <w:spacing w:after="100" w:line="360"/>
      </w:pPr>
      <w:r>
        <w:rPr>
          <w:rFonts w:ascii="Arial" w:cs="Arial" w:eastAsia="Arial" w:hAnsi="Arial"/>
          <w:sz w:val="24"/>
          <w:szCs w:val="24"/>
        </w:rPr>
        <w:t xml:space="preserve">Calcium buffering capacity and mitochondrial calcium handling during network activity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Seahorse XFe analyzer with real-time metabolic rate quantification (basal OCR, ATP-linked OCR, maximal OCR)</w:t>
      </w:r>
    </w:p>
    <w:p>
      <w:pPr>
        <w:pStyle w:val="ListParagraph"/>
        <w:numPr>
          <w:ilvl w:val="0"/>
          <w:numId w:val="2"/>
        </w:numPr>
        <w:spacing w:after="100" w:line="360"/>
      </w:pPr>
      <w:r>
        <w:rPr>
          <w:rFonts w:ascii="Arial" w:cs="Arial" w:eastAsia="Arial" w:hAnsi="Arial"/>
          <w:sz w:val="24"/>
          <w:szCs w:val="24"/>
        </w:rPr>
        <w:t xml:space="preserve">Fluorescence plate reader with kinetic imaging for ΔΨm and ROS production time-courses</w:t>
      </w:r>
    </w:p>
    <w:p>
      <w:pPr>
        <w:pStyle w:val="ListParagraph"/>
        <w:numPr>
          <w:ilvl w:val="0"/>
          <w:numId w:val="2"/>
        </w:numPr>
        <w:spacing w:after="100" w:line="360"/>
      </w:pPr>
      <w:r>
        <w:rPr>
          <w:rFonts w:ascii="Arial" w:cs="Arial" w:eastAsia="Arial" w:hAnsi="Arial"/>
          <w:sz w:val="24"/>
          <w:szCs w:val="24"/>
        </w:rPr>
        <w:t xml:space="preserve">Multi-electrode array recordings synchronized with mitochondrial imaging (OCR and EP co-registration)</w:t>
      </w:r>
    </w:p>
    <w:p>
      <w:pPr>
        <w:pStyle w:val="ListParagraph"/>
        <w:numPr>
          <w:ilvl w:val="0"/>
          <w:numId w:val="2"/>
        </w:numPr>
        <w:spacing w:after="100" w:line="360"/>
      </w:pPr>
      <w:r>
        <w:rPr>
          <w:rFonts w:ascii="Arial" w:cs="Arial" w:eastAsia="Arial" w:hAnsi="Arial"/>
          <w:sz w:val="24"/>
          <w:szCs w:val="24"/>
        </w:rPr>
        <w:t xml:space="preserve">Calcium imaging with simultaneous mitochondrial FRAP (fluorescence recovery after photobleaching) for calcium uptake kinetics</w:t>
      </w:r>
    </w:p>
    <w:p>
      <w:pPr>
        <w:pStyle w:val="ListParagraph"/>
        <w:numPr>
          <w:ilvl w:val="0"/>
          <w:numId w:val="2"/>
        </w:numPr>
        <w:spacing w:after="100" w:line="360"/>
      </w:pPr>
      <w:r>
        <w:rPr>
          <w:rFonts w:ascii="Arial" w:cs="Arial" w:eastAsia="Arial" w:hAnsi="Arial"/>
          <w:sz w:val="24"/>
          <w:szCs w:val="24"/>
        </w:rPr>
        <w:t xml:space="preserve">Bioenergetic modeling engine for ATP demand vs. supply calculations in active networks</w:t>
      </w:r>
    </w:p>
    <w:p>
      <w:pPr>
        <w:pStyle w:val="ListParagraph"/>
        <w:numPr>
          <w:ilvl w:val="0"/>
          <w:numId w:val="2"/>
        </w:numPr>
        <w:spacing w:after="100" w:line="360"/>
      </w:pPr>
      <w:r>
        <w:rPr>
          <w:rFonts w:ascii="Arial" w:cs="Arial" w:eastAsia="Arial" w:hAnsi="Arial"/>
          <w:sz w:val="24"/>
          <w:szCs w:val="24"/>
        </w:rPr>
        <w:t xml:space="preserve">Machine learning classifier for mitochondrial dysfunction severity stratification (mild/moderate/severe)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How do Complex I, III, and IV inhibition uniquely alter neuronal firing patterns and network synchronization?</w:t>
      </w:r>
    </w:p>
    <w:p>
      <w:pPr>
        <w:pStyle w:val="ListParagraph"/>
        <w:numPr>
          <w:ilvl w:val="0"/>
          <w:numId w:val="2"/>
        </w:numPr>
        <w:spacing w:after="100" w:line="360"/>
      </w:pPr>
      <w:r>
        <w:rPr>
          <w:rFonts w:ascii="Arial" w:cs="Arial" w:eastAsia="Arial" w:hAnsi="Arial"/>
          <w:sz w:val="24"/>
          <w:szCs w:val="24"/>
        </w:rPr>
        <w:t xml:space="preserve">What is the relationship between mitochondrial membrane potential collapse and striatal MSN action potential duration?</w:t>
      </w:r>
    </w:p>
    <w:p>
      <w:pPr>
        <w:pStyle w:val="ListParagraph"/>
        <w:numPr>
          <w:ilvl w:val="0"/>
          <w:numId w:val="2"/>
        </w:numPr>
        <w:spacing w:after="100" w:line="360"/>
      </w:pPr>
      <w:r>
        <w:rPr>
          <w:rFonts w:ascii="Arial" w:cs="Arial" w:eastAsia="Arial" w:hAnsi="Arial"/>
          <w:sz w:val="24"/>
          <w:szCs w:val="24"/>
        </w:rPr>
        <w:t xml:space="preserve">Which ROS-producing mitochondrial pathways most directly correlate with network desynchronization and neuronal loss?</w:t>
      </w:r>
    </w:p>
    <w:p>
      <w:pPr>
        <w:pStyle w:val="ListParagraph"/>
        <w:numPr>
          <w:ilvl w:val="0"/>
          <w:numId w:val="2"/>
        </w:numPr>
        <w:spacing w:after="100" w:line="360"/>
      </w:pPr>
      <w:r>
        <w:rPr>
          <w:rFonts w:ascii="Arial" w:cs="Arial" w:eastAsia="Arial" w:hAnsi="Arial"/>
          <w:sz w:val="24"/>
          <w:szCs w:val="24"/>
        </w:rPr>
        <w:t xml:space="preserve">How do aging-associated mitochondrial changes (cristae remodeling, reduced Complex I activity) compare to genetic mtDNA mutations?</w:t>
      </w:r>
    </w:p>
    <w:p>
      <w:pPr>
        <w:pStyle w:val="ListParagraph"/>
        <w:numPr>
          <w:ilvl w:val="0"/>
          <w:numId w:val="2"/>
        </w:numPr>
        <w:spacing w:after="100" w:line="360"/>
      </w:pPr>
      <w:r>
        <w:rPr>
          <w:rFonts w:ascii="Arial" w:cs="Arial" w:eastAsia="Arial" w:hAnsi="Arial"/>
          <w:sz w:val="24"/>
          <w:szCs w:val="24"/>
        </w:rPr>
        <w:t xml:space="preserve">What is the temporal relationship between acute mitochondrial depolarization and synaptic transmission failure?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bioenergetic phenotype map across neurodegeneration models (30+ quantitative parameters)</w:t>
      </w:r>
    </w:p>
    <w:p>
      <w:pPr>
        <w:pStyle w:val="ListParagraph"/>
        <w:numPr>
          <w:ilvl w:val="0"/>
          <w:numId w:val="2"/>
        </w:numPr>
        <w:spacing w:after="100" w:line="360"/>
      </w:pPr>
      <w:r>
        <w:rPr>
          <w:rFonts w:ascii="Arial" w:cs="Arial" w:eastAsia="Arial" w:hAnsi="Arial"/>
          <w:sz w:val="24"/>
          <w:szCs w:val="24"/>
        </w:rPr>
        <w:t xml:space="preserve">Mitochondrial dysfunction severity scoring system with OCR, ΔΨm, ROS, and calcium handling components</w:t>
      </w:r>
    </w:p>
    <w:p>
      <w:pPr>
        <w:pStyle w:val="ListParagraph"/>
        <w:numPr>
          <w:ilvl w:val="0"/>
          <w:numId w:val="2"/>
        </w:numPr>
        <w:spacing w:after="100" w:line="360"/>
      </w:pPr>
      <w:r>
        <w:rPr>
          <w:rFonts w:ascii="Arial" w:cs="Arial" w:eastAsia="Arial" w:hAnsi="Arial"/>
          <w:sz w:val="24"/>
          <w:szCs w:val="24"/>
        </w:rPr>
        <w:t xml:space="preserve">Complex I/III/IV activity degradation profiles in disease vs. control neurons</w:t>
      </w:r>
    </w:p>
    <w:p>
      <w:pPr>
        <w:pStyle w:val="ListParagraph"/>
        <w:numPr>
          <w:ilvl w:val="0"/>
          <w:numId w:val="2"/>
        </w:numPr>
        <w:spacing w:after="100" w:line="360"/>
      </w:pPr>
      <w:r>
        <w:rPr>
          <w:rFonts w:ascii="Arial" w:cs="Arial" w:eastAsia="Arial" w:hAnsi="Arial"/>
          <w:sz w:val="24"/>
          <w:szCs w:val="24"/>
        </w:rPr>
        <w:t xml:space="preserve">Bioenergetic biomarker ranking table (predictive power for network dysfunction and neuronal loss)</w:t>
      </w:r>
    </w:p>
    <w:p>
      <w:pPr>
        <w:pStyle w:val="ListParagraph"/>
        <w:numPr>
          <w:ilvl w:val="0"/>
          <w:numId w:val="2"/>
        </w:numPr>
        <w:spacing w:after="100" w:line="360"/>
      </w:pPr>
      <w:r>
        <w:rPr>
          <w:rFonts w:ascii="Arial" w:cs="Arial" w:eastAsia="Arial" w:hAnsi="Arial"/>
          <w:sz w:val="24"/>
          <w:szCs w:val="24"/>
        </w:rPr>
        <w:t xml:space="preserve">Acute mitochondrial stress response dynamics (OCR recovery time, ROS peak magnitude, ΔΨm rebound kinetics)</w:t>
      </w:r>
    </w:p>
    <w:p>
      <w:pPr>
        <w:pStyle w:val="ListParagraph"/>
        <w:numPr>
          <w:ilvl w:val="0"/>
          <w:numId w:val="2"/>
        </w:numPr>
        <w:spacing w:after="100" w:line="360"/>
      </w:pPr>
      <w:r>
        <w:rPr>
          <w:rFonts w:ascii="Arial" w:cs="Arial" w:eastAsia="Arial" w:hAnsi="Arial"/>
          <w:sz w:val="24"/>
          <w:szCs w:val="24"/>
        </w:rPr>
        <w:t xml:space="preserve">Chronic disease progression biomarker trajectories (weekly/monthly mitochondrial parameter decline rates)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Multi-parametric bioenergetic database with OCR profiles, membrane potential traces, ROS kinetics, and integrated complexity scores for disease stratification</w:t>
      </w:r>
    </w:p>
    <w:p>
      <w:pPr>
        <w:pStyle w:val="Heading2"/>
      </w:pPr>
      <w:r>
        <w:rPr>
          <w:rFonts w:ascii="Arial" w:cs="Arial" w:eastAsia="Arial" w:hAnsi="Arial"/>
          <w:b/>
          <w:bCs/>
          <w:sz w:val="28"/>
          <w:szCs w:val="28"/>
        </w:rPr>
        <w:t xml:space="preserve">Stage 2: Complex I-IV Stabilizer &amp; Bioenergetic Restorer Compound Discovery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Screen the Quiver compound library (~3,500 perturbations) to identify stabilizers that directly enhance Complex I-IV activity, restore mitochondrial membrane potential, reduce pathological ROS, and improve ATP synthesis capacity.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Compound library with pre-characterized bioenergetic effects (OCR improvement, ΔΨm restoration, ROS reduction)</w:t>
      </w:r>
    </w:p>
    <w:p>
      <w:pPr>
        <w:pStyle w:val="ListParagraph"/>
        <w:numPr>
          <w:ilvl w:val="0"/>
          <w:numId w:val="2"/>
        </w:numPr>
        <w:spacing w:after="100" w:line="360"/>
      </w:pPr>
      <w:r>
        <w:rPr>
          <w:rFonts w:ascii="Arial" w:cs="Arial" w:eastAsia="Arial" w:hAnsi="Arial"/>
          <w:sz w:val="24"/>
          <w:szCs w:val="24"/>
        </w:rPr>
        <w:t xml:space="preserve">Complex subunit stability assays (blue native PAGE, co-immunoprecipitation for Complex assembly)</w:t>
      </w:r>
    </w:p>
    <w:p>
      <w:pPr>
        <w:pStyle w:val="ListParagraph"/>
        <w:numPr>
          <w:ilvl w:val="0"/>
          <w:numId w:val="2"/>
        </w:numPr>
        <w:spacing w:after="100" w:line="360"/>
      </w:pPr>
      <w:r>
        <w:rPr>
          <w:rFonts w:ascii="Arial" w:cs="Arial" w:eastAsia="Arial" w:hAnsi="Arial"/>
          <w:sz w:val="24"/>
          <w:szCs w:val="24"/>
        </w:rPr>
        <w:t xml:space="preserve">Mitochondrial electron transport chain (ETC) flux measurements via polarographic oxygen consumption</w:t>
      </w:r>
    </w:p>
    <w:p>
      <w:pPr>
        <w:pStyle w:val="ListParagraph"/>
        <w:numPr>
          <w:ilvl w:val="0"/>
          <w:numId w:val="2"/>
        </w:numPr>
        <w:spacing w:after="100" w:line="360"/>
      </w:pPr>
      <w:r>
        <w:rPr>
          <w:rFonts w:ascii="Arial" w:cs="Arial" w:eastAsia="Arial" w:hAnsi="Arial"/>
          <w:sz w:val="24"/>
          <w:szCs w:val="24"/>
        </w:rPr>
        <w:t xml:space="preserve">ATP synthase activity assays (oligomycin sensitivity, ATP/ADP ratio recovery)</w:t>
      </w:r>
    </w:p>
    <w:p>
      <w:pPr>
        <w:pStyle w:val="ListParagraph"/>
        <w:numPr>
          <w:ilvl w:val="0"/>
          <w:numId w:val="2"/>
        </w:numPr>
        <w:spacing w:after="100" w:line="360"/>
      </w:pPr>
      <w:r>
        <w:rPr>
          <w:rFonts w:ascii="Arial" w:cs="Arial" w:eastAsia="Arial" w:hAnsi="Arial"/>
          <w:sz w:val="24"/>
          <w:szCs w:val="24"/>
        </w:rPr>
        <w:t xml:space="preserve">Cellular energy charge (ATP/ADP/AMP ratios) and adenylate kinase flux measurements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High-throughput Seahorse assay for rapid compound OCR and ΔΨm screening</w:t>
      </w:r>
    </w:p>
    <w:p>
      <w:pPr>
        <w:pStyle w:val="ListParagraph"/>
        <w:numPr>
          <w:ilvl w:val="0"/>
          <w:numId w:val="2"/>
        </w:numPr>
        <w:spacing w:after="100" w:line="360"/>
      </w:pPr>
      <w:r>
        <w:rPr>
          <w:rFonts w:ascii="Arial" w:cs="Arial" w:eastAsia="Arial" w:hAnsi="Arial"/>
          <w:sz w:val="24"/>
          <w:szCs w:val="24"/>
        </w:rPr>
        <w:t xml:space="preserve">Complex I-IV enzymatic activity assays (NADH oxidase, succinate oxidase, cytochrome c oxidase substrates)</w:t>
      </w:r>
    </w:p>
    <w:p>
      <w:pPr>
        <w:pStyle w:val="ListParagraph"/>
        <w:numPr>
          <w:ilvl w:val="0"/>
          <w:numId w:val="2"/>
        </w:numPr>
        <w:spacing w:after="100" w:line="360"/>
      </w:pPr>
      <w:r>
        <w:rPr>
          <w:rFonts w:ascii="Arial" w:cs="Arial" w:eastAsia="Arial" w:hAnsi="Arial"/>
          <w:sz w:val="24"/>
          <w:szCs w:val="24"/>
        </w:rPr>
        <w:t xml:space="preserve">Blue native gel electrophoresis with mass spectrometry for Complex stoichiometry and assembly validation</w:t>
      </w:r>
    </w:p>
    <w:p>
      <w:pPr>
        <w:pStyle w:val="ListParagraph"/>
        <w:numPr>
          <w:ilvl w:val="0"/>
          <w:numId w:val="2"/>
        </w:numPr>
        <w:spacing w:after="100" w:line="360"/>
      </w:pPr>
      <w:r>
        <w:rPr>
          <w:rFonts w:ascii="Arial" w:cs="Arial" w:eastAsia="Arial" w:hAnsi="Arial"/>
          <w:sz w:val="24"/>
          <w:szCs w:val="24"/>
        </w:rPr>
        <w:t xml:space="preserve">Lipid composition analysis (cardiolipin, phosphatidylcholine) for ETC protein optimization</w:t>
      </w:r>
    </w:p>
    <w:p>
      <w:pPr>
        <w:pStyle w:val="ListParagraph"/>
        <w:numPr>
          <w:ilvl w:val="0"/>
          <w:numId w:val="2"/>
        </w:numPr>
        <w:spacing w:after="100" w:line="360"/>
      </w:pPr>
      <w:r>
        <w:rPr>
          <w:rFonts w:ascii="Arial" w:cs="Arial" w:eastAsia="Arial" w:hAnsi="Arial"/>
          <w:sz w:val="24"/>
          <w:szCs w:val="24"/>
        </w:rPr>
        <w:t xml:space="preserve">Machine learning compound potency ranking engine (OCR recovery IC50, ΔΨm restoration EC50, ROS reduction IC50)</w:t>
      </w:r>
    </w:p>
    <w:p>
      <w:pPr>
        <w:pStyle w:val="ListParagraph"/>
        <w:numPr>
          <w:ilvl w:val="0"/>
          <w:numId w:val="2"/>
        </w:numPr>
        <w:spacing w:after="100" w:line="360"/>
      </w:pPr>
      <w:r>
        <w:rPr>
          <w:rFonts w:ascii="Arial" w:cs="Arial" w:eastAsia="Arial" w:hAnsi="Arial"/>
          <w:sz w:val="24"/>
          <w:szCs w:val="24"/>
        </w:rPr>
        <w:t xml:space="preserve">Selectivity profiling module (mitochondrial vs. peroxisomal/cytoplasmic off-target effects)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compounds most potently restore Complex I activity while maintaining Complex III-IV coupling?</w:t>
      </w:r>
    </w:p>
    <w:p>
      <w:pPr>
        <w:pStyle w:val="ListParagraph"/>
        <w:numPr>
          <w:ilvl w:val="0"/>
          <w:numId w:val="2"/>
        </w:numPr>
        <w:spacing w:after="100" w:line="360"/>
      </w:pPr>
      <w:r>
        <w:rPr>
          <w:rFonts w:ascii="Arial" w:cs="Arial" w:eastAsia="Arial" w:hAnsi="Arial"/>
          <w:sz w:val="24"/>
          <w:szCs w:val="24"/>
        </w:rPr>
        <w:t xml:space="preserve">What is the relationship between cardiolipin content optimization and mitochondrial stabilizer efficacy?</w:t>
      </w:r>
    </w:p>
    <w:p>
      <w:pPr>
        <w:pStyle w:val="ListParagraph"/>
        <w:numPr>
          <w:ilvl w:val="0"/>
          <w:numId w:val="2"/>
        </w:numPr>
        <w:spacing w:after="100" w:line="360"/>
      </w:pPr>
      <w:r>
        <w:rPr>
          <w:rFonts w:ascii="Arial" w:cs="Arial" w:eastAsia="Arial" w:hAnsi="Arial"/>
          <w:sz w:val="24"/>
          <w:szCs w:val="24"/>
        </w:rPr>
        <w:t xml:space="preserve">Do CoQ10 levels or CoQ10-analog compounds synergize with Complex I stabilizers?</w:t>
      </w:r>
    </w:p>
    <w:p>
      <w:pPr>
        <w:pStyle w:val="ListParagraph"/>
        <w:numPr>
          <w:ilvl w:val="0"/>
          <w:numId w:val="2"/>
        </w:numPr>
        <w:spacing w:after="100" w:line="360"/>
      </w:pPr>
      <w:r>
        <w:rPr>
          <w:rFonts w:ascii="Arial" w:cs="Arial" w:eastAsia="Arial" w:hAnsi="Arial"/>
          <w:sz w:val="24"/>
          <w:szCs w:val="24"/>
        </w:rPr>
        <w:t xml:space="preserve">Which ATP synthase activators improve ATP production without increasing metabolic uncoupling?</w:t>
      </w:r>
    </w:p>
    <w:p>
      <w:pPr>
        <w:pStyle w:val="ListParagraph"/>
        <w:numPr>
          <w:ilvl w:val="0"/>
          <w:numId w:val="2"/>
        </w:numPr>
        <w:spacing w:after="100" w:line="360"/>
      </w:pPr>
      <w:r>
        <w:rPr>
          <w:rFonts w:ascii="Arial" w:cs="Arial" w:eastAsia="Arial" w:hAnsi="Arial"/>
          <w:sz w:val="24"/>
          <w:szCs w:val="24"/>
        </w:rPr>
        <w:t xml:space="preserve">How do ROS-scavenging compounds compare to direct Complex stabilizers in preserving network function?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Compound activity library: OCR restoration potency (EC50, maximal effect), ΔΨm recovery kinetics, ROS reduction magnitude</w:t>
      </w:r>
    </w:p>
    <w:p>
      <w:pPr>
        <w:pStyle w:val="ListParagraph"/>
        <w:numPr>
          <w:ilvl w:val="0"/>
          <w:numId w:val="2"/>
        </w:numPr>
        <w:spacing w:after="100" w:line="360"/>
      </w:pPr>
      <w:r>
        <w:rPr>
          <w:rFonts w:ascii="Arial" w:cs="Arial" w:eastAsia="Arial" w:hAnsi="Arial"/>
          <w:sz w:val="24"/>
          <w:szCs w:val="24"/>
        </w:rPr>
        <w:t xml:space="preserve">Complex I-IV stabilizer efficacy ranking table (50+ top compounds by bioenergetic improvement breadth)</w:t>
      </w:r>
    </w:p>
    <w:p>
      <w:pPr>
        <w:pStyle w:val="ListParagraph"/>
        <w:numPr>
          <w:ilvl w:val="0"/>
          <w:numId w:val="2"/>
        </w:numPr>
        <w:spacing w:after="100" w:line="360"/>
      </w:pPr>
      <w:r>
        <w:rPr>
          <w:rFonts w:ascii="Arial" w:cs="Arial" w:eastAsia="Arial" w:hAnsi="Arial"/>
          <w:sz w:val="24"/>
          <w:szCs w:val="24"/>
        </w:rPr>
        <w:t xml:space="preserve">ATP synthesis capacity recovery profiles per compound (ATP/ADP ratio improvement, oligomycin sensitivity change)</w:t>
      </w:r>
    </w:p>
    <w:p>
      <w:pPr>
        <w:pStyle w:val="ListParagraph"/>
        <w:numPr>
          <w:ilvl w:val="0"/>
          <w:numId w:val="2"/>
        </w:numPr>
        <w:spacing w:after="100" w:line="360"/>
      </w:pPr>
      <w:r>
        <w:rPr>
          <w:rFonts w:ascii="Arial" w:cs="Arial" w:eastAsia="Arial" w:hAnsi="Arial"/>
          <w:sz w:val="24"/>
          <w:szCs w:val="24"/>
        </w:rPr>
        <w:t xml:space="preserve">Off-target liability assessment (peroxisomal oxidase inhibition, uncoupler effects, hepatotoxicity risk)</w:t>
      </w:r>
    </w:p>
    <w:p>
      <w:pPr>
        <w:pStyle w:val="ListParagraph"/>
        <w:numPr>
          <w:ilvl w:val="0"/>
          <w:numId w:val="2"/>
        </w:numPr>
        <w:spacing w:after="100" w:line="360"/>
      </w:pPr>
      <w:r>
        <w:rPr>
          <w:rFonts w:ascii="Arial" w:cs="Arial" w:eastAsia="Arial" w:hAnsi="Arial"/>
          <w:sz w:val="24"/>
          <w:szCs w:val="24"/>
        </w:rPr>
        <w:t xml:space="preserve">Dose-response curves for top 20 compounds across OCR, ΔΨm, ROS endpoints</w:t>
      </w:r>
    </w:p>
    <w:p>
      <w:pPr>
        <w:pStyle w:val="ListParagraph"/>
        <w:numPr>
          <w:ilvl w:val="0"/>
          <w:numId w:val="2"/>
        </w:numPr>
        <w:spacing w:after="100" w:line="360"/>
      </w:pPr>
      <w:r>
        <w:rPr>
          <w:rFonts w:ascii="Arial" w:cs="Arial" w:eastAsia="Arial" w:hAnsi="Arial"/>
          <w:sz w:val="24"/>
          <w:szCs w:val="24"/>
        </w:rPr>
        <w:t xml:space="preserve">Recommended lead compounds for downstream electrophysiological validation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Compound-centric bioenergetic database with OCR improvement fold-change, ΔΨm recovery percentages, ROS reduction ratios, and Complex assembly metrics</w:t>
      </w:r>
    </w:p>
    <w:p>
      <w:pPr>
        <w:pStyle w:val="Heading2"/>
      </w:pPr>
      <w:r>
        <w:rPr>
          <w:rFonts w:ascii="Arial" w:cs="Arial" w:eastAsia="Arial" w:hAnsi="Arial"/>
          <w:b/>
          <w:bCs/>
          <w:sz w:val="28"/>
          <w:szCs w:val="28"/>
        </w:rPr>
        <w:t xml:space="preserve">Stage 3: Neuronal Network-Level Electrophysiological Rescue Phenotyping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the ability of lead mitochondrial stabilizers to restore striatal/cortical circuit-level electrophysiological function in damaged networks, measuring burst firing, network synchronization, synaptic transmission strength, and plasticity under bioenergetic stress.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30-40 bioenergetic stabilizer compounds from Stage 2</w:t>
      </w:r>
    </w:p>
    <w:p>
      <w:pPr>
        <w:pStyle w:val="ListParagraph"/>
        <w:numPr>
          <w:ilvl w:val="0"/>
          <w:numId w:val="2"/>
        </w:numPr>
        <w:spacing w:after="100" w:line="360"/>
      </w:pPr>
      <w:r>
        <w:rPr>
          <w:rFonts w:ascii="Arial" w:cs="Arial" w:eastAsia="Arial" w:hAnsi="Arial"/>
          <w:sz w:val="24"/>
          <w:szCs w:val="24"/>
        </w:rPr>
        <w:t xml:space="preserve">Multi-electrode array (MEA) recordings from striatal/cortical networks acutely stressed by Complex inhibitors</w:t>
      </w:r>
    </w:p>
    <w:p>
      <w:pPr>
        <w:pStyle w:val="ListParagraph"/>
        <w:numPr>
          <w:ilvl w:val="0"/>
          <w:numId w:val="2"/>
        </w:numPr>
        <w:spacing w:after="100" w:line="360"/>
      </w:pPr>
      <w:r>
        <w:rPr>
          <w:rFonts w:ascii="Arial" w:cs="Arial" w:eastAsia="Arial" w:hAnsi="Arial"/>
          <w:sz w:val="24"/>
          <w:szCs w:val="24"/>
        </w:rPr>
        <w:t xml:space="preserve">Network connectivity parameters (functional coupling, gap junction strength, chemical synapse transmission)</w:t>
      </w:r>
    </w:p>
    <w:p>
      <w:pPr>
        <w:pStyle w:val="ListParagraph"/>
        <w:numPr>
          <w:ilvl w:val="0"/>
          <w:numId w:val="2"/>
        </w:numPr>
        <w:spacing w:after="100" w:line="360"/>
      </w:pPr>
      <w:r>
        <w:rPr>
          <w:rFonts w:ascii="Arial" w:cs="Arial" w:eastAsia="Arial" w:hAnsi="Arial"/>
          <w:sz w:val="24"/>
          <w:szCs w:val="24"/>
        </w:rPr>
        <w:t xml:space="preserve">Burst firing patterns, interburst intervals, and network-wide synchronization indices</w:t>
      </w:r>
    </w:p>
    <w:p>
      <w:pPr>
        <w:pStyle w:val="ListParagraph"/>
        <w:numPr>
          <w:ilvl w:val="0"/>
          <w:numId w:val="2"/>
        </w:numPr>
        <w:spacing w:after="100" w:line="360"/>
      </w:pPr>
      <w:r>
        <w:rPr>
          <w:rFonts w:ascii="Arial" w:cs="Arial" w:eastAsia="Arial" w:hAnsi="Arial"/>
          <w:sz w:val="24"/>
          <w:szCs w:val="24"/>
        </w:rPr>
        <w:t xml:space="preserve">Synaptic plasticity metrics (short-term depression/facilitation, frequency-dependent transmission)</w:t>
      </w:r>
    </w:p>
    <w:p>
      <w:pPr>
        <w:pStyle w:val="ListParagraph"/>
        <w:numPr>
          <w:ilvl w:val="0"/>
          <w:numId w:val="2"/>
        </w:numPr>
        <w:spacing w:after="100" w:line="360"/>
      </w:pPr>
      <w:r>
        <w:rPr>
          <w:rFonts w:ascii="Arial" w:cs="Arial" w:eastAsia="Arial" w:hAnsi="Arial"/>
          <w:sz w:val="24"/>
          <w:szCs w:val="24"/>
        </w:rPr>
        <w:t xml:space="preserve">Neuronal excitability parameters (action potential threshold, frequency-current relationships, adaptation kinetics)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Multi-electrode array processing with spike sorting, burst detection, and network graph analysis</w:t>
      </w:r>
    </w:p>
    <w:p>
      <w:pPr>
        <w:pStyle w:val="ListParagraph"/>
        <w:numPr>
          <w:ilvl w:val="0"/>
          <w:numId w:val="2"/>
        </w:numPr>
        <w:spacing w:after="100" w:line="360"/>
      </w:pPr>
      <w:r>
        <w:rPr>
          <w:rFonts w:ascii="Arial" w:cs="Arial" w:eastAsia="Arial" w:hAnsi="Arial"/>
          <w:sz w:val="24"/>
          <w:szCs w:val="24"/>
        </w:rPr>
        <w:t xml:space="preserve">Information theory metrics (mutual information, transfer entropy) for network synchronization quantification</w:t>
      </w:r>
    </w:p>
    <w:p>
      <w:pPr>
        <w:pStyle w:val="ListParagraph"/>
        <w:numPr>
          <w:ilvl w:val="0"/>
          <w:numId w:val="2"/>
        </w:numPr>
        <w:spacing w:after="100" w:line="360"/>
      </w:pPr>
      <w:r>
        <w:rPr>
          <w:rFonts w:ascii="Arial" w:cs="Arial" w:eastAsia="Arial" w:hAnsi="Arial"/>
          <w:sz w:val="24"/>
          <w:szCs w:val="24"/>
        </w:rPr>
        <w:t xml:space="preserve">Calcium imaging with simultaneous ep recording for synaptic transmission validation</w:t>
      </w:r>
    </w:p>
    <w:p>
      <w:pPr>
        <w:pStyle w:val="ListParagraph"/>
        <w:numPr>
          <w:ilvl w:val="0"/>
          <w:numId w:val="2"/>
        </w:numPr>
        <w:spacing w:after="100" w:line="360"/>
      </w:pPr>
      <w:r>
        <w:rPr>
          <w:rFonts w:ascii="Arial" w:cs="Arial" w:eastAsia="Arial" w:hAnsi="Arial"/>
          <w:sz w:val="24"/>
          <w:szCs w:val="24"/>
        </w:rPr>
        <w:t xml:space="preserve">Patch-clamp electrophysiology for single-cell current-voltage relationships and single-channel biophysics</w:t>
      </w:r>
    </w:p>
    <w:p>
      <w:pPr>
        <w:pStyle w:val="ListParagraph"/>
        <w:numPr>
          <w:ilvl w:val="0"/>
          <w:numId w:val="2"/>
        </w:numPr>
        <w:spacing w:after="100" w:line="360"/>
      </w:pPr>
      <w:r>
        <w:rPr>
          <w:rFonts w:ascii="Arial" w:cs="Arial" w:eastAsia="Arial" w:hAnsi="Arial"/>
          <w:sz w:val="24"/>
          <w:szCs w:val="24"/>
        </w:rPr>
        <w:t xml:space="preserve">Machine learning classifier for EP phenotype recovery ranking (network synchronization, burst stability, plasticity restoration)</w:t>
      </w:r>
    </w:p>
    <w:p>
      <w:pPr>
        <w:pStyle w:val="ListParagraph"/>
        <w:numPr>
          <w:ilvl w:val="0"/>
          <w:numId w:val="2"/>
        </w:numPr>
        <w:spacing w:after="100" w:line="360"/>
      </w:pPr>
      <w:r>
        <w:rPr>
          <w:rFonts w:ascii="Arial" w:cs="Arial" w:eastAsia="Arial" w:hAnsi="Arial"/>
          <w:sz w:val="24"/>
          <w:szCs w:val="24"/>
        </w:rPr>
        <w:t xml:space="preserve">Bioenergetic-electrophysiology coupling engine (OCR-to-network-frequency correlation analysis)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Which mitochondrial stabilizers most effectively restore striatal burst firing patterns under Complex I inhibition?</w:t>
      </w:r>
    </w:p>
    <w:p>
      <w:pPr>
        <w:pStyle w:val="ListParagraph"/>
        <w:numPr>
          <w:ilvl w:val="0"/>
          <w:numId w:val="2"/>
        </w:numPr>
        <w:spacing w:after="100" w:line="360"/>
      </w:pPr>
      <w:r>
        <w:rPr>
          <w:rFonts w:ascii="Arial" w:cs="Arial" w:eastAsia="Arial" w:hAnsi="Arial"/>
          <w:sz w:val="24"/>
          <w:szCs w:val="24"/>
        </w:rPr>
        <w:t xml:space="preserve">What is the relationship between mitochondrial membrane potential recovery and striatal MSN firing frequency restoration?</w:t>
      </w:r>
    </w:p>
    <w:p>
      <w:pPr>
        <w:pStyle w:val="ListParagraph"/>
        <w:numPr>
          <w:ilvl w:val="0"/>
          <w:numId w:val="2"/>
        </w:numPr>
        <w:spacing w:after="100" w:line="360"/>
      </w:pPr>
      <w:r>
        <w:rPr>
          <w:rFonts w:ascii="Arial" w:cs="Arial" w:eastAsia="Arial" w:hAnsi="Arial"/>
          <w:sz w:val="24"/>
          <w:szCs w:val="24"/>
        </w:rPr>
        <w:t xml:space="preserve">Do mitochondrial stabilizers preferentially restore gamma-band oscillations vs. theta-band network synchronization?</w:t>
      </w:r>
    </w:p>
    <w:p>
      <w:pPr>
        <w:pStyle w:val="ListParagraph"/>
        <w:numPr>
          <w:ilvl w:val="0"/>
          <w:numId w:val="2"/>
        </w:numPr>
        <w:spacing w:after="100" w:line="360"/>
      </w:pPr>
      <w:r>
        <w:rPr>
          <w:rFonts w:ascii="Arial" w:cs="Arial" w:eastAsia="Arial" w:hAnsi="Arial"/>
          <w:sz w:val="24"/>
          <w:szCs w:val="24"/>
        </w:rPr>
        <w:t xml:space="preserve">Which compounds best preserve synaptic transmission and short-term plasticity under bioenergetic stress?</w:t>
      </w:r>
    </w:p>
    <w:p>
      <w:pPr>
        <w:pStyle w:val="ListParagraph"/>
        <w:numPr>
          <w:ilvl w:val="0"/>
          <w:numId w:val="2"/>
        </w:numPr>
        <w:spacing w:after="100" w:line="360"/>
      </w:pPr>
      <w:r>
        <w:rPr>
          <w:rFonts w:ascii="Arial" w:cs="Arial" w:eastAsia="Arial" w:hAnsi="Arial"/>
          <w:sz w:val="24"/>
          <w:szCs w:val="24"/>
        </w:rPr>
        <w:t xml:space="preserve">How does mitochondrial stabilizer potency correlate with duration of network function preservation during metabolic challenge?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Mitochondrial stabilizer EP rescue ranking table (burst firing recovery, network synchronization restoration, plasticity preservation scores)</w:t>
      </w:r>
    </w:p>
    <w:p>
      <w:pPr>
        <w:pStyle w:val="ListParagraph"/>
        <w:numPr>
          <w:ilvl w:val="0"/>
          <w:numId w:val="2"/>
        </w:numPr>
        <w:spacing w:after="100" w:line="360"/>
      </w:pPr>
      <w:r>
        <w:rPr>
          <w:rFonts w:ascii="Arial" w:cs="Arial" w:eastAsia="Arial" w:hAnsi="Arial"/>
          <w:sz w:val="24"/>
          <w:szCs w:val="24"/>
        </w:rPr>
        <w:t xml:space="preserve">Network-level recovery profiles per compound (firing frequency, burst duration, interburst interval, synchronization index)</w:t>
      </w:r>
    </w:p>
    <w:p>
      <w:pPr>
        <w:pStyle w:val="ListParagraph"/>
        <w:numPr>
          <w:ilvl w:val="0"/>
          <w:numId w:val="2"/>
        </w:numPr>
        <w:spacing w:after="100" w:line="360"/>
      </w:pPr>
      <w:r>
        <w:rPr>
          <w:rFonts w:ascii="Arial" w:cs="Arial" w:eastAsia="Arial" w:hAnsi="Arial"/>
          <w:sz w:val="24"/>
          <w:szCs w:val="24"/>
        </w:rPr>
        <w:t xml:space="preserve">Synaptic transmission restoration metrics (EPSC amplitude, paired-pulse ratio, frequency-dependent short-term plasticity changes)</w:t>
      </w:r>
    </w:p>
    <w:p>
      <w:pPr>
        <w:pStyle w:val="ListParagraph"/>
        <w:numPr>
          <w:ilvl w:val="0"/>
          <w:numId w:val="2"/>
        </w:numPr>
        <w:spacing w:after="100" w:line="360"/>
      </w:pPr>
      <w:r>
        <w:rPr>
          <w:rFonts w:ascii="Arial" w:cs="Arial" w:eastAsia="Arial" w:hAnsi="Arial"/>
          <w:sz w:val="24"/>
          <w:szCs w:val="24"/>
        </w:rPr>
        <w:t xml:space="preserve">Neuronal excitability recovery (action potential threshold, AP half-width, frequency-current slope restoration)</w:t>
      </w:r>
    </w:p>
    <w:p>
      <w:pPr>
        <w:pStyle w:val="ListParagraph"/>
        <w:numPr>
          <w:ilvl w:val="0"/>
          <w:numId w:val="2"/>
        </w:numPr>
        <w:spacing w:after="100" w:line="360"/>
      </w:pPr>
      <w:r>
        <w:rPr>
          <w:rFonts w:ascii="Arial" w:cs="Arial" w:eastAsia="Arial" w:hAnsi="Arial"/>
          <w:sz w:val="24"/>
          <w:szCs w:val="24"/>
        </w:rPr>
        <w:t xml:space="preserve">Bioenergetic-electrophysiology correlation scores showing robust mitochondrial-circuit coupling</w:t>
      </w:r>
    </w:p>
    <w:p>
      <w:pPr>
        <w:pStyle w:val="ListParagraph"/>
        <w:numPr>
          <w:ilvl w:val="0"/>
          <w:numId w:val="2"/>
        </w:numPr>
        <w:spacing w:after="100" w:line="360"/>
      </w:pPr>
      <w:r>
        <w:rPr>
          <w:rFonts w:ascii="Arial" w:cs="Arial" w:eastAsia="Arial" w:hAnsi="Arial"/>
          <w:sz w:val="24"/>
          <w:szCs w:val="24"/>
        </w:rPr>
        <w:t xml:space="preserve">Top 15-20 compounds ranked by comprehensive EP rescue strength (network stability, plasticity, and long-term resilience)</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EP rescue ranking matrix with network metrics, synaptic transmission parameters, plasticity indices, and bioenergetic coupling coefficients</w:t>
      </w:r>
    </w:p>
    <w:p>
      <w:pPr>
        <w:pStyle w:val="Heading2"/>
      </w:pPr>
      <w:r>
        <w:rPr>
          <w:rFonts w:ascii="Arial" w:cs="Arial" w:eastAsia="Arial" w:hAnsi="Arial"/>
          <w:b/>
          <w:bCs/>
          <w:sz w:val="28"/>
          <w:szCs w:val="28"/>
        </w:rPr>
        <w:t xml:space="preserve">Stage 4: Comparative Efficacy Testing Across Neurodegenerative Disease Models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Evaluate the top-ranked mitochondrial stabilizers across multiple neurodegeneration contexts (Parkinson's, Alzheimer's, FTD, age-associated mitochondrial decline) to identify universal bioenergetic restorers with broad disease applicability.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15-20 mitochondrial stabilizer compounds from Stage 3 (ranked by network EP rescue)</w:t>
      </w:r>
    </w:p>
    <w:p>
      <w:pPr>
        <w:pStyle w:val="ListParagraph"/>
        <w:numPr>
          <w:ilvl w:val="0"/>
          <w:numId w:val="2"/>
        </w:numPr>
        <w:spacing w:after="100" w:line="360"/>
      </w:pPr>
      <w:r>
        <w:rPr>
          <w:rFonts w:ascii="Arial" w:cs="Arial" w:eastAsia="Arial" w:hAnsi="Arial"/>
          <w:sz w:val="24"/>
          <w:szCs w:val="24"/>
        </w:rPr>
        <w:t xml:space="preserve">iPSC-derived or genetically-engineered disease models: PINK1-KO, LRRK2-G2019S (PD); APP/PS1, tau transgenic (AD); MAPT-P301L, GRN-KO (FTD)</w:t>
      </w:r>
    </w:p>
    <w:p>
      <w:pPr>
        <w:pStyle w:val="ListParagraph"/>
        <w:numPr>
          <w:ilvl w:val="0"/>
          <w:numId w:val="2"/>
        </w:numPr>
        <w:spacing w:after="100" w:line="360"/>
      </w:pPr>
      <w:r>
        <w:rPr>
          <w:rFonts w:ascii="Arial" w:cs="Arial" w:eastAsia="Arial" w:hAnsi="Arial"/>
          <w:sz w:val="24"/>
          <w:szCs w:val="24"/>
        </w:rPr>
        <w:t xml:space="preserve">Age-associated mitochondrial decline models (aged neurons from transgenic mice, senescent human iPSC-derived neurons)</w:t>
      </w:r>
    </w:p>
    <w:p>
      <w:pPr>
        <w:pStyle w:val="ListParagraph"/>
        <w:numPr>
          <w:ilvl w:val="0"/>
          <w:numId w:val="2"/>
        </w:numPr>
        <w:spacing w:after="100" w:line="360"/>
      </w:pPr>
      <w:r>
        <w:rPr>
          <w:rFonts w:ascii="Arial" w:cs="Arial" w:eastAsia="Arial" w:hAnsi="Arial"/>
          <w:sz w:val="24"/>
          <w:szCs w:val="24"/>
        </w:rPr>
        <w:t xml:space="preserve">Bioenergetic and electrophysiological phenotypes from each disease model (OCR, ΔΨm, network burst patterns)</w:t>
      </w:r>
    </w:p>
    <w:p>
      <w:pPr>
        <w:pStyle w:val="ListParagraph"/>
        <w:numPr>
          <w:ilvl w:val="0"/>
          <w:numId w:val="2"/>
        </w:numPr>
        <w:spacing w:after="100" w:line="360"/>
      </w:pPr>
      <w:r>
        <w:rPr>
          <w:rFonts w:ascii="Arial" w:cs="Arial" w:eastAsia="Arial" w:hAnsi="Arial"/>
          <w:sz w:val="24"/>
          <w:szCs w:val="24"/>
        </w:rPr>
        <w:t xml:space="preserve">Disease-specific vulnerability signatures (dopaminergic vs. cortical vs. tau-pathology-driven bioenergetic collapse)</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Disease model bank with characterized bioenergetic baseline parameters for each neurodegeneration context</w:t>
      </w:r>
    </w:p>
    <w:p>
      <w:pPr>
        <w:pStyle w:val="ListParagraph"/>
        <w:numPr>
          <w:ilvl w:val="0"/>
          <w:numId w:val="2"/>
        </w:numPr>
        <w:spacing w:after="100" w:line="360"/>
      </w:pPr>
      <w:r>
        <w:rPr>
          <w:rFonts w:ascii="Arial" w:cs="Arial" w:eastAsia="Arial" w:hAnsi="Arial"/>
          <w:sz w:val="24"/>
          <w:szCs w:val="24"/>
        </w:rPr>
        <w:t xml:space="preserve">Multi-disease phenotyping platform integrating Seahorse, MEA, and imaging modalities</w:t>
      </w:r>
    </w:p>
    <w:p>
      <w:pPr>
        <w:pStyle w:val="ListParagraph"/>
        <w:numPr>
          <w:ilvl w:val="0"/>
          <w:numId w:val="2"/>
        </w:numPr>
        <w:spacing w:after="100" w:line="360"/>
      </w:pPr>
      <w:r>
        <w:rPr>
          <w:rFonts w:ascii="Arial" w:cs="Arial" w:eastAsia="Arial" w:hAnsi="Arial"/>
          <w:sz w:val="24"/>
          <w:szCs w:val="24"/>
        </w:rPr>
        <w:t xml:space="preserve">Disease-specificity classifier (likelihood of efficacy in PD/AD/FTD contexts)</w:t>
      </w:r>
    </w:p>
    <w:p>
      <w:pPr>
        <w:pStyle w:val="ListParagraph"/>
        <w:numPr>
          <w:ilvl w:val="0"/>
          <w:numId w:val="2"/>
        </w:numPr>
        <w:spacing w:after="100" w:line="360"/>
      </w:pPr>
      <w:r>
        <w:rPr>
          <w:rFonts w:ascii="Arial" w:cs="Arial" w:eastAsia="Arial" w:hAnsi="Arial"/>
          <w:sz w:val="24"/>
          <w:szCs w:val="24"/>
        </w:rPr>
        <w:t xml:space="preserve">Network medicine approach identifying shared vs. distinct bioenergetic repair mechanisms across diseases</w:t>
      </w:r>
    </w:p>
    <w:p>
      <w:pPr>
        <w:pStyle w:val="ListParagraph"/>
        <w:numPr>
          <w:ilvl w:val="0"/>
          <w:numId w:val="2"/>
        </w:numPr>
        <w:spacing w:after="100" w:line="360"/>
      </w:pPr>
      <w:r>
        <w:rPr>
          <w:rFonts w:ascii="Arial" w:cs="Arial" w:eastAsia="Arial" w:hAnsi="Arial"/>
          <w:sz w:val="24"/>
          <w:szCs w:val="24"/>
        </w:rPr>
        <w:t xml:space="preserve">Machine learning meta-analysis engine combining efficacy data across disease models</w:t>
      </w:r>
    </w:p>
    <w:p>
      <w:pPr>
        <w:pStyle w:val="ListParagraph"/>
        <w:numPr>
          <w:ilvl w:val="0"/>
          <w:numId w:val="2"/>
        </w:numPr>
        <w:spacing w:after="100" w:line="360"/>
      </w:pPr>
      <w:r>
        <w:rPr>
          <w:rFonts w:ascii="Arial" w:cs="Arial" w:eastAsia="Arial" w:hAnsi="Arial"/>
          <w:sz w:val="24"/>
          <w:szCs w:val="24"/>
        </w:rPr>
        <w:t xml:space="preserve">Translational readiness assessment module (disease relevance, toxicology predictability, pharmacokinetic compatibility)</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mitochondrial stabilizers show similar efficacy in dopaminergic (PD) vs. cortical glutamatergic (AD) neurons?</w:t>
      </w:r>
    </w:p>
    <w:p>
      <w:pPr>
        <w:pStyle w:val="ListParagraph"/>
        <w:numPr>
          <w:ilvl w:val="0"/>
          <w:numId w:val="2"/>
        </w:numPr>
        <w:spacing w:after="100" w:line="360"/>
      </w:pPr>
      <w:r>
        <w:rPr>
          <w:rFonts w:ascii="Arial" w:cs="Arial" w:eastAsia="Arial" w:hAnsi="Arial"/>
          <w:sz w:val="24"/>
          <w:szCs w:val="24"/>
        </w:rPr>
        <w:t xml:space="preserve">How does tau pathology in FTD models alter the efficacy of Complex I stabilizers?</w:t>
      </w:r>
    </w:p>
    <w:p>
      <w:pPr>
        <w:pStyle w:val="ListParagraph"/>
        <w:numPr>
          <w:ilvl w:val="0"/>
          <w:numId w:val="2"/>
        </w:numPr>
        <w:spacing w:after="100" w:line="360"/>
      </w:pPr>
      <w:r>
        <w:rPr>
          <w:rFonts w:ascii="Arial" w:cs="Arial" w:eastAsia="Arial" w:hAnsi="Arial"/>
          <w:sz w:val="24"/>
          <w:szCs w:val="24"/>
        </w:rPr>
        <w:t xml:space="preserve">Which compounds show age-independent mitochondrial restoration in senescent vs. young neurons?</w:t>
      </w:r>
    </w:p>
    <w:p>
      <w:pPr>
        <w:pStyle w:val="ListParagraph"/>
        <w:numPr>
          <w:ilvl w:val="0"/>
          <w:numId w:val="2"/>
        </w:numPr>
        <w:spacing w:after="100" w:line="360"/>
      </w:pPr>
      <w:r>
        <w:rPr>
          <w:rFonts w:ascii="Arial" w:cs="Arial" w:eastAsia="Arial" w:hAnsi="Arial"/>
          <w:sz w:val="24"/>
          <w:szCs w:val="24"/>
        </w:rPr>
        <w:t xml:space="preserve">What is the relationship between disease-specific mtDNA mutations and mitochondrial stabilizer response?</w:t>
      </w:r>
    </w:p>
    <w:p>
      <w:pPr>
        <w:pStyle w:val="ListParagraph"/>
        <w:numPr>
          <w:ilvl w:val="0"/>
          <w:numId w:val="2"/>
        </w:numPr>
        <w:spacing w:after="100" w:line="360"/>
      </w:pPr>
      <w:r>
        <w:rPr>
          <w:rFonts w:ascii="Arial" w:cs="Arial" w:eastAsia="Arial" w:hAnsi="Arial"/>
          <w:sz w:val="24"/>
          <w:szCs w:val="24"/>
        </w:rPr>
        <w:t xml:space="preserve">Which 3-5 compounds demonstrate broadest efficacy across all tested neurodegeneration disease models?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Disease-stratified efficacy matrix comparing mitochondrial stabilizer performance across PD/AD/FTD/aging models</w:t>
      </w:r>
    </w:p>
    <w:p>
      <w:pPr>
        <w:pStyle w:val="ListParagraph"/>
        <w:numPr>
          <w:ilvl w:val="0"/>
          <w:numId w:val="2"/>
        </w:numPr>
        <w:spacing w:after="100" w:line="360"/>
      </w:pPr>
      <w:r>
        <w:rPr>
          <w:rFonts w:ascii="Arial" w:cs="Arial" w:eastAsia="Arial" w:hAnsi="Arial"/>
          <w:sz w:val="24"/>
          <w:szCs w:val="24"/>
        </w:rPr>
        <w:t xml:space="preserve">OCR recovery and ΔΨm restoration timelines per compound in each disease context</w:t>
      </w:r>
    </w:p>
    <w:p>
      <w:pPr>
        <w:pStyle w:val="ListParagraph"/>
        <w:numPr>
          <w:ilvl w:val="0"/>
          <w:numId w:val="2"/>
        </w:numPr>
        <w:spacing w:after="100" w:line="360"/>
      </w:pPr>
      <w:r>
        <w:rPr>
          <w:rFonts w:ascii="Arial" w:cs="Arial" w:eastAsia="Arial" w:hAnsi="Arial"/>
          <w:sz w:val="24"/>
          <w:szCs w:val="24"/>
        </w:rPr>
        <w:t xml:space="preserve">Network EP rescue profiles showing disease-specific network repair (dopaminergic circuit vs. cortical network vs. tau-related dysfunction recovery)</w:t>
      </w:r>
    </w:p>
    <w:p>
      <w:pPr>
        <w:pStyle w:val="ListParagraph"/>
        <w:numPr>
          <w:ilvl w:val="0"/>
          <w:numId w:val="2"/>
        </w:numPr>
        <w:spacing w:after="100" w:line="360"/>
      </w:pPr>
      <w:r>
        <w:rPr>
          <w:rFonts w:ascii="Arial" w:cs="Arial" w:eastAsia="Arial" w:hAnsi="Arial"/>
          <w:sz w:val="24"/>
          <w:szCs w:val="24"/>
        </w:rPr>
        <w:t xml:space="preserve">Disease-specific off-target liability assessment (dopaminergic toxicity in PD, amyloid interaction effects in AD, tau-aggregation modulation in FTD)</w:t>
      </w:r>
    </w:p>
    <w:p>
      <w:pPr>
        <w:pStyle w:val="ListParagraph"/>
        <w:numPr>
          <w:ilvl w:val="0"/>
          <w:numId w:val="2"/>
        </w:numPr>
        <w:spacing w:after="100" w:line="360"/>
      </w:pPr>
      <w:r>
        <w:rPr>
          <w:rFonts w:ascii="Arial" w:cs="Arial" w:eastAsia="Arial" w:hAnsi="Arial"/>
          <w:sz w:val="24"/>
          <w:szCs w:val="24"/>
        </w:rPr>
        <w:t xml:space="preserve">Universal bioenergetic restorer identification (compounds effective across 3+ disease models)</w:t>
      </w:r>
    </w:p>
    <w:p>
      <w:pPr>
        <w:pStyle w:val="ListParagraph"/>
        <w:numPr>
          <w:ilvl w:val="0"/>
          <w:numId w:val="2"/>
        </w:numPr>
        <w:spacing w:after="100" w:line="360"/>
      </w:pPr>
      <w:r>
        <w:rPr>
          <w:rFonts w:ascii="Arial" w:cs="Arial" w:eastAsia="Arial" w:hAnsi="Arial"/>
          <w:sz w:val="24"/>
          <w:szCs w:val="24"/>
        </w:rPr>
        <w:t xml:space="preserve">Recommended single-disease vs. broad-spectrum mitochondrial stabilizer development pathways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Multi-disease efficacy comparison table with OCR recovery percentages, ΔΨm restoration scores, and disease-stratified EP rescue rankings</w:t>
      </w:r>
    </w:p>
    <w:p>
      <w:pPr>
        <w:pStyle w:val="Heading2"/>
      </w:pPr>
      <w:r>
        <w:rPr>
          <w:rFonts w:ascii="Arial" w:cs="Arial" w:eastAsia="Arial" w:hAnsi="Arial"/>
          <w:b/>
          <w:bCs/>
          <w:sz w:val="28"/>
          <w:szCs w:val="28"/>
        </w:rPr>
        <w:t xml:space="preserve">Stage 5: Biomarker-Guided Ranking Refinement &amp; Clinical Translation Pathway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Integrate imaging, circulating, and electrophysiological biomarkers to refine mitochondrial stabilizer rankings and establish pharmacodynamic readouts that support clinical trial design and regulatory approval.</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5-10 broadly-efficacious mitochondrial stabilizers from Stage 4</w:t>
      </w:r>
    </w:p>
    <w:p>
      <w:pPr>
        <w:pStyle w:val="ListParagraph"/>
        <w:numPr>
          <w:ilvl w:val="0"/>
          <w:numId w:val="2"/>
        </w:numPr>
        <w:spacing w:after="100" w:line="360"/>
      </w:pPr>
      <w:r>
        <w:rPr>
          <w:rFonts w:ascii="Arial" w:cs="Arial" w:eastAsia="Arial" w:hAnsi="Arial"/>
          <w:sz w:val="24"/>
          <w:szCs w:val="24"/>
        </w:rPr>
        <w:t xml:space="preserve">Bioenergetic biomarkers (plasma lactate, circulating mtDNA, fibroblast OCR as patient surrogate)</w:t>
      </w:r>
    </w:p>
    <w:p>
      <w:pPr>
        <w:pStyle w:val="ListParagraph"/>
        <w:numPr>
          <w:ilvl w:val="0"/>
          <w:numId w:val="2"/>
        </w:numPr>
        <w:spacing w:after="100" w:line="360"/>
      </w:pPr>
      <w:r>
        <w:rPr>
          <w:rFonts w:ascii="Arial" w:cs="Arial" w:eastAsia="Arial" w:hAnsi="Arial"/>
          <w:sz w:val="24"/>
          <w:szCs w:val="24"/>
        </w:rPr>
        <w:t xml:space="preserve">Neuroimaging biomarkers (PET-glucose uptake, fMRI connectivity, diffusion tensor imaging for white matter integrity)</w:t>
      </w:r>
    </w:p>
    <w:p>
      <w:pPr>
        <w:pStyle w:val="ListParagraph"/>
        <w:numPr>
          <w:ilvl w:val="0"/>
          <w:numId w:val="2"/>
        </w:numPr>
        <w:spacing w:after="100" w:line="360"/>
      </w:pPr>
      <w:r>
        <w:rPr>
          <w:rFonts w:ascii="Arial" w:cs="Arial" w:eastAsia="Arial" w:hAnsi="Arial"/>
          <w:sz w:val="24"/>
          <w:szCs w:val="24"/>
        </w:rPr>
        <w:t xml:space="preserve">Circulating protein biomarkers (neurofilament light chain, phospho-tau, GFAP for astrocyte activation)</w:t>
      </w:r>
    </w:p>
    <w:p>
      <w:pPr>
        <w:pStyle w:val="ListParagraph"/>
        <w:numPr>
          <w:ilvl w:val="0"/>
          <w:numId w:val="2"/>
        </w:numPr>
        <w:spacing w:after="100" w:line="360"/>
      </w:pPr>
      <w:r>
        <w:rPr>
          <w:rFonts w:ascii="Arial" w:cs="Arial" w:eastAsia="Arial" w:hAnsi="Arial"/>
          <w:sz w:val="24"/>
          <w:szCs w:val="24"/>
        </w:rPr>
        <w:t xml:space="preserve">Digital phenotyping in transgenic disease models (motor coordination, cognitive testing, neuroimaging progression)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Biomarker-phenotype correlation engine linking OCR improvements to clinical outcome proxies</w:t>
      </w:r>
    </w:p>
    <w:p>
      <w:pPr>
        <w:pStyle w:val="ListParagraph"/>
        <w:numPr>
          <w:ilvl w:val="0"/>
          <w:numId w:val="2"/>
        </w:numPr>
        <w:spacing w:after="100" w:line="360"/>
      </w:pPr>
      <w:r>
        <w:rPr>
          <w:rFonts w:ascii="Arial" w:cs="Arial" w:eastAsia="Arial" w:hAnsi="Arial"/>
          <w:sz w:val="24"/>
          <w:szCs w:val="24"/>
        </w:rPr>
        <w:t xml:space="preserve">Circulating mtDNA quantification and sequencing (dropout detection, mutant fraction tracking)</w:t>
      </w:r>
    </w:p>
    <w:p>
      <w:pPr>
        <w:pStyle w:val="ListParagraph"/>
        <w:numPr>
          <w:ilvl w:val="0"/>
          <w:numId w:val="2"/>
        </w:numPr>
        <w:spacing w:after="100" w:line="360"/>
      </w:pPr>
      <w:r>
        <w:rPr>
          <w:rFonts w:ascii="Arial" w:cs="Arial" w:eastAsia="Arial" w:hAnsi="Arial"/>
          <w:sz w:val="24"/>
          <w:szCs w:val="24"/>
        </w:rPr>
        <w:t xml:space="preserve">PET image analysis for regional glucose utilization and mitochondrial-dependent synaptic function</w:t>
      </w:r>
    </w:p>
    <w:p>
      <w:pPr>
        <w:pStyle w:val="ListParagraph"/>
        <w:numPr>
          <w:ilvl w:val="0"/>
          <w:numId w:val="2"/>
        </w:numPr>
        <w:spacing w:after="100" w:line="360"/>
      </w:pPr>
      <w:r>
        <w:rPr>
          <w:rFonts w:ascii="Arial" w:cs="Arial" w:eastAsia="Arial" w:hAnsi="Arial"/>
          <w:sz w:val="24"/>
          <w:szCs w:val="24"/>
        </w:rPr>
        <w:t xml:space="preserve">fMRI connectivity modeling predicting network repair from circuit-level changes</w:t>
      </w:r>
    </w:p>
    <w:p>
      <w:pPr>
        <w:pStyle w:val="ListParagraph"/>
        <w:numPr>
          <w:ilvl w:val="0"/>
          <w:numId w:val="2"/>
        </w:numPr>
        <w:spacing w:after="100" w:line="360"/>
      </w:pPr>
      <w:r>
        <w:rPr>
          <w:rFonts w:ascii="Arial" w:cs="Arial" w:eastAsia="Arial" w:hAnsi="Arial"/>
          <w:sz w:val="24"/>
          <w:szCs w:val="24"/>
        </w:rPr>
        <w:t xml:space="preserve">Machine learning clinical translation readiness classifier</w:t>
      </w:r>
    </w:p>
    <w:p>
      <w:pPr>
        <w:pStyle w:val="ListParagraph"/>
        <w:numPr>
          <w:ilvl w:val="0"/>
          <w:numId w:val="2"/>
        </w:numPr>
        <w:spacing w:after="100" w:line="360"/>
      </w:pPr>
      <w:r>
        <w:rPr>
          <w:rFonts w:ascii="Arial" w:cs="Arial" w:eastAsia="Arial" w:hAnsi="Arial"/>
          <w:sz w:val="24"/>
          <w:szCs w:val="24"/>
        </w:rPr>
        <w:t xml:space="preserve">Pharmacokinetic-pharmacodynamic (PK-PD) modeling linking compound exposure to bioenergetic response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plasma mtDNA or lactate levels predict mitochondrial stabilizer efficacy in patient-derived fibroblasts?</w:t>
      </w:r>
    </w:p>
    <w:p>
      <w:pPr>
        <w:pStyle w:val="ListParagraph"/>
        <w:numPr>
          <w:ilvl w:val="0"/>
          <w:numId w:val="2"/>
        </w:numPr>
        <w:spacing w:after="100" w:line="360"/>
      </w:pPr>
      <w:r>
        <w:rPr>
          <w:rFonts w:ascii="Arial" w:cs="Arial" w:eastAsia="Arial" w:hAnsi="Arial"/>
          <w:sz w:val="24"/>
          <w:szCs w:val="24"/>
        </w:rPr>
        <w:t xml:space="preserve">What is the correlation between striatal glucose uptake improvement (PET) and motor phenotype recovery?</w:t>
      </w:r>
    </w:p>
    <w:p>
      <w:pPr>
        <w:pStyle w:val="ListParagraph"/>
        <w:numPr>
          <w:ilvl w:val="0"/>
          <w:numId w:val="2"/>
        </w:numPr>
        <w:spacing w:after="100" w:line="360"/>
      </w:pPr>
      <w:r>
        <w:rPr>
          <w:rFonts w:ascii="Arial" w:cs="Arial" w:eastAsia="Arial" w:hAnsi="Arial"/>
          <w:sz w:val="24"/>
          <w:szCs w:val="24"/>
        </w:rPr>
        <w:t xml:space="preserve">Which biomarker panel (bioenergetic + circulating + imaging) best predicts individual patient response?</w:t>
      </w:r>
    </w:p>
    <w:p>
      <w:pPr>
        <w:pStyle w:val="ListParagraph"/>
        <w:numPr>
          <w:ilvl w:val="0"/>
          <w:numId w:val="2"/>
        </w:numPr>
        <w:spacing w:after="100" w:line="360"/>
      </w:pPr>
      <w:r>
        <w:rPr>
          <w:rFonts w:ascii="Arial" w:cs="Arial" w:eastAsia="Arial" w:hAnsi="Arial"/>
          <w:sz w:val="24"/>
          <w:szCs w:val="24"/>
        </w:rPr>
        <w:t xml:space="preserve">How rapidly can mitochondrial stabilizer efficacy be assessed (acute PK phase vs. chronic biomarker accumulation)?</w:t>
      </w:r>
    </w:p>
    <w:p>
      <w:pPr>
        <w:pStyle w:val="ListParagraph"/>
        <w:numPr>
          <w:ilvl w:val="0"/>
          <w:numId w:val="2"/>
        </w:numPr>
        <w:spacing w:after="100" w:line="360"/>
      </w:pPr>
      <w:r>
        <w:rPr>
          <w:rFonts w:ascii="Arial" w:cs="Arial" w:eastAsia="Arial" w:hAnsi="Arial"/>
          <w:sz w:val="24"/>
          <w:szCs w:val="24"/>
        </w:rPr>
        <w:t xml:space="preserve">What is the optimal biomarker enrichment strategy for Phase II clinical trial patient selection?</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Biomarker validation matrix linking mitochondrial stabilizer potency to imaging, circulating, and clinical biomarker changes</w:t>
      </w:r>
    </w:p>
    <w:p>
      <w:pPr>
        <w:pStyle w:val="ListParagraph"/>
        <w:numPr>
          <w:ilvl w:val="0"/>
          <w:numId w:val="2"/>
        </w:numPr>
        <w:spacing w:after="100" w:line="360"/>
      </w:pPr>
      <w:r>
        <w:rPr>
          <w:rFonts w:ascii="Arial" w:cs="Arial" w:eastAsia="Arial" w:hAnsi="Arial"/>
          <w:sz w:val="24"/>
          <w:szCs w:val="24"/>
        </w:rPr>
        <w:t xml:space="preserve">Pharmacodynamic target engagement profiles (mitochondrial OCR recovery kinetics, bioenergetic biomarker timelines)</w:t>
      </w:r>
    </w:p>
    <w:p>
      <w:pPr>
        <w:pStyle w:val="ListParagraph"/>
        <w:numPr>
          <w:ilvl w:val="0"/>
          <w:numId w:val="2"/>
        </w:numPr>
        <w:spacing w:after="100" w:line="360"/>
      </w:pPr>
      <w:r>
        <w:rPr>
          <w:rFonts w:ascii="Arial" w:cs="Arial" w:eastAsia="Arial" w:hAnsi="Arial"/>
          <w:sz w:val="24"/>
          <w:szCs w:val="24"/>
        </w:rPr>
        <w:t xml:space="preserve">Circulating biomarker correlation table (mtDNA, lactate, neurofilament kinetics per stabilizer)</w:t>
      </w:r>
    </w:p>
    <w:p>
      <w:pPr>
        <w:pStyle w:val="ListParagraph"/>
        <w:numPr>
          <w:ilvl w:val="0"/>
          <w:numId w:val="2"/>
        </w:numPr>
        <w:spacing w:after="100" w:line="360"/>
      </w:pPr>
      <w:r>
        <w:rPr>
          <w:rFonts w:ascii="Arial" w:cs="Arial" w:eastAsia="Arial" w:hAnsi="Arial"/>
          <w:sz w:val="24"/>
          <w:szCs w:val="24"/>
        </w:rPr>
        <w:t xml:space="preserve">Recommended Phase I/II biomarker readout strategy and enrichment criteria</w:t>
      </w:r>
    </w:p>
    <w:p>
      <w:pPr>
        <w:pStyle w:val="ListParagraph"/>
        <w:numPr>
          <w:ilvl w:val="0"/>
          <w:numId w:val="2"/>
        </w:numPr>
        <w:spacing w:after="100" w:line="360"/>
      </w:pPr>
      <w:r>
        <w:rPr>
          <w:rFonts w:ascii="Arial" w:cs="Arial" w:eastAsia="Arial" w:hAnsi="Arial"/>
          <w:sz w:val="24"/>
          <w:szCs w:val="24"/>
        </w:rPr>
        <w:t xml:space="preserve">Clinical trial population stratification recommendations (high vs. low mitochondrial burden enrichment)</w:t>
      </w:r>
    </w:p>
    <w:p>
      <w:pPr>
        <w:pStyle w:val="ListParagraph"/>
        <w:numPr>
          <w:ilvl w:val="0"/>
          <w:numId w:val="2"/>
        </w:numPr>
        <w:spacing w:after="100" w:line="360"/>
      </w:pPr>
      <w:r>
        <w:rPr>
          <w:rFonts w:ascii="Arial" w:cs="Arial" w:eastAsia="Arial" w:hAnsi="Arial"/>
          <w:sz w:val="24"/>
          <w:szCs w:val="24"/>
        </w:rPr>
        <w:t xml:space="preserve">Regulatory pathway recommendation (breakthrough therapy, accelerated approval, or standard IND pathway)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Integrated biomarker-ranking table with bioenergetic potency, clinical biomarker correlations, and regulatory pathway recommendations</w:t>
      </w:r>
    </w:p>
    <w:p>
      <w:pPr>
        <w:pStyle w:val="Heading2"/>
      </w:pPr>
      <w:r>
        <w:rPr>
          <w:rFonts w:ascii="Arial" w:cs="Arial" w:eastAsia="Arial" w:hAnsi="Arial"/>
          <w:b/>
          <w:bCs/>
          <w:sz w:val="28"/>
          <w:szCs w:val="28"/>
        </w:rPr>
        <w:t xml:space="preserve">Stage 6: Safety, Mechanism Specificity Validation, &amp; Development Strategy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Conduct comprehensive mechanism-of-action specificity validation to ensure mitochondrial stabilizers enhance Complex I-IV through intended pathways (not off-target ROS scavenging, AMPK activation, or autophagy induction) and establish safety profiles across multiple cell types.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3-5 mitochondrial stabilizers with validated biomarker efficacy from Stage 5</w:t>
      </w:r>
    </w:p>
    <w:p>
      <w:pPr>
        <w:pStyle w:val="ListParagraph"/>
        <w:numPr>
          <w:ilvl w:val="0"/>
          <w:numId w:val="2"/>
        </w:numPr>
        <w:spacing w:after="100" w:line="360"/>
      </w:pPr>
      <w:r>
        <w:rPr>
          <w:rFonts w:ascii="Arial" w:cs="Arial" w:eastAsia="Arial" w:hAnsi="Arial"/>
          <w:sz w:val="24"/>
          <w:szCs w:val="24"/>
        </w:rPr>
        <w:t xml:space="preserve">Mechanistic pathway validation data (Complex subunit assembly, cardiolipin remodeling, ROS-independent pathways)</w:t>
      </w:r>
    </w:p>
    <w:p>
      <w:pPr>
        <w:pStyle w:val="ListParagraph"/>
        <w:numPr>
          <w:ilvl w:val="0"/>
          <w:numId w:val="2"/>
        </w:numPr>
        <w:spacing w:after="100" w:line="360"/>
      </w:pPr>
      <w:r>
        <w:rPr>
          <w:rFonts w:ascii="Arial" w:cs="Arial" w:eastAsia="Arial" w:hAnsi="Arial"/>
          <w:sz w:val="24"/>
          <w:szCs w:val="24"/>
        </w:rPr>
        <w:t xml:space="preserve">Off-target profiling (kinase inhibition, GPCR binding, ion channel effects via automated patch-clamp)</w:t>
      </w:r>
    </w:p>
    <w:p>
      <w:pPr>
        <w:pStyle w:val="ListParagraph"/>
        <w:numPr>
          <w:ilvl w:val="0"/>
          <w:numId w:val="2"/>
        </w:numPr>
        <w:spacing w:after="100" w:line="360"/>
      </w:pPr>
      <w:r>
        <w:rPr>
          <w:rFonts w:ascii="Arial" w:cs="Arial" w:eastAsia="Arial" w:hAnsi="Arial"/>
          <w:sz w:val="24"/>
          <w:szCs w:val="24"/>
        </w:rPr>
        <w:t xml:space="preserve">Safety phenotyping across neuronal (dopaminergic, glutamatergic, GABAergic, cerebellar) and non-neuronal cell types</w:t>
      </w:r>
    </w:p>
    <w:p>
      <w:pPr>
        <w:pStyle w:val="ListParagraph"/>
        <w:numPr>
          <w:ilvl w:val="0"/>
          <w:numId w:val="2"/>
        </w:numPr>
        <w:spacing w:after="100" w:line="360"/>
      </w:pPr>
      <w:r>
        <w:rPr>
          <w:rFonts w:ascii="Arial" w:cs="Arial" w:eastAsia="Arial" w:hAnsi="Arial"/>
          <w:sz w:val="24"/>
          <w:szCs w:val="24"/>
        </w:rPr>
        <w:t xml:space="preserve">Developmental neurotoxicity and reproductive toxicity assessments in iPSC-derived models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Blue native PAGE and mass spectrometry for Complex assembly validation</w:t>
      </w:r>
    </w:p>
    <w:p>
      <w:pPr>
        <w:pStyle w:val="ListParagraph"/>
        <w:numPr>
          <w:ilvl w:val="0"/>
          <w:numId w:val="2"/>
        </w:numPr>
        <w:spacing w:after="100" w:line="360"/>
      </w:pPr>
      <w:r>
        <w:rPr>
          <w:rFonts w:ascii="Arial" w:cs="Arial" w:eastAsia="Arial" w:hAnsi="Arial"/>
          <w:sz w:val="24"/>
          <w:szCs w:val="24"/>
        </w:rPr>
        <w:t xml:space="preserve">Metabolic tracing (13C glucose, 2H palmitate) for mechanism-of-action confirmation</w:t>
      </w:r>
    </w:p>
    <w:p>
      <w:pPr>
        <w:pStyle w:val="ListParagraph"/>
        <w:numPr>
          <w:ilvl w:val="0"/>
          <w:numId w:val="2"/>
        </w:numPr>
        <w:spacing w:after="100" w:line="360"/>
      </w:pPr>
      <w:r>
        <w:rPr>
          <w:rFonts w:ascii="Arial" w:cs="Arial" w:eastAsia="Arial" w:hAnsi="Arial"/>
          <w:sz w:val="24"/>
          <w:szCs w:val="24"/>
        </w:rPr>
        <w:t xml:space="preserve">Automated patch-clamp screening for off-target ion channel effects</w:t>
      </w:r>
    </w:p>
    <w:p>
      <w:pPr>
        <w:pStyle w:val="ListParagraph"/>
        <w:numPr>
          <w:ilvl w:val="0"/>
          <w:numId w:val="2"/>
        </w:numPr>
        <w:spacing w:after="100" w:line="360"/>
      </w:pPr>
      <w:r>
        <w:rPr>
          <w:rFonts w:ascii="Arial" w:cs="Arial" w:eastAsia="Arial" w:hAnsi="Arial"/>
          <w:sz w:val="24"/>
          <w:szCs w:val="24"/>
        </w:rPr>
        <w:t xml:space="preserve">Kinase selectivity profiling (DiscoverX KINOMEscan for 400+ kinases)</w:t>
      </w:r>
    </w:p>
    <w:p>
      <w:pPr>
        <w:pStyle w:val="ListParagraph"/>
        <w:numPr>
          <w:ilvl w:val="0"/>
          <w:numId w:val="2"/>
        </w:numPr>
        <w:spacing w:after="100" w:line="360"/>
      </w:pPr>
      <w:r>
        <w:rPr>
          <w:rFonts w:ascii="Arial" w:cs="Arial" w:eastAsia="Arial" w:hAnsi="Arial"/>
          <w:sz w:val="24"/>
          <w:szCs w:val="24"/>
        </w:rPr>
        <w:t xml:space="preserve">Multi-cell-type safety profiling platform (8+ neuronal subtypes, fibroblasts, hepatocytes, immune cells)</w:t>
      </w:r>
    </w:p>
    <w:p>
      <w:pPr>
        <w:pStyle w:val="ListParagraph"/>
        <w:numPr>
          <w:ilvl w:val="0"/>
          <w:numId w:val="2"/>
        </w:numPr>
        <w:spacing w:after="100" w:line="360"/>
      </w:pPr>
      <w:r>
        <w:rPr>
          <w:rFonts w:ascii="Arial" w:cs="Arial" w:eastAsia="Arial" w:hAnsi="Arial"/>
          <w:sz w:val="24"/>
          <w:szCs w:val="24"/>
        </w:rPr>
        <w:t xml:space="preserve">Regulatory compliance module (GLP-compliant toxicology pathway, pharmacology package optimization)</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Do lead mitochondrial stabilizers enhance Complex I activity through direct subunit stabilization or indirect cardiolipin remodeling?</w:t>
      </w:r>
    </w:p>
    <w:p>
      <w:pPr>
        <w:pStyle w:val="ListParagraph"/>
        <w:numPr>
          <w:ilvl w:val="0"/>
          <w:numId w:val="2"/>
        </w:numPr>
        <w:spacing w:after="100" w:line="360"/>
      </w:pPr>
      <w:r>
        <w:rPr>
          <w:rFonts w:ascii="Arial" w:cs="Arial" w:eastAsia="Arial" w:hAnsi="Arial"/>
          <w:sz w:val="24"/>
          <w:szCs w:val="24"/>
        </w:rPr>
        <w:t xml:space="preserve">Which compounds show mechanism-of-action specificity (Complex I-IV stabilization) vs. ROS scavenging or AMPK activation side effects?</w:t>
      </w:r>
    </w:p>
    <w:p>
      <w:pPr>
        <w:pStyle w:val="ListParagraph"/>
        <w:numPr>
          <w:ilvl w:val="0"/>
          <w:numId w:val="2"/>
        </w:numPr>
        <w:spacing w:after="100" w:line="360"/>
      </w:pPr>
      <w:r>
        <w:rPr>
          <w:rFonts w:ascii="Arial" w:cs="Arial" w:eastAsia="Arial" w:hAnsi="Arial"/>
          <w:sz w:val="24"/>
          <w:szCs w:val="24"/>
        </w:rPr>
        <w:t xml:space="preserve">Are there dopaminergic-specific toxicity risks or developmental toxicity concerns for mitochondrial stabilizers?</w:t>
      </w:r>
    </w:p>
    <w:p>
      <w:pPr>
        <w:pStyle w:val="ListParagraph"/>
        <w:numPr>
          <w:ilvl w:val="0"/>
          <w:numId w:val="2"/>
        </w:numPr>
        <w:spacing w:after="100" w:line="360"/>
      </w:pPr>
      <w:r>
        <w:rPr>
          <w:rFonts w:ascii="Arial" w:cs="Arial" w:eastAsia="Arial" w:hAnsi="Arial"/>
          <w:sz w:val="24"/>
          <w:szCs w:val="24"/>
        </w:rPr>
        <w:t xml:space="preserve">Do mitochondrial stabilizers show pharmacology consistency across species (human vs. mouse vs. rat neurons)?</w:t>
      </w:r>
    </w:p>
    <w:p>
      <w:pPr>
        <w:pStyle w:val="ListParagraph"/>
        <w:numPr>
          <w:ilvl w:val="0"/>
          <w:numId w:val="2"/>
        </w:numPr>
        <w:spacing w:after="100" w:line="360"/>
      </w:pPr>
      <w:r>
        <w:rPr>
          <w:rFonts w:ascii="Arial" w:cs="Arial" w:eastAsia="Arial" w:hAnsi="Arial"/>
          <w:sz w:val="24"/>
          <w:szCs w:val="24"/>
        </w:rPr>
        <w:t xml:space="preserve">What is the optimal development strategy (single-drug vs. synergistic combination with neuroprotective agent)?</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Mechanism-of-action validation report confirming Complex I-IV stabilization pathway specificity</w:t>
      </w:r>
    </w:p>
    <w:p>
      <w:pPr>
        <w:pStyle w:val="ListParagraph"/>
        <w:numPr>
          <w:ilvl w:val="0"/>
          <w:numId w:val="2"/>
        </w:numPr>
        <w:spacing w:after="100" w:line="360"/>
      </w:pPr>
      <w:r>
        <w:rPr>
          <w:rFonts w:ascii="Arial" w:cs="Arial" w:eastAsia="Arial" w:hAnsi="Arial"/>
          <w:sz w:val="24"/>
          <w:szCs w:val="24"/>
        </w:rPr>
        <w:t xml:space="preserve">Off-target liability profile (kinase selectivity, ion channel effects, hepatotoxicity risk assessment)</w:t>
      </w:r>
    </w:p>
    <w:p>
      <w:pPr>
        <w:pStyle w:val="ListParagraph"/>
        <w:numPr>
          <w:ilvl w:val="0"/>
          <w:numId w:val="2"/>
        </w:numPr>
        <w:spacing w:after="100" w:line="360"/>
      </w:pPr>
      <w:r>
        <w:rPr>
          <w:rFonts w:ascii="Arial" w:cs="Arial" w:eastAsia="Arial" w:hAnsi="Arial"/>
          <w:sz w:val="24"/>
          <w:szCs w:val="24"/>
        </w:rPr>
        <w:t xml:space="preserve">Multi-cell-type safety summary (dopaminergic, glutamatergic, GABAergic neuron safety; non-neuronal cell effects)</w:t>
      </w:r>
    </w:p>
    <w:p>
      <w:pPr>
        <w:pStyle w:val="ListParagraph"/>
        <w:numPr>
          <w:ilvl w:val="0"/>
          <w:numId w:val="2"/>
        </w:numPr>
        <w:spacing w:after="100" w:line="360"/>
      </w:pPr>
      <w:r>
        <w:rPr>
          <w:rFonts w:ascii="Arial" w:cs="Arial" w:eastAsia="Arial" w:hAnsi="Arial"/>
          <w:sz w:val="24"/>
          <w:szCs w:val="24"/>
        </w:rPr>
        <w:t xml:space="preserve">Developmental neurotoxicity assessment and age-appropriate dosing recommendations</w:t>
      </w:r>
    </w:p>
    <w:p>
      <w:pPr>
        <w:pStyle w:val="ListParagraph"/>
        <w:numPr>
          <w:ilvl w:val="0"/>
          <w:numId w:val="2"/>
        </w:numPr>
        <w:spacing w:after="100" w:line="360"/>
      </w:pPr>
      <w:r>
        <w:rPr>
          <w:rFonts w:ascii="Arial" w:cs="Arial" w:eastAsia="Arial" w:hAnsi="Arial"/>
          <w:sz w:val="24"/>
          <w:szCs w:val="24"/>
        </w:rPr>
        <w:t xml:space="preserve">Species-specific pharmacology comparison (human vs. preclinical model biomarker prediction accuracy)</w:t>
      </w:r>
    </w:p>
    <w:p>
      <w:pPr>
        <w:pStyle w:val="ListParagraph"/>
        <w:numPr>
          <w:ilvl w:val="0"/>
          <w:numId w:val="2"/>
        </w:numPr>
        <w:spacing w:after="100" w:line="360"/>
      </w:pPr>
      <w:r>
        <w:rPr>
          <w:rFonts w:ascii="Arial" w:cs="Arial" w:eastAsia="Arial" w:hAnsi="Arial"/>
          <w:sz w:val="24"/>
          <w:szCs w:val="24"/>
        </w:rPr>
        <w:t xml:space="preserve">Recommended development pathway (single agent vs. combination therapy; breakthrough designation eligibility; regulatory submission strategy)</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Comprehensive mechanism and safety dossier with Complex stabilization evidence, off-target liability map, multi-cell-type safety profiles, and clinical pathway recommendations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Seahorse XFe analyzer with real-time metabolic rate quantification (basal OCR, ATP-linked OCR, maximal OCR)</w:t>
      </w:r>
    </w:p>
    <w:p>
      <w:pPr>
        <w:pStyle w:val="ListParagraph"/>
        <w:numPr>
          <w:ilvl w:val="0"/>
          <w:numId w:val="2"/>
        </w:numPr>
        <w:spacing w:after="100" w:line="360"/>
      </w:pPr>
      <w:r>
        <w:rPr>
          <w:rFonts w:ascii="Arial" w:cs="Arial" w:eastAsia="Arial" w:hAnsi="Arial"/>
          <w:sz w:val="24"/>
          <w:szCs w:val="24"/>
        </w:rPr>
        <w:t xml:space="preserve">Fluorescence plate reader with kinetic imaging for ΔΨm and ROS production time-courses</w:t>
      </w:r>
    </w:p>
    <w:p>
      <w:pPr>
        <w:pStyle w:val="ListParagraph"/>
        <w:numPr>
          <w:ilvl w:val="0"/>
          <w:numId w:val="2"/>
        </w:numPr>
        <w:spacing w:after="100" w:line="360"/>
      </w:pPr>
      <w:r>
        <w:rPr>
          <w:rFonts w:ascii="Arial" w:cs="Arial" w:eastAsia="Arial" w:hAnsi="Arial"/>
          <w:sz w:val="24"/>
          <w:szCs w:val="24"/>
        </w:rPr>
        <w:t xml:space="preserve">Multi-electrode array recordings synchronized with mitochondrial imaging (OCR and EP co-registration)</w:t>
      </w:r>
    </w:p>
    <w:p>
      <w:pPr>
        <w:pStyle w:val="ListParagraph"/>
        <w:numPr>
          <w:ilvl w:val="0"/>
          <w:numId w:val="2"/>
        </w:numPr>
        <w:spacing w:after="100" w:line="360"/>
      </w:pPr>
      <w:r>
        <w:rPr>
          <w:rFonts w:ascii="Arial" w:cs="Arial" w:eastAsia="Arial" w:hAnsi="Arial"/>
          <w:sz w:val="24"/>
          <w:szCs w:val="24"/>
        </w:rPr>
        <w:t xml:space="preserve">Calcium imaging with simultaneous mitochondrial FRAP (fluorescence recovery after photobleaching) for calcium uptake kinetics</w:t>
      </w:r>
    </w:p>
    <w:p>
      <w:pPr>
        <w:pStyle w:val="ListParagraph"/>
        <w:numPr>
          <w:ilvl w:val="0"/>
          <w:numId w:val="2"/>
        </w:numPr>
        <w:spacing w:after="100" w:line="360"/>
      </w:pPr>
      <w:r>
        <w:rPr>
          <w:rFonts w:ascii="Arial" w:cs="Arial" w:eastAsia="Arial" w:hAnsi="Arial"/>
          <w:sz w:val="24"/>
          <w:szCs w:val="24"/>
        </w:rPr>
        <w:t xml:space="preserve">Bioenergetic modeling engine for ATP demand vs. supply calculations in active networks</w:t>
      </w:r>
    </w:p>
    <w:p>
      <w:pPr>
        <w:pStyle w:val="ListParagraph"/>
        <w:numPr>
          <w:ilvl w:val="0"/>
          <w:numId w:val="2"/>
        </w:numPr>
        <w:spacing w:after="100" w:line="360"/>
      </w:pPr>
      <w:r>
        <w:rPr>
          <w:rFonts w:ascii="Arial" w:cs="Arial" w:eastAsia="Arial" w:hAnsi="Arial"/>
          <w:sz w:val="24"/>
          <w:szCs w:val="24"/>
        </w:rPr>
        <w:t xml:space="preserve">Machine learning classifier for mitochondrial dysfunction severity stratification (mild/moderate/severe)</w:t>
      </w:r>
    </w:p>
    <w:p>
      <w:pPr>
        <w:pStyle w:val="ListParagraph"/>
        <w:numPr>
          <w:ilvl w:val="0"/>
          <w:numId w:val="2"/>
        </w:numPr>
        <w:spacing w:after="100" w:line="360"/>
      </w:pPr>
      <w:r>
        <w:rPr>
          <w:rFonts w:ascii="Arial" w:cs="Arial" w:eastAsia="Arial" w:hAnsi="Arial"/>
          <w:sz w:val="24"/>
          <w:szCs w:val="24"/>
        </w:rPr>
        <w:t xml:space="preserve">High-throughput Seahorse assay for rapid compound OCR and ΔΨm screening</w:t>
      </w:r>
    </w:p>
    <w:p>
      <w:pPr>
        <w:pStyle w:val="ListParagraph"/>
        <w:numPr>
          <w:ilvl w:val="0"/>
          <w:numId w:val="2"/>
        </w:numPr>
        <w:spacing w:after="100" w:line="360"/>
      </w:pPr>
      <w:r>
        <w:rPr>
          <w:rFonts w:ascii="Arial" w:cs="Arial" w:eastAsia="Arial" w:hAnsi="Arial"/>
          <w:sz w:val="24"/>
          <w:szCs w:val="24"/>
        </w:rPr>
        <w:t xml:space="preserve">Complex I-IV enzymatic activity assays (NADH oxidase, succinate oxidase, cytochrome c oxidase substrates)</w:t>
      </w:r>
    </w:p>
    <w:p>
      <w:pPr>
        <w:pStyle w:val="ListParagraph"/>
        <w:numPr>
          <w:ilvl w:val="0"/>
          <w:numId w:val="2"/>
        </w:numPr>
        <w:spacing w:after="100" w:line="360"/>
      </w:pPr>
      <w:r>
        <w:rPr>
          <w:rFonts w:ascii="Arial" w:cs="Arial" w:eastAsia="Arial" w:hAnsi="Arial"/>
          <w:sz w:val="24"/>
          <w:szCs w:val="24"/>
        </w:rPr>
        <w:t xml:space="preserve">Blue native gel electrophoresis with mass spectrometry for Complex stoichiometry and assembly validation</w:t>
      </w:r>
    </w:p>
    <w:p>
      <w:pPr>
        <w:pStyle w:val="ListParagraph"/>
        <w:numPr>
          <w:ilvl w:val="0"/>
          <w:numId w:val="2"/>
        </w:numPr>
        <w:spacing w:after="100" w:line="360"/>
      </w:pPr>
      <w:r>
        <w:rPr>
          <w:rFonts w:ascii="Arial" w:cs="Arial" w:eastAsia="Arial" w:hAnsi="Arial"/>
          <w:sz w:val="24"/>
          <w:szCs w:val="24"/>
        </w:rPr>
        <w:t xml:space="preserve">Lipid composition analysis (cardiolipin, phosphatidylcholine) for ETC protein optimization</w:t>
      </w:r>
    </w:p>
    <w:p>
      <w:pPr>
        <w:pStyle w:val="ListParagraph"/>
        <w:numPr>
          <w:ilvl w:val="0"/>
          <w:numId w:val="2"/>
        </w:numPr>
        <w:spacing w:after="100" w:line="360"/>
      </w:pPr>
      <w:r>
        <w:rPr>
          <w:rFonts w:ascii="Arial" w:cs="Arial" w:eastAsia="Arial" w:hAnsi="Arial"/>
          <w:sz w:val="24"/>
          <w:szCs w:val="24"/>
        </w:rPr>
        <w:t xml:space="preserve">Machine learning compound potency ranking engine (OCR recovery IC50, ΔΨm restoration EC50, ROS reduction IC50)</w:t>
      </w:r>
    </w:p>
    <w:p>
      <w:pPr>
        <w:pStyle w:val="ListParagraph"/>
        <w:numPr>
          <w:ilvl w:val="0"/>
          <w:numId w:val="2"/>
        </w:numPr>
        <w:spacing w:after="100" w:line="360"/>
      </w:pPr>
      <w:r>
        <w:rPr>
          <w:rFonts w:ascii="Arial" w:cs="Arial" w:eastAsia="Arial" w:hAnsi="Arial"/>
          <w:sz w:val="24"/>
          <w:szCs w:val="24"/>
        </w:rPr>
        <w:t xml:space="preserve">Selectivity profiling module (mitochondrial vs. peroxisomal/cytoplasmic off-target effects)</w:t>
      </w:r>
    </w:p>
    <w:p>
      <w:pPr>
        <w:pStyle w:val="ListParagraph"/>
        <w:numPr>
          <w:ilvl w:val="0"/>
          <w:numId w:val="2"/>
        </w:numPr>
        <w:spacing w:after="100" w:line="360"/>
      </w:pPr>
      <w:r>
        <w:rPr>
          <w:rFonts w:ascii="Arial" w:cs="Arial" w:eastAsia="Arial" w:hAnsi="Arial"/>
          <w:sz w:val="24"/>
          <w:szCs w:val="24"/>
        </w:rPr>
        <w:t xml:space="preserve">Multi-electrode array processing with spike sorting, burst detection, and network graph analysis</w:t>
      </w:r>
    </w:p>
    <w:p>
      <w:pPr>
        <w:pStyle w:val="ListParagraph"/>
        <w:numPr>
          <w:ilvl w:val="0"/>
          <w:numId w:val="2"/>
        </w:numPr>
        <w:spacing w:after="100" w:line="360"/>
      </w:pPr>
      <w:r>
        <w:rPr>
          <w:rFonts w:ascii="Arial" w:cs="Arial" w:eastAsia="Arial" w:hAnsi="Arial"/>
          <w:sz w:val="24"/>
          <w:szCs w:val="24"/>
        </w:rPr>
        <w:t xml:space="preserve">Information theory metrics (mutual information, transfer entropy) for network synchronization quantification</w:t>
      </w:r>
    </w:p>
    <w:p>
      <w:pPr>
        <w:pStyle w:val="ListParagraph"/>
        <w:numPr>
          <w:ilvl w:val="0"/>
          <w:numId w:val="2"/>
        </w:numPr>
        <w:spacing w:after="100" w:line="360"/>
      </w:pPr>
      <w:r>
        <w:rPr>
          <w:rFonts w:ascii="Arial" w:cs="Arial" w:eastAsia="Arial" w:hAnsi="Arial"/>
          <w:sz w:val="24"/>
          <w:szCs w:val="24"/>
        </w:rPr>
        <w:t xml:space="preserve">Calcium imaging with simultaneous ep recording for synaptic transmission validation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2026-03-04T01:49:03.269Z</dcterms:created>
  <dcterms:modified xsi:type="dcterms:W3CDTF">2026-03-04T01:49:03.269Z</dcterms:modified>
</cp:coreProperties>
</file>

<file path=docProps/custom.xml><?xml version="1.0" encoding="utf-8"?>
<Properties xmlns="http://schemas.openxmlformats.org/officeDocument/2006/custom-properties" xmlns:vt="http://schemas.openxmlformats.org/officeDocument/2006/docPropsVTypes"/>
</file>