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Drugs Correcting Network Desynchronization in Dementia</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drugs correcting network desynchronization in dementia.</w:t>
      </w:r>
    </w:p>
    <w:p>
      <w:pPr>
        <w:spacing w:after="200" w:line="360"/>
      </w:pPr>
      <w:r>
        <w:rPr>
          <w:rFonts w:ascii="Arial" w:cs="Arial" w:eastAsia="Arial" w:hAnsi="Arial"/>
          <w:sz w:val="24"/>
          <w:szCs w:val="24"/>
        </w:rPr>
        <w:t xml:space="preserve">This pipeline systematically identifies compounds that restore cortical and hippocampal network synchronization in dementia models by targeting desynchronization-driving pathways such as cholinergic hypofunction, glutamatergic excitotoxicity, GABAergic circuit imbalance, and oscillation-disrupting ion channel dysfunction. Pathological network desynchronization—characterized by loss of gamma/theta oscillations, increased random firing, and disrupted hippocampal-cortical communication—is a hallmark of cognitive decline in Alzheimer's, Lewy body, and frontotemporal dementia. The Quiver Bioscience EP CRISPR atlas enables systematic phenotyping of ~3,500 compounds for their ability to restore coherent network oscillations and long-range synchronization.</w:t>
      </w:r>
    </w:p>
    <w:p>
      <w:pPr>
        <w:spacing w:after="200" w:line="360"/>
      </w:pPr>
      <w:r>
        <w:rPr>
          <w:rFonts w:ascii="Arial" w:cs="Arial" w:eastAsia="Arial" w:hAnsi="Arial"/>
          <w:sz w:val="24"/>
          <w:szCs w:val="24"/>
        </w:rPr>
        <w:t xml:space="preserve">The pipeline employs multi-scale network analysis integrating single-neuron intrinsic properties, local circuit connectivity, and long-range synchronization to identify compounds that repair desynchronization across disease contexts. Hierarchical filtering addresses: (1) hippocampal-cortical theta-gamma coupling restoration, (2) gamma burst frequency stabilization in vulnerable cortical laminae, (3) cholinergic and GABAergic circuit rescue, and (4) mitigation of amyloid/tau-driven network discoordination. Integration of acute pharmacological desynchronization models with chronic disease models ensures that identified compounds provide robust and sustained network repair.</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Sapphire Pipeline employs hierarchical filtering across the Quiver Bioscience electrophysiology CRISPR atlas to identify compounds and genetic modifiers that address the underlying pathophysiology of neurodegenerative disease. By integrating thousands of single-cell electrophysiological recordings, multi-electrode array circuit-level phenotyping, and bioenergetic profiling, the pipeline identifies interventions that restore neuronal excitability properties, stabilize network-level synchronization, and support cellular energy homeostasis.</w:t>
      </w:r>
    </w:p>
    <w:p>
      <w:pPr>
        <w:spacing w:after="200" w:line="360"/>
      </w:pPr>
      <w:r>
        <w:rPr>
          <w:rFonts w:ascii="Arial" w:cs="Arial" w:eastAsia="Arial" w:hAnsi="Arial"/>
          <w:sz w:val="24"/>
          <w:szCs w:val="24"/>
        </w:rPr>
        <w:t xml:space="preserve">Each pipeline stage systematically filters compounds through progressively stringent efficacy criteria: initial target validation, cellular rescue phenotyping, circuit-level network recovery, disease model stratification, biomarker integration, and safety profiling. This multi-scale, biomarker-guided approach ensures that identified therapeutics address root causes of pathology while maintaining broad applicability across disease contexts and patient populations.</w:t>
      </w:r>
    </w:p>
    <w:p>
      <w:pPr>
        <w:pStyle w:val="Heading2"/>
      </w:pPr>
      <w:r>
        <w:rPr>
          <w:rFonts w:ascii="Arial" w:cs="Arial" w:eastAsia="Arial" w:hAnsi="Arial"/>
          <w:b/>
          <w:bCs/>
          <w:sz w:val="28"/>
          <w:szCs w:val="28"/>
        </w:rPr>
        <w:t xml:space="preserve">Stage 1: Network Desynchronization Phenotyping in Dementia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dementia-associated network desynchronization signatures across hippocampal and cortical circuits, quantifying oscillation power loss, frequency disruption, coherence breakdown, and long-range synchronization failure as baseline metrics for drug efficacy assessment.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Multi-electrode array (MEA) and calcium imaging recordings from hippocampal and cortical networks in Alzheimer's (APP/PS1, 3xTg), Lewy body (alpha-synuclein transgenic), and FTD (MAPT, GRN-KO) models</w:t>
      </w:r>
    </w:p>
    <w:p>
      <w:pPr>
        <w:pStyle w:val="ListParagraph"/>
        <w:numPr>
          <w:ilvl w:val="0"/>
          <w:numId w:val="2"/>
        </w:numPr>
        <w:spacing w:after="100" w:line="360"/>
      </w:pPr>
      <w:r>
        <w:rPr>
          <w:rFonts w:ascii="Arial" w:cs="Arial" w:eastAsia="Arial" w:hAnsi="Arial"/>
          <w:sz w:val="24"/>
          <w:szCs w:val="24"/>
        </w:rPr>
        <w:t xml:space="preserve">Local field potential spectral analysis (power spectral density in delta/theta/alpha/beta/gamma bands)</w:t>
      </w:r>
    </w:p>
    <w:p>
      <w:pPr>
        <w:pStyle w:val="ListParagraph"/>
        <w:numPr>
          <w:ilvl w:val="0"/>
          <w:numId w:val="2"/>
        </w:numPr>
        <w:spacing w:after="100" w:line="360"/>
      </w:pPr>
      <w:r>
        <w:rPr>
          <w:rFonts w:ascii="Arial" w:cs="Arial" w:eastAsia="Arial" w:hAnsi="Arial"/>
          <w:sz w:val="24"/>
          <w:szCs w:val="24"/>
        </w:rPr>
        <w:t xml:space="preserve">Network coherence metrics (cross-frequency coupling, theta-gamma phase locking)</w:t>
      </w:r>
    </w:p>
    <w:p>
      <w:pPr>
        <w:pStyle w:val="ListParagraph"/>
        <w:numPr>
          <w:ilvl w:val="0"/>
          <w:numId w:val="2"/>
        </w:numPr>
        <w:spacing w:after="100" w:line="360"/>
      </w:pPr>
      <w:r>
        <w:rPr>
          <w:rFonts w:ascii="Arial" w:cs="Arial" w:eastAsia="Arial" w:hAnsi="Arial"/>
          <w:sz w:val="24"/>
          <w:szCs w:val="24"/>
        </w:rPr>
        <w:t xml:space="preserve">Long-range synchronization between hippocampal CA3-CA1 and cortical layer 5 regions</w:t>
      </w:r>
    </w:p>
    <w:p>
      <w:pPr>
        <w:pStyle w:val="ListParagraph"/>
        <w:numPr>
          <w:ilvl w:val="0"/>
          <w:numId w:val="2"/>
        </w:numPr>
        <w:spacing w:after="100" w:line="360"/>
      </w:pPr>
      <w:r>
        <w:rPr>
          <w:rFonts w:ascii="Arial" w:cs="Arial" w:eastAsia="Arial" w:hAnsi="Arial"/>
          <w:sz w:val="24"/>
          <w:szCs w:val="24"/>
        </w:rPr>
        <w:t xml:space="preserve">Intrinsic neuronal properties across disease stages (action potential kinetics, subthreshold oscillations, input resistance)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Multichannel LFP processing pipeline with Morlet wavelet spectral analysis</w:t>
      </w:r>
    </w:p>
    <w:p>
      <w:pPr>
        <w:pStyle w:val="ListParagraph"/>
        <w:numPr>
          <w:ilvl w:val="0"/>
          <w:numId w:val="2"/>
        </w:numPr>
        <w:spacing w:after="100" w:line="360"/>
      </w:pPr>
      <w:r>
        <w:rPr>
          <w:rFonts w:ascii="Arial" w:cs="Arial" w:eastAsia="Arial" w:hAnsi="Arial"/>
          <w:sz w:val="24"/>
          <w:szCs w:val="24"/>
        </w:rPr>
        <w:t xml:space="preserve">Hilbert transform for phase-amplitude coupling quantification (theta phase driving gamma amplitude)</w:t>
      </w:r>
    </w:p>
    <w:p>
      <w:pPr>
        <w:pStyle w:val="ListParagraph"/>
        <w:numPr>
          <w:ilvl w:val="0"/>
          <w:numId w:val="2"/>
        </w:numPr>
        <w:spacing w:after="100" w:line="360"/>
      </w:pPr>
      <w:r>
        <w:rPr>
          <w:rFonts w:ascii="Arial" w:cs="Arial" w:eastAsia="Arial" w:hAnsi="Arial"/>
          <w:sz w:val="24"/>
          <w:szCs w:val="24"/>
        </w:rPr>
        <w:t xml:space="preserve">Graph theory network analysis (modularity, clustering coefficients, small-worldness)</w:t>
      </w:r>
    </w:p>
    <w:p>
      <w:pPr>
        <w:pStyle w:val="ListParagraph"/>
        <w:numPr>
          <w:ilvl w:val="0"/>
          <w:numId w:val="2"/>
        </w:numPr>
        <w:spacing w:after="100" w:line="360"/>
      </w:pPr>
      <w:r>
        <w:rPr>
          <w:rFonts w:ascii="Arial" w:cs="Arial" w:eastAsia="Arial" w:hAnsi="Arial"/>
          <w:sz w:val="24"/>
          <w:szCs w:val="24"/>
        </w:rPr>
        <w:t xml:space="preserve">Information theory measures (mutual information, transfer entropy) for long-range synchronization</w:t>
      </w:r>
    </w:p>
    <w:p>
      <w:pPr>
        <w:pStyle w:val="ListParagraph"/>
        <w:numPr>
          <w:ilvl w:val="0"/>
          <w:numId w:val="2"/>
        </w:numPr>
        <w:spacing w:after="100" w:line="360"/>
      </w:pPr>
      <w:r>
        <w:rPr>
          <w:rFonts w:ascii="Arial" w:cs="Arial" w:eastAsia="Arial" w:hAnsi="Arial"/>
          <w:sz w:val="24"/>
          <w:szCs w:val="24"/>
        </w:rPr>
        <w:t xml:space="preserve">Granger causality analysis for directional connectivity (hippocampus to cortex vs. feedback)</w:t>
      </w:r>
    </w:p>
    <w:p>
      <w:pPr>
        <w:pStyle w:val="ListParagraph"/>
        <w:numPr>
          <w:ilvl w:val="0"/>
          <w:numId w:val="2"/>
        </w:numPr>
        <w:spacing w:after="100" w:line="360"/>
      </w:pPr>
      <w:r>
        <w:rPr>
          <w:rFonts w:ascii="Arial" w:cs="Arial" w:eastAsia="Arial" w:hAnsi="Arial"/>
          <w:sz w:val="24"/>
          <w:szCs w:val="24"/>
        </w:rPr>
        <w:t xml:space="preserve">Machine learning classifier for network desynchronization severity stratification (mild/moderate/severe)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specific oscillation frequency bands (theta, gamma) show greatest power loss in early vs. advanced dementia models?</w:t>
      </w:r>
    </w:p>
    <w:p>
      <w:pPr>
        <w:pStyle w:val="ListParagraph"/>
        <w:numPr>
          <w:ilvl w:val="0"/>
          <w:numId w:val="2"/>
        </w:numPr>
        <w:spacing w:after="100" w:line="360"/>
      </w:pPr>
      <w:r>
        <w:rPr>
          <w:rFonts w:ascii="Arial" w:cs="Arial" w:eastAsia="Arial" w:hAnsi="Arial"/>
          <w:sz w:val="24"/>
          <w:szCs w:val="24"/>
        </w:rPr>
        <w:t xml:space="preserve">How does theta-gamma phase locking in hippocampal-cortical circuits correlate with cognitive decline?</w:t>
      </w:r>
    </w:p>
    <w:p>
      <w:pPr>
        <w:pStyle w:val="ListParagraph"/>
        <w:numPr>
          <w:ilvl w:val="0"/>
          <w:numId w:val="2"/>
        </w:numPr>
        <w:spacing w:after="100" w:line="360"/>
      </w:pPr>
      <w:r>
        <w:rPr>
          <w:rFonts w:ascii="Arial" w:cs="Arial" w:eastAsia="Arial" w:hAnsi="Arial"/>
          <w:sz w:val="24"/>
          <w:szCs w:val="24"/>
        </w:rPr>
        <w:t xml:space="preserve">Which neuronal subtypes (pyramidal, interneurons) show greatest firing irregularity in desynchronized networks?</w:t>
      </w:r>
    </w:p>
    <w:p>
      <w:pPr>
        <w:pStyle w:val="ListParagraph"/>
        <w:numPr>
          <w:ilvl w:val="0"/>
          <w:numId w:val="2"/>
        </w:numPr>
        <w:spacing w:after="100" w:line="360"/>
      </w:pPr>
      <w:r>
        <w:rPr>
          <w:rFonts w:ascii="Arial" w:cs="Arial" w:eastAsia="Arial" w:hAnsi="Arial"/>
          <w:sz w:val="24"/>
          <w:szCs w:val="24"/>
        </w:rPr>
        <w:t xml:space="preserve">What is the temporal progression of network desynchronization from early pathology (amyloid/tau accumulation) to late-stage dementia?</w:t>
      </w:r>
    </w:p>
    <w:p>
      <w:pPr>
        <w:pStyle w:val="ListParagraph"/>
        <w:numPr>
          <w:ilvl w:val="0"/>
          <w:numId w:val="2"/>
        </w:numPr>
        <w:spacing w:after="100" w:line="360"/>
      </w:pPr>
      <w:r>
        <w:rPr>
          <w:rFonts w:ascii="Arial" w:cs="Arial" w:eastAsia="Arial" w:hAnsi="Arial"/>
          <w:sz w:val="24"/>
          <w:szCs w:val="24"/>
        </w:rPr>
        <w:t xml:space="preserve">How do acute cholinergic or GABAergic blockade model desynchronization compare to chronic transgenic disease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dementia network desynchronization phenotype map (30+ quantitative oscillation, coherence, and synchronization parameters)</w:t>
      </w:r>
    </w:p>
    <w:p>
      <w:pPr>
        <w:pStyle w:val="ListParagraph"/>
        <w:numPr>
          <w:ilvl w:val="0"/>
          <w:numId w:val="2"/>
        </w:numPr>
        <w:spacing w:after="100" w:line="360"/>
      </w:pPr>
      <w:r>
        <w:rPr>
          <w:rFonts w:ascii="Arial" w:cs="Arial" w:eastAsia="Arial" w:hAnsi="Arial"/>
          <w:sz w:val="24"/>
          <w:szCs w:val="24"/>
        </w:rPr>
        <w:t xml:space="preserve">Oscillation power loss profile (percent reduction in delta/theta/alpha/gamma power vs. control)</w:t>
      </w:r>
    </w:p>
    <w:p>
      <w:pPr>
        <w:pStyle w:val="ListParagraph"/>
        <w:numPr>
          <w:ilvl w:val="0"/>
          <w:numId w:val="2"/>
        </w:numPr>
        <w:spacing w:after="100" w:line="360"/>
      </w:pPr>
      <w:r>
        <w:rPr>
          <w:rFonts w:ascii="Arial" w:cs="Arial" w:eastAsia="Arial" w:hAnsi="Arial"/>
          <w:sz w:val="24"/>
          <w:szCs w:val="24"/>
        </w:rPr>
        <w:t xml:space="preserve">Theta-gamma coupling disruption metrics (phase locking values, modulation index across hippocampal-cortical regions)</w:t>
      </w:r>
    </w:p>
    <w:p>
      <w:pPr>
        <w:pStyle w:val="ListParagraph"/>
        <w:numPr>
          <w:ilvl w:val="0"/>
          <w:numId w:val="2"/>
        </w:numPr>
        <w:spacing w:after="100" w:line="360"/>
      </w:pPr>
      <w:r>
        <w:rPr>
          <w:rFonts w:ascii="Arial" w:cs="Arial" w:eastAsia="Arial" w:hAnsi="Arial"/>
          <w:sz w:val="24"/>
          <w:szCs w:val="24"/>
        </w:rPr>
        <w:t xml:space="preserve">Long-range synchronization degradation (coherence loss, Granger causality strength reduction)</w:t>
      </w:r>
    </w:p>
    <w:p>
      <w:pPr>
        <w:pStyle w:val="ListParagraph"/>
        <w:numPr>
          <w:ilvl w:val="0"/>
          <w:numId w:val="2"/>
        </w:numPr>
        <w:spacing w:after="100" w:line="360"/>
      </w:pPr>
      <w:r>
        <w:rPr>
          <w:rFonts w:ascii="Arial" w:cs="Arial" w:eastAsia="Arial" w:hAnsi="Arial"/>
          <w:sz w:val="24"/>
          <w:szCs w:val="24"/>
        </w:rPr>
        <w:t xml:space="preserve">Network graph metrics showing small-world property collapse and modularity loss</w:t>
      </w:r>
    </w:p>
    <w:p>
      <w:pPr>
        <w:pStyle w:val="ListParagraph"/>
        <w:numPr>
          <w:ilvl w:val="0"/>
          <w:numId w:val="2"/>
        </w:numPr>
        <w:spacing w:after="100" w:line="360"/>
      </w:pPr>
      <w:r>
        <w:rPr>
          <w:rFonts w:ascii="Arial" w:cs="Arial" w:eastAsia="Arial" w:hAnsi="Arial"/>
          <w:sz w:val="24"/>
          <w:szCs w:val="24"/>
        </w:rPr>
        <w:t xml:space="preserve">Disease-stage-specific desynchronization biomarker trajectories (early compensatory, late decompensatory stages)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Multi-parametric network phenotype database with spectral power maps, coherence matrices, synchronization indices, and disease progression timelines</w:t>
      </w:r>
    </w:p>
    <w:p>
      <w:pPr>
        <w:pStyle w:val="Heading2"/>
      </w:pPr>
      <w:r>
        <w:rPr>
          <w:rFonts w:ascii="Arial" w:cs="Arial" w:eastAsia="Arial" w:hAnsi="Arial"/>
          <w:b/>
          <w:bCs/>
          <w:sz w:val="28"/>
          <w:szCs w:val="28"/>
        </w:rPr>
        <w:t xml:space="preserve">Stage 2: Cholinergic, Glutamatergic, &amp; GABAergic Circuit Dysfunction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characterize the specific circuit-level dysfunctions driving network desynchronization: cholinergic hypofunction, NMDA/AMPA imbalance, GABAergic interneuron circuit failure, and acetylcholinesterase-driven acetylcholine depletion.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Acetylcholine (ACh) levels and cholinergic neuron firing patterns in hippocampal and cortical networks</w:t>
      </w:r>
    </w:p>
    <w:p>
      <w:pPr>
        <w:pStyle w:val="ListParagraph"/>
        <w:numPr>
          <w:ilvl w:val="0"/>
          <w:numId w:val="2"/>
        </w:numPr>
        <w:spacing w:after="100" w:line="360"/>
      </w:pPr>
      <w:r>
        <w:rPr>
          <w:rFonts w:ascii="Arial" w:cs="Arial" w:eastAsia="Arial" w:hAnsi="Arial"/>
          <w:sz w:val="24"/>
          <w:szCs w:val="24"/>
        </w:rPr>
        <w:t xml:space="preserve">NMDA vs. AMPA receptor-mediated EPSCs in pyramidal and interneurons (whole-cell patch recording)</w:t>
      </w:r>
    </w:p>
    <w:p>
      <w:pPr>
        <w:pStyle w:val="ListParagraph"/>
        <w:numPr>
          <w:ilvl w:val="0"/>
          <w:numId w:val="2"/>
        </w:numPr>
        <w:spacing w:after="100" w:line="360"/>
      </w:pPr>
      <w:r>
        <w:rPr>
          <w:rFonts w:ascii="Arial" w:cs="Arial" w:eastAsia="Arial" w:hAnsi="Arial"/>
          <w:sz w:val="24"/>
          <w:szCs w:val="24"/>
        </w:rPr>
        <w:t xml:space="preserve">GABAergic interneuron subtypes and their connectivity to pyramidal cell populations (fast-spiking parvalbumin+, somatostatin+, VIP+)</w:t>
      </w:r>
    </w:p>
    <w:p>
      <w:pPr>
        <w:pStyle w:val="ListParagraph"/>
        <w:numPr>
          <w:ilvl w:val="0"/>
          <w:numId w:val="2"/>
        </w:numPr>
        <w:spacing w:after="100" w:line="360"/>
      </w:pPr>
      <w:r>
        <w:rPr>
          <w:rFonts w:ascii="Arial" w:cs="Arial" w:eastAsia="Arial" w:hAnsi="Arial"/>
          <w:sz w:val="24"/>
          <w:szCs w:val="24"/>
        </w:rPr>
        <w:t xml:space="preserve">Acetylcholinesterase (AChE) expression and activity levels in dementia models</w:t>
      </w:r>
    </w:p>
    <w:p>
      <w:pPr>
        <w:pStyle w:val="ListParagraph"/>
        <w:numPr>
          <w:ilvl w:val="0"/>
          <w:numId w:val="2"/>
        </w:numPr>
        <w:spacing w:after="100" w:line="360"/>
      </w:pPr>
      <w:r>
        <w:rPr>
          <w:rFonts w:ascii="Arial" w:cs="Arial" w:eastAsia="Arial" w:hAnsi="Arial"/>
          <w:sz w:val="24"/>
          <w:szCs w:val="24"/>
        </w:rPr>
        <w:t xml:space="preserve">Cholinergic projections from basal forebrain and their synaptic strength in hippocampus/cortex</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Optogenetic stimulation of cholinergic (ChAT-Cre) and GABAergic (PV-Cre, SOM-Cre) neuron populations</w:t>
      </w:r>
    </w:p>
    <w:p>
      <w:pPr>
        <w:pStyle w:val="ListParagraph"/>
        <w:numPr>
          <w:ilvl w:val="0"/>
          <w:numId w:val="2"/>
        </w:numPr>
        <w:spacing w:after="100" w:line="360"/>
      </w:pPr>
      <w:r>
        <w:rPr>
          <w:rFonts w:ascii="Arial" w:cs="Arial" w:eastAsia="Arial" w:hAnsi="Arial"/>
          <w:sz w:val="24"/>
          <w:szCs w:val="24"/>
        </w:rPr>
        <w:t xml:space="preserve">Two-photon imaging of ACh-sensor fluorescence during network activity</w:t>
      </w:r>
    </w:p>
    <w:p>
      <w:pPr>
        <w:pStyle w:val="ListParagraph"/>
        <w:numPr>
          <w:ilvl w:val="0"/>
          <w:numId w:val="2"/>
        </w:numPr>
        <w:spacing w:after="100" w:line="360"/>
      </w:pPr>
      <w:r>
        <w:rPr>
          <w:rFonts w:ascii="Arial" w:cs="Arial" w:eastAsia="Arial" w:hAnsi="Arial"/>
          <w:sz w:val="24"/>
          <w:szCs w:val="24"/>
        </w:rPr>
        <w:t xml:space="preserve">Whole-cell patch-clamp for isolation of NMDA vs. AMPA currents and GABA receptor-mediated synaptic transmission</w:t>
      </w:r>
    </w:p>
    <w:p>
      <w:pPr>
        <w:pStyle w:val="ListParagraph"/>
        <w:numPr>
          <w:ilvl w:val="0"/>
          <w:numId w:val="2"/>
        </w:numPr>
        <w:spacing w:after="100" w:line="360"/>
      </w:pPr>
      <w:r>
        <w:rPr>
          <w:rFonts w:ascii="Arial" w:cs="Arial" w:eastAsia="Arial" w:hAnsi="Arial"/>
          <w:sz w:val="24"/>
          <w:szCs w:val="24"/>
        </w:rPr>
        <w:t xml:space="preserve">Voltage clamp/current clamp for interneuron intrinsic property analysis and burst generation capacity</w:t>
      </w:r>
    </w:p>
    <w:p>
      <w:pPr>
        <w:pStyle w:val="ListParagraph"/>
        <w:numPr>
          <w:ilvl w:val="0"/>
          <w:numId w:val="2"/>
        </w:numPr>
        <w:spacing w:after="100" w:line="360"/>
      </w:pPr>
      <w:r>
        <w:rPr>
          <w:rFonts w:ascii="Arial" w:cs="Arial" w:eastAsia="Arial" w:hAnsi="Arial"/>
          <w:sz w:val="24"/>
          <w:szCs w:val="24"/>
        </w:rPr>
        <w:t xml:space="preserve">Acetylcholinesterase activity assay with high-throughput imaging quantification</w:t>
      </w:r>
    </w:p>
    <w:p>
      <w:pPr>
        <w:pStyle w:val="ListParagraph"/>
        <w:numPr>
          <w:ilvl w:val="0"/>
          <w:numId w:val="2"/>
        </w:numPr>
        <w:spacing w:after="100" w:line="360"/>
      </w:pPr>
      <w:r>
        <w:rPr>
          <w:rFonts w:ascii="Arial" w:cs="Arial" w:eastAsia="Arial" w:hAnsi="Arial"/>
          <w:sz w:val="24"/>
          <w:szCs w:val="24"/>
        </w:rPr>
        <w:t xml:space="preserve">Circuit connectivity mapping via rabies virus tracing and connectomics-informed network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cholinergic denervation alter theta oscillation frequency and amplitude in hippocampal networks?</w:t>
      </w:r>
    </w:p>
    <w:p>
      <w:pPr>
        <w:pStyle w:val="ListParagraph"/>
        <w:numPr>
          <w:ilvl w:val="0"/>
          <w:numId w:val="2"/>
        </w:numPr>
        <w:spacing w:after="100" w:line="360"/>
      </w:pPr>
      <w:r>
        <w:rPr>
          <w:rFonts w:ascii="Arial" w:cs="Arial" w:eastAsia="Arial" w:hAnsi="Arial"/>
          <w:sz w:val="24"/>
          <w:szCs w:val="24"/>
        </w:rPr>
        <w:t xml:space="preserve">What is the relationship between basal forebrain cholinergic neuron loss and interneuron firing irregularity?</w:t>
      </w:r>
    </w:p>
    <w:p>
      <w:pPr>
        <w:pStyle w:val="ListParagraph"/>
        <w:numPr>
          <w:ilvl w:val="0"/>
          <w:numId w:val="2"/>
        </w:numPr>
        <w:spacing w:after="100" w:line="360"/>
      </w:pPr>
      <w:r>
        <w:rPr>
          <w:rFonts w:ascii="Arial" w:cs="Arial" w:eastAsia="Arial" w:hAnsi="Arial"/>
          <w:sz w:val="24"/>
          <w:szCs w:val="24"/>
        </w:rPr>
        <w:t xml:space="preserve">Which interneuron subtypes show greatest dysfunction in amyloid/tau-rich cortical regions?</w:t>
      </w:r>
    </w:p>
    <w:p>
      <w:pPr>
        <w:pStyle w:val="ListParagraph"/>
        <w:numPr>
          <w:ilvl w:val="0"/>
          <w:numId w:val="2"/>
        </w:numPr>
        <w:spacing w:after="100" w:line="360"/>
      </w:pPr>
      <w:r>
        <w:rPr>
          <w:rFonts w:ascii="Arial" w:cs="Arial" w:eastAsia="Arial" w:hAnsi="Arial"/>
          <w:sz w:val="24"/>
          <w:szCs w:val="24"/>
        </w:rPr>
        <w:t xml:space="preserve">Do NMDA/AMPA ratios predict network desynchronization severity and responsiveness to drug therapy?</w:t>
      </w:r>
    </w:p>
    <w:p>
      <w:pPr>
        <w:pStyle w:val="ListParagraph"/>
        <w:numPr>
          <w:ilvl w:val="0"/>
          <w:numId w:val="2"/>
        </w:numPr>
        <w:spacing w:after="100" w:line="360"/>
      </w:pPr>
      <w:r>
        <w:rPr>
          <w:rFonts w:ascii="Arial" w:cs="Arial" w:eastAsia="Arial" w:hAnsi="Arial"/>
          <w:sz w:val="24"/>
          <w:szCs w:val="24"/>
        </w:rPr>
        <w:t xml:space="preserve">How does acetylcholinesterase upregulation contribute to persistent cholinergic circuit dysfunction?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Cholinergic circuit dysfunction profile (ACh levels, basal forebrain neuron loss, projection strength loss)</w:t>
      </w:r>
    </w:p>
    <w:p>
      <w:pPr>
        <w:pStyle w:val="ListParagraph"/>
        <w:numPr>
          <w:ilvl w:val="0"/>
          <w:numId w:val="2"/>
        </w:numPr>
        <w:spacing w:after="100" w:line="360"/>
      </w:pPr>
      <w:r>
        <w:rPr>
          <w:rFonts w:ascii="Arial" w:cs="Arial" w:eastAsia="Arial" w:hAnsi="Arial"/>
          <w:sz w:val="24"/>
          <w:szCs w:val="24"/>
        </w:rPr>
        <w:t xml:space="preserve">Glutamatergic imbalance metrics (NMDA/AMPA ratio degradation, excitotoxic vs. physiological NMDA signaling)</w:t>
      </w:r>
    </w:p>
    <w:p>
      <w:pPr>
        <w:pStyle w:val="ListParagraph"/>
        <w:numPr>
          <w:ilvl w:val="0"/>
          <w:numId w:val="2"/>
        </w:numPr>
        <w:spacing w:after="100" w:line="360"/>
      </w:pPr>
      <w:r>
        <w:rPr>
          <w:rFonts w:ascii="Arial" w:cs="Arial" w:eastAsia="Arial" w:hAnsi="Arial"/>
          <w:sz w:val="24"/>
          <w:szCs w:val="24"/>
        </w:rPr>
        <w:t xml:space="preserve">GABAergic interneuron circuit analysis (PV+, SOM+, VIP+ neuron firing rates, connectivity strengths, burst capability)</w:t>
      </w:r>
    </w:p>
    <w:p>
      <w:pPr>
        <w:pStyle w:val="ListParagraph"/>
        <w:numPr>
          <w:ilvl w:val="0"/>
          <w:numId w:val="2"/>
        </w:numPr>
        <w:spacing w:after="100" w:line="360"/>
      </w:pPr>
      <w:r>
        <w:rPr>
          <w:rFonts w:ascii="Arial" w:cs="Arial" w:eastAsia="Arial" w:hAnsi="Arial"/>
          <w:sz w:val="24"/>
          <w:szCs w:val="24"/>
        </w:rPr>
        <w:t xml:space="preserve">Acetylcholinesterase expression and activity upregulation table (fold-change in dementia models)</w:t>
      </w:r>
    </w:p>
    <w:p>
      <w:pPr>
        <w:pStyle w:val="ListParagraph"/>
        <w:numPr>
          <w:ilvl w:val="0"/>
          <w:numId w:val="2"/>
        </w:numPr>
        <w:spacing w:after="100" w:line="360"/>
      </w:pPr>
      <w:r>
        <w:rPr>
          <w:rFonts w:ascii="Arial" w:cs="Arial" w:eastAsia="Arial" w:hAnsi="Arial"/>
          <w:sz w:val="24"/>
          <w:szCs w:val="24"/>
        </w:rPr>
        <w:t xml:space="preserve">Disease-specific circuit vulnerability map (which circuits most disrupted in AD vs. Lewy body vs. FTD)</w:t>
      </w:r>
    </w:p>
    <w:p>
      <w:pPr>
        <w:pStyle w:val="ListParagraph"/>
        <w:numPr>
          <w:ilvl w:val="0"/>
          <w:numId w:val="2"/>
        </w:numPr>
        <w:spacing w:after="100" w:line="360"/>
      </w:pPr>
      <w:r>
        <w:rPr>
          <w:rFonts w:ascii="Arial" w:cs="Arial" w:eastAsia="Arial" w:hAnsi="Arial"/>
          <w:sz w:val="24"/>
          <w:szCs w:val="24"/>
        </w:rPr>
        <w:t xml:space="preserve">Circuit-level biomarkers ranked by predictive power for network desynchronization severity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Circuit dysfunction database with cholinergic signaling levels, glutamate receptor subunit ratios, interneuron firing patterns, and AChE activity metrics</w:t>
      </w:r>
    </w:p>
    <w:p>
      <w:pPr>
        <w:pStyle w:val="Heading2"/>
      </w:pPr>
      <w:r>
        <w:rPr>
          <w:rFonts w:ascii="Arial" w:cs="Arial" w:eastAsia="Arial" w:hAnsi="Arial"/>
          <w:b/>
          <w:bCs/>
          <w:sz w:val="28"/>
          <w:szCs w:val="28"/>
        </w:rPr>
        <w:t xml:space="preserve">Stage 3: Network Synchronization-Restoring Compound Discovery &amp;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the Quiver compound library (~3,500 perturbations) to identify drugs that restore theta-gamma coupling, stabilize gamma oscillation frequency, enhance GABAergic interneuron function, and augment cholinergic signaling in dementia-relevant circuits.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library pre-screened for effects on network oscillations (MEA recordings in hippocampal/cortical slice preparations)</w:t>
      </w:r>
    </w:p>
    <w:p>
      <w:pPr>
        <w:pStyle w:val="ListParagraph"/>
        <w:numPr>
          <w:ilvl w:val="0"/>
          <w:numId w:val="2"/>
        </w:numPr>
        <w:spacing w:after="100" w:line="360"/>
      </w:pPr>
      <w:r>
        <w:rPr>
          <w:rFonts w:ascii="Arial" w:cs="Arial" w:eastAsia="Arial" w:hAnsi="Arial"/>
          <w:sz w:val="24"/>
          <w:szCs w:val="24"/>
        </w:rPr>
        <w:t xml:space="preserve">Cholinergic circuit enhancers (acetylcholinesterase inhibitors, M1/M4 muscarinic receptor modulators, nicotinic agonists)</w:t>
      </w:r>
    </w:p>
    <w:p>
      <w:pPr>
        <w:pStyle w:val="ListParagraph"/>
        <w:numPr>
          <w:ilvl w:val="0"/>
          <w:numId w:val="2"/>
        </w:numPr>
        <w:spacing w:after="100" w:line="360"/>
      </w:pPr>
      <w:r>
        <w:rPr>
          <w:rFonts w:ascii="Arial" w:cs="Arial" w:eastAsia="Arial" w:hAnsi="Arial"/>
          <w:sz w:val="24"/>
          <w:szCs w:val="24"/>
        </w:rPr>
        <w:t xml:space="preserve">GABAergic circuit stabilizers (GABA-A receptor allosteric modulators, interneuron activation compounds)</w:t>
      </w:r>
    </w:p>
    <w:p>
      <w:pPr>
        <w:pStyle w:val="ListParagraph"/>
        <w:numPr>
          <w:ilvl w:val="0"/>
          <w:numId w:val="2"/>
        </w:numPr>
        <w:spacing w:after="100" w:line="360"/>
      </w:pPr>
      <w:r>
        <w:rPr>
          <w:rFonts w:ascii="Arial" w:cs="Arial" w:eastAsia="Arial" w:hAnsi="Arial"/>
          <w:sz w:val="24"/>
          <w:szCs w:val="24"/>
        </w:rPr>
        <w:t xml:space="preserve">Glutamate receptor modulators (NMDA co-agonists, AMPA potentiators, metabotropic glutamate receptor agonists)</w:t>
      </w:r>
    </w:p>
    <w:p>
      <w:pPr>
        <w:pStyle w:val="ListParagraph"/>
        <w:numPr>
          <w:ilvl w:val="0"/>
          <w:numId w:val="2"/>
        </w:numPr>
        <w:spacing w:after="100" w:line="360"/>
      </w:pPr>
      <w:r>
        <w:rPr>
          <w:rFonts w:ascii="Arial" w:cs="Arial" w:eastAsia="Arial" w:hAnsi="Arial"/>
          <w:sz w:val="24"/>
          <w:szCs w:val="24"/>
        </w:rPr>
        <w:t xml:space="preserve">Ion channel modulators targeting potassium channels (A-type, SK, voltage-gated) that regulate interneuron excitability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platform for rapid compound screening of network oscillation restoration (theta power, gamma frequency stability, coherence improvement)</w:t>
      </w:r>
    </w:p>
    <w:p>
      <w:pPr>
        <w:pStyle w:val="ListParagraph"/>
        <w:numPr>
          <w:ilvl w:val="0"/>
          <w:numId w:val="2"/>
        </w:numPr>
        <w:spacing w:after="100" w:line="360"/>
      </w:pPr>
      <w:r>
        <w:rPr>
          <w:rFonts w:ascii="Arial" w:cs="Arial" w:eastAsia="Arial" w:hAnsi="Arial"/>
          <w:sz w:val="24"/>
          <w:szCs w:val="24"/>
        </w:rPr>
        <w:t xml:space="preserve">Automated spike detection and spectral analysis for high-throughput compound ranking</w:t>
      </w:r>
    </w:p>
    <w:p>
      <w:pPr>
        <w:pStyle w:val="ListParagraph"/>
        <w:numPr>
          <w:ilvl w:val="0"/>
          <w:numId w:val="2"/>
        </w:numPr>
        <w:spacing w:after="100" w:line="360"/>
      </w:pPr>
      <w:r>
        <w:rPr>
          <w:rFonts w:ascii="Arial" w:cs="Arial" w:eastAsia="Arial" w:hAnsi="Arial"/>
          <w:sz w:val="24"/>
          <w:szCs w:val="24"/>
        </w:rPr>
        <w:t xml:space="preserve">Cholinergic circuit enhancement assays (ACh-sensor fluorescence, ACh-dependent network effects)</w:t>
      </w:r>
    </w:p>
    <w:p>
      <w:pPr>
        <w:pStyle w:val="ListParagraph"/>
        <w:numPr>
          <w:ilvl w:val="0"/>
          <w:numId w:val="2"/>
        </w:numPr>
        <w:spacing w:after="100" w:line="360"/>
      </w:pPr>
      <w:r>
        <w:rPr>
          <w:rFonts w:ascii="Arial" w:cs="Arial" w:eastAsia="Arial" w:hAnsi="Arial"/>
          <w:sz w:val="24"/>
          <w:szCs w:val="24"/>
        </w:rPr>
        <w:t xml:space="preserve">Patch-clamp recordings for circuit interaction validation (muscarinic effects on pyramidal/interneuron firing, GABA transmission)</w:t>
      </w:r>
    </w:p>
    <w:p>
      <w:pPr>
        <w:pStyle w:val="ListParagraph"/>
        <w:numPr>
          <w:ilvl w:val="0"/>
          <w:numId w:val="2"/>
        </w:numPr>
        <w:spacing w:after="100" w:line="360"/>
      </w:pPr>
      <w:r>
        <w:rPr>
          <w:rFonts w:ascii="Arial" w:cs="Arial" w:eastAsia="Arial" w:hAnsi="Arial"/>
          <w:sz w:val="24"/>
          <w:szCs w:val="24"/>
        </w:rPr>
        <w:t xml:space="preserve">Machine learning synergy prediction engine (combining cholinergic enhancement + glutamate normalization + GABAergic stabilization)</w:t>
      </w:r>
    </w:p>
    <w:p>
      <w:pPr>
        <w:pStyle w:val="ListParagraph"/>
        <w:numPr>
          <w:ilvl w:val="0"/>
          <w:numId w:val="2"/>
        </w:numPr>
        <w:spacing w:after="100" w:line="360"/>
      </w:pPr>
      <w:r>
        <w:rPr>
          <w:rFonts w:ascii="Arial" w:cs="Arial" w:eastAsia="Arial" w:hAnsi="Arial"/>
          <w:sz w:val="24"/>
          <w:szCs w:val="24"/>
        </w:rPr>
        <w:t xml:space="preserve">Network medicine approach identifying optimal circuit-specific compound targeting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acetylcholinesterase inhibitors most robustly restore theta oscillation power and hippocampal-cortical coherence?</w:t>
      </w:r>
    </w:p>
    <w:p>
      <w:pPr>
        <w:pStyle w:val="ListParagraph"/>
        <w:numPr>
          <w:ilvl w:val="0"/>
          <w:numId w:val="2"/>
        </w:numPr>
        <w:spacing w:after="100" w:line="360"/>
      </w:pPr>
      <w:r>
        <w:rPr>
          <w:rFonts w:ascii="Arial" w:cs="Arial" w:eastAsia="Arial" w:hAnsi="Arial"/>
          <w:sz w:val="24"/>
          <w:szCs w:val="24"/>
        </w:rPr>
        <w:t xml:space="preserve">Do M1 muscarinic agonists synergize with GABAergic circuit stabilizers to restore network synchronization?</w:t>
      </w:r>
    </w:p>
    <w:p>
      <w:pPr>
        <w:pStyle w:val="ListParagraph"/>
        <w:numPr>
          <w:ilvl w:val="0"/>
          <w:numId w:val="2"/>
        </w:numPr>
        <w:spacing w:after="100" w:line="360"/>
      </w:pPr>
      <w:r>
        <w:rPr>
          <w:rFonts w:ascii="Arial" w:cs="Arial" w:eastAsia="Arial" w:hAnsi="Arial"/>
          <w:sz w:val="24"/>
          <w:szCs w:val="24"/>
        </w:rPr>
        <w:t xml:space="preserve">Which NMDA co-agonists improve glutamatergic tone without excitotoxic side effects?</w:t>
      </w:r>
    </w:p>
    <w:p>
      <w:pPr>
        <w:pStyle w:val="ListParagraph"/>
        <w:numPr>
          <w:ilvl w:val="0"/>
          <w:numId w:val="2"/>
        </w:numPr>
        <w:spacing w:after="100" w:line="360"/>
      </w:pPr>
      <w:r>
        <w:rPr>
          <w:rFonts w:ascii="Arial" w:cs="Arial" w:eastAsia="Arial" w:hAnsi="Arial"/>
          <w:sz w:val="24"/>
          <w:szCs w:val="24"/>
        </w:rPr>
        <w:t xml:space="preserve">Do interneuron-specific potassium channel blockers enhance GABAergic control of network oscillations?</w:t>
      </w:r>
    </w:p>
    <w:p>
      <w:pPr>
        <w:pStyle w:val="ListParagraph"/>
        <w:numPr>
          <w:ilvl w:val="0"/>
          <w:numId w:val="2"/>
        </w:numPr>
        <w:spacing w:after="100" w:line="360"/>
      </w:pPr>
      <w:r>
        <w:rPr>
          <w:rFonts w:ascii="Arial" w:cs="Arial" w:eastAsia="Arial" w:hAnsi="Arial"/>
          <w:sz w:val="24"/>
          <w:szCs w:val="24"/>
        </w:rPr>
        <w:t xml:space="preserve">Which 5-10 compound combinations most powerfully restore theta-gamma coupling in desynchronized networks?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Network synchronization rescue compound ranking table (50+ compounds rated by theta power restoration, gamma frequency stability, coherence improvement)</w:t>
      </w:r>
    </w:p>
    <w:p>
      <w:pPr>
        <w:pStyle w:val="ListParagraph"/>
        <w:numPr>
          <w:ilvl w:val="0"/>
          <w:numId w:val="2"/>
        </w:numPr>
        <w:spacing w:after="100" w:line="360"/>
      </w:pPr>
      <w:r>
        <w:rPr>
          <w:rFonts w:ascii="Arial" w:cs="Arial" w:eastAsia="Arial" w:hAnsi="Arial"/>
          <w:sz w:val="24"/>
          <w:szCs w:val="24"/>
        </w:rPr>
        <w:t xml:space="preserve">Acetylcholinesterase inhibitor efficacy ranking (IC50, fold-improvement in network coherence, selectivity)</w:t>
      </w:r>
    </w:p>
    <w:p>
      <w:pPr>
        <w:pStyle w:val="ListParagraph"/>
        <w:numPr>
          <w:ilvl w:val="0"/>
          <w:numId w:val="2"/>
        </w:numPr>
        <w:spacing w:after="100" w:line="360"/>
      </w:pPr>
      <w:r>
        <w:rPr>
          <w:rFonts w:ascii="Arial" w:cs="Arial" w:eastAsia="Arial" w:hAnsi="Arial"/>
          <w:sz w:val="24"/>
          <w:szCs w:val="24"/>
        </w:rPr>
        <w:t xml:space="preserve">Muscarinic/nicotinic agonist and antagonist effects on network oscillations and interneuron firing</w:t>
      </w:r>
    </w:p>
    <w:p>
      <w:pPr>
        <w:pStyle w:val="ListParagraph"/>
        <w:numPr>
          <w:ilvl w:val="0"/>
          <w:numId w:val="2"/>
        </w:numPr>
        <w:spacing w:after="100" w:line="360"/>
      </w:pPr>
      <w:r>
        <w:rPr>
          <w:rFonts w:ascii="Arial" w:cs="Arial" w:eastAsia="Arial" w:hAnsi="Arial"/>
          <w:sz w:val="24"/>
          <w:szCs w:val="24"/>
        </w:rPr>
        <w:t xml:space="preserve">GABAergic circuit stabilizer efficacy (interneuron firing regularity improvement, feedback inhibition strength restoration)</w:t>
      </w:r>
    </w:p>
    <w:p>
      <w:pPr>
        <w:pStyle w:val="ListParagraph"/>
        <w:numPr>
          <w:ilvl w:val="0"/>
          <w:numId w:val="2"/>
        </w:numPr>
        <w:spacing w:after="100" w:line="360"/>
      </w:pPr>
      <w:r>
        <w:rPr>
          <w:rFonts w:ascii="Arial" w:cs="Arial" w:eastAsia="Arial" w:hAnsi="Arial"/>
          <w:sz w:val="24"/>
          <w:szCs w:val="24"/>
        </w:rPr>
        <w:t xml:space="preserve">Glutamatergic modulator effects on NMDA/AMPA balance and excitotoxicity risk assessment</w:t>
      </w:r>
    </w:p>
    <w:p>
      <w:pPr>
        <w:pStyle w:val="ListParagraph"/>
        <w:numPr>
          <w:ilvl w:val="0"/>
          <w:numId w:val="2"/>
        </w:numPr>
        <w:spacing w:after="100" w:line="360"/>
      </w:pPr>
      <w:r>
        <w:rPr>
          <w:rFonts w:ascii="Arial" w:cs="Arial" w:eastAsia="Arial" w:hAnsi="Arial"/>
          <w:sz w:val="24"/>
          <w:szCs w:val="24"/>
        </w:rPr>
        <w:t xml:space="preserve">Top 15-20 compounds and combinations ranked for comprehensive network synchronization restoration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Compound-centric network rescue database with oscillation restoration metrics, circuit-specific efficacy scores, and synergy predictions</w:t>
      </w:r>
    </w:p>
    <w:p>
      <w:pPr>
        <w:pStyle w:val="Heading2"/>
      </w:pPr>
      <w:r>
        <w:rPr>
          <w:rFonts w:ascii="Arial" w:cs="Arial" w:eastAsia="Arial" w:hAnsi="Arial"/>
          <w:b/>
          <w:bCs/>
          <w:sz w:val="28"/>
          <w:szCs w:val="28"/>
        </w:rPr>
        <w:t xml:space="preserve">Stage 4: Disease-Stratified Network Recovery &amp; Theta-Gamma Coupling Restoration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top network synchronization-restoring compounds across Alzheimer's, Lewy body, and FTD disease models to identify universal restorers and disease-specific circuit repair strategies, prioritizing theta-gamma coupling restoration in hippocampal-cortical circuits.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30-40 network synchronization-restoring compounds from Stage 3</w:t>
      </w:r>
    </w:p>
    <w:p>
      <w:pPr>
        <w:pStyle w:val="ListParagraph"/>
        <w:numPr>
          <w:ilvl w:val="0"/>
          <w:numId w:val="2"/>
        </w:numPr>
        <w:spacing w:after="100" w:line="360"/>
      </w:pPr>
      <w:r>
        <w:rPr>
          <w:rFonts w:ascii="Arial" w:cs="Arial" w:eastAsia="Arial" w:hAnsi="Arial"/>
          <w:sz w:val="24"/>
          <w:szCs w:val="24"/>
        </w:rPr>
        <w:t xml:space="preserve">APP/PS1 and 3xTg Alzheimer's models with characterized amyloid-driven circuit dysfunction</w:t>
      </w:r>
    </w:p>
    <w:p>
      <w:pPr>
        <w:pStyle w:val="ListParagraph"/>
        <w:numPr>
          <w:ilvl w:val="0"/>
          <w:numId w:val="2"/>
        </w:numPr>
        <w:spacing w:after="100" w:line="360"/>
      </w:pPr>
      <w:r>
        <w:rPr>
          <w:rFonts w:ascii="Arial" w:cs="Arial" w:eastAsia="Arial" w:hAnsi="Arial"/>
          <w:sz w:val="24"/>
          <w:szCs w:val="24"/>
        </w:rPr>
        <w:t xml:space="preserve">Alpha-synuclein transgenic Lewy body models with characterized DA denervation and cholinergic dysfunction</w:t>
      </w:r>
    </w:p>
    <w:p>
      <w:pPr>
        <w:pStyle w:val="ListParagraph"/>
        <w:numPr>
          <w:ilvl w:val="0"/>
          <w:numId w:val="2"/>
        </w:numPr>
        <w:spacing w:after="100" w:line="360"/>
      </w:pPr>
      <w:r>
        <w:rPr>
          <w:rFonts w:ascii="Arial" w:cs="Arial" w:eastAsia="Arial" w:hAnsi="Arial"/>
          <w:sz w:val="24"/>
          <w:szCs w:val="24"/>
        </w:rPr>
        <w:t xml:space="preserve">MAPT-P301L and GRN-KO FTD models with characterized tau-driven network changes</w:t>
      </w:r>
    </w:p>
    <w:p>
      <w:pPr>
        <w:pStyle w:val="ListParagraph"/>
        <w:numPr>
          <w:ilvl w:val="0"/>
          <w:numId w:val="2"/>
        </w:numPr>
        <w:spacing w:after="100" w:line="360"/>
      </w:pPr>
      <w:r>
        <w:rPr>
          <w:rFonts w:ascii="Arial" w:cs="Arial" w:eastAsia="Arial" w:hAnsi="Arial"/>
          <w:sz w:val="24"/>
          <w:szCs w:val="24"/>
        </w:rPr>
        <w:t xml:space="preserve">MEA recordings and calcium imaging from each disease model with and without compound treatment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Disease model bank with pre-characterized network desynchronization baseline for each context</w:t>
      </w:r>
    </w:p>
    <w:p>
      <w:pPr>
        <w:pStyle w:val="ListParagraph"/>
        <w:numPr>
          <w:ilvl w:val="0"/>
          <w:numId w:val="2"/>
        </w:numPr>
        <w:spacing w:after="100" w:line="360"/>
      </w:pPr>
      <w:r>
        <w:rPr>
          <w:rFonts w:ascii="Arial" w:cs="Arial" w:eastAsia="Arial" w:hAnsi="Arial"/>
          <w:sz w:val="24"/>
          <w:szCs w:val="24"/>
        </w:rPr>
        <w:t xml:space="preserve">Multi-disease phenotyping platform integrating MEA, calcium imaging, and patch-clamp recording</w:t>
      </w:r>
    </w:p>
    <w:p>
      <w:pPr>
        <w:pStyle w:val="ListParagraph"/>
        <w:numPr>
          <w:ilvl w:val="0"/>
          <w:numId w:val="2"/>
        </w:numPr>
        <w:spacing w:after="100" w:line="360"/>
      </w:pPr>
      <w:r>
        <w:rPr>
          <w:rFonts w:ascii="Arial" w:cs="Arial" w:eastAsia="Arial" w:hAnsi="Arial"/>
          <w:sz w:val="24"/>
          <w:szCs w:val="24"/>
        </w:rPr>
        <w:t xml:space="preserve">Theta-gamma coupling quantification engine (phase locking values, modulation index across diseases)</w:t>
      </w:r>
    </w:p>
    <w:p>
      <w:pPr>
        <w:pStyle w:val="ListParagraph"/>
        <w:numPr>
          <w:ilvl w:val="0"/>
          <w:numId w:val="2"/>
        </w:numPr>
        <w:spacing w:after="100" w:line="360"/>
      </w:pPr>
      <w:r>
        <w:rPr>
          <w:rFonts w:ascii="Arial" w:cs="Arial" w:eastAsia="Arial" w:hAnsi="Arial"/>
          <w:sz w:val="24"/>
          <w:szCs w:val="24"/>
        </w:rPr>
        <w:t xml:space="preserve">Disease-specificity classifier (likelihood of efficacy in AD/Lewy body/FTD)</w:t>
      </w:r>
    </w:p>
    <w:p>
      <w:pPr>
        <w:pStyle w:val="ListParagraph"/>
        <w:numPr>
          <w:ilvl w:val="0"/>
          <w:numId w:val="2"/>
        </w:numPr>
        <w:spacing w:after="100" w:line="360"/>
      </w:pPr>
      <w:r>
        <w:rPr>
          <w:rFonts w:ascii="Arial" w:cs="Arial" w:eastAsia="Arial" w:hAnsi="Arial"/>
          <w:sz w:val="24"/>
          <w:szCs w:val="24"/>
        </w:rPr>
        <w:t xml:space="preserve">Machine learning meta-analysis combining efficacy across disease models and identifying universal vs. disease-specific restorers</w:t>
      </w:r>
    </w:p>
    <w:p>
      <w:pPr>
        <w:pStyle w:val="ListParagraph"/>
        <w:numPr>
          <w:ilvl w:val="0"/>
          <w:numId w:val="2"/>
        </w:numPr>
        <w:spacing w:after="100" w:line="360"/>
      </w:pPr>
      <w:r>
        <w:rPr>
          <w:rFonts w:ascii="Arial" w:cs="Arial" w:eastAsia="Arial" w:hAnsi="Arial"/>
          <w:sz w:val="24"/>
          <w:szCs w:val="24"/>
        </w:rPr>
        <w:t xml:space="preserve">Biomarker-circuit correlation engine linking plasma biomarkers (p-tau, phospho-synuclein) to network recovery trajectories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acetylcholinesterase inhibitors show similar efficacy in amyloid-driven (AD) vs. synuclein-driven (Lewy body) network desynchronization?</w:t>
      </w:r>
    </w:p>
    <w:p>
      <w:pPr>
        <w:pStyle w:val="ListParagraph"/>
        <w:numPr>
          <w:ilvl w:val="0"/>
          <w:numId w:val="2"/>
        </w:numPr>
        <w:spacing w:after="100" w:line="360"/>
      </w:pPr>
      <w:r>
        <w:rPr>
          <w:rFonts w:ascii="Arial" w:cs="Arial" w:eastAsia="Arial" w:hAnsi="Arial"/>
          <w:sz w:val="24"/>
          <w:szCs w:val="24"/>
        </w:rPr>
        <w:t xml:space="preserve">Which compounds best restore tau-disrupted gamma oscillations in FTD-relevant cortical circuits?</w:t>
      </w:r>
    </w:p>
    <w:p>
      <w:pPr>
        <w:pStyle w:val="ListParagraph"/>
        <w:numPr>
          <w:ilvl w:val="0"/>
          <w:numId w:val="2"/>
        </w:numPr>
        <w:spacing w:after="100" w:line="360"/>
      </w:pPr>
      <w:r>
        <w:rPr>
          <w:rFonts w:ascii="Arial" w:cs="Arial" w:eastAsia="Arial" w:hAnsi="Arial"/>
          <w:sz w:val="24"/>
          <w:szCs w:val="24"/>
        </w:rPr>
        <w:t xml:space="preserve">How do cholinergic enhancement strategies differ in effectiveness between hippocampal (AD-vulnerable) and frontal (FTD-vulnerable) circuits?</w:t>
      </w:r>
    </w:p>
    <w:p>
      <w:pPr>
        <w:pStyle w:val="ListParagraph"/>
        <w:numPr>
          <w:ilvl w:val="0"/>
          <w:numId w:val="2"/>
        </w:numPr>
        <w:spacing w:after="100" w:line="360"/>
      </w:pPr>
      <w:r>
        <w:rPr>
          <w:rFonts w:ascii="Arial" w:cs="Arial" w:eastAsia="Arial" w:hAnsi="Arial"/>
          <w:sz w:val="24"/>
          <w:szCs w:val="24"/>
        </w:rPr>
        <w:t xml:space="preserve">Which compound combinations most robustly restore theta-gamma coupling across disease contexts?</w:t>
      </w:r>
    </w:p>
    <w:p>
      <w:pPr>
        <w:pStyle w:val="ListParagraph"/>
        <w:numPr>
          <w:ilvl w:val="0"/>
          <w:numId w:val="2"/>
        </w:numPr>
        <w:spacing w:after="100" w:line="360"/>
      </w:pPr>
      <w:r>
        <w:rPr>
          <w:rFonts w:ascii="Arial" w:cs="Arial" w:eastAsia="Arial" w:hAnsi="Arial"/>
          <w:sz w:val="24"/>
          <w:szCs w:val="24"/>
        </w:rPr>
        <w:t xml:space="preserve">What is the temporal relationship between circuit recovery and disease-specific biomarker changes?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Disease-stratified network recovery matrix comparing compound efficacy in AD/Lewy body/FTD models</w:t>
      </w:r>
    </w:p>
    <w:p>
      <w:pPr>
        <w:pStyle w:val="ListParagraph"/>
        <w:numPr>
          <w:ilvl w:val="0"/>
          <w:numId w:val="2"/>
        </w:numPr>
        <w:spacing w:after="100" w:line="360"/>
      </w:pPr>
      <w:r>
        <w:rPr>
          <w:rFonts w:ascii="Arial" w:cs="Arial" w:eastAsia="Arial" w:hAnsi="Arial"/>
          <w:sz w:val="24"/>
          <w:szCs w:val="24"/>
        </w:rPr>
        <w:t xml:space="preserve">Theta power restoration and gamma frequency stabilization profiles per compound in each disease context</w:t>
      </w:r>
    </w:p>
    <w:p>
      <w:pPr>
        <w:pStyle w:val="ListParagraph"/>
        <w:numPr>
          <w:ilvl w:val="0"/>
          <w:numId w:val="2"/>
        </w:numPr>
        <w:spacing w:after="100" w:line="360"/>
      </w:pPr>
      <w:r>
        <w:rPr>
          <w:rFonts w:ascii="Arial" w:cs="Arial" w:eastAsia="Arial" w:hAnsi="Arial"/>
          <w:sz w:val="24"/>
          <w:szCs w:val="24"/>
        </w:rPr>
        <w:t xml:space="preserve">Theta-gamma coupling recovery metrics (phase locking value increase, modulation index improvement)</w:t>
      </w:r>
    </w:p>
    <w:p>
      <w:pPr>
        <w:pStyle w:val="ListParagraph"/>
        <w:numPr>
          <w:ilvl w:val="0"/>
          <w:numId w:val="2"/>
        </w:numPr>
        <w:spacing w:after="100" w:line="360"/>
      </w:pPr>
      <w:r>
        <w:rPr>
          <w:rFonts w:ascii="Arial" w:cs="Arial" w:eastAsia="Arial" w:hAnsi="Arial"/>
          <w:sz w:val="24"/>
          <w:szCs w:val="24"/>
        </w:rPr>
        <w:t xml:space="preserve">Hippocampal-cortical coherence restoration timelines and durability per compound and disease</w:t>
      </w:r>
    </w:p>
    <w:p>
      <w:pPr>
        <w:pStyle w:val="ListParagraph"/>
        <w:numPr>
          <w:ilvl w:val="0"/>
          <w:numId w:val="2"/>
        </w:numPr>
        <w:spacing w:after="100" w:line="360"/>
      </w:pPr>
      <w:r>
        <w:rPr>
          <w:rFonts w:ascii="Arial" w:cs="Arial" w:eastAsia="Arial" w:hAnsi="Arial"/>
          <w:sz w:val="24"/>
          <w:szCs w:val="24"/>
        </w:rPr>
        <w:t xml:space="preserve">Disease-specific interneuron firing regularity recovery profiles (PV+, SOM+, VIP+ subtype responses)</w:t>
      </w:r>
    </w:p>
    <w:p>
      <w:pPr>
        <w:pStyle w:val="ListParagraph"/>
        <w:numPr>
          <w:ilvl w:val="0"/>
          <w:numId w:val="2"/>
        </w:numPr>
        <w:spacing w:after="100" w:line="360"/>
      </w:pPr>
      <w:r>
        <w:rPr>
          <w:rFonts w:ascii="Arial" w:cs="Arial" w:eastAsia="Arial" w:hAnsi="Arial"/>
          <w:sz w:val="24"/>
          <w:szCs w:val="24"/>
        </w:rPr>
        <w:t xml:space="preserve">Universal network restorers identified and disease-specific efficacy optimized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Multi-disease network recovery table with theta/gamma restoration metrics, disease-specific efficacy rankings, and theta-gamma coupling recovery scores</w:t>
      </w:r>
    </w:p>
    <w:p>
      <w:pPr>
        <w:pStyle w:val="Heading2"/>
      </w:pPr>
      <w:r>
        <w:rPr>
          <w:rFonts w:ascii="Arial" w:cs="Arial" w:eastAsia="Arial" w:hAnsi="Arial"/>
          <w:b/>
          <w:bCs/>
          <w:sz w:val="28"/>
          <w:szCs w:val="28"/>
        </w:rPr>
        <w:t xml:space="preserve">Stage 5: Biomarker-Guided Efficacy Ranking &amp; Long-Term Network Durability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circulating biomarkers, neuroimaging markers, and long-term network recording to refine network synchronization compound rankings, validate sustainable network repair, and establish clinical translation readiness.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5-10 universally-efficacious network synchronization restorers from Stage 4</w:t>
      </w:r>
    </w:p>
    <w:p>
      <w:pPr>
        <w:pStyle w:val="ListParagraph"/>
        <w:numPr>
          <w:ilvl w:val="0"/>
          <w:numId w:val="2"/>
        </w:numPr>
        <w:spacing w:after="100" w:line="360"/>
      </w:pPr>
      <w:r>
        <w:rPr>
          <w:rFonts w:ascii="Arial" w:cs="Arial" w:eastAsia="Arial" w:hAnsi="Arial"/>
          <w:sz w:val="24"/>
          <w:szCs w:val="24"/>
        </w:rPr>
        <w:t xml:space="preserve">Circulating biomarkers (plasma p-tau, phospho-synuclein, neurofilament light chain, tau/amyloid ratios)</w:t>
      </w:r>
    </w:p>
    <w:p>
      <w:pPr>
        <w:pStyle w:val="ListParagraph"/>
        <w:numPr>
          <w:ilvl w:val="0"/>
          <w:numId w:val="2"/>
        </w:numPr>
        <w:spacing w:after="100" w:line="360"/>
      </w:pPr>
      <w:r>
        <w:rPr>
          <w:rFonts w:ascii="Arial" w:cs="Arial" w:eastAsia="Arial" w:hAnsi="Arial"/>
          <w:sz w:val="24"/>
          <w:szCs w:val="24"/>
        </w:rPr>
        <w:t xml:space="preserve">Neuroimaging biomarkers (resting-state fMRI connectivity, MEG/EEG power spectral density, DTI white matter integrity)</w:t>
      </w:r>
    </w:p>
    <w:p>
      <w:pPr>
        <w:pStyle w:val="ListParagraph"/>
        <w:numPr>
          <w:ilvl w:val="0"/>
          <w:numId w:val="2"/>
        </w:numPr>
        <w:spacing w:after="100" w:line="360"/>
      </w:pPr>
      <w:r>
        <w:rPr>
          <w:rFonts w:ascii="Arial" w:cs="Arial" w:eastAsia="Arial" w:hAnsi="Arial"/>
          <w:sz w:val="24"/>
          <w:szCs w:val="24"/>
        </w:rPr>
        <w:t xml:space="preserve">Long-term chronic recording (2-4 weeks) of network oscillations post-compound initiation in disease models</w:t>
      </w:r>
    </w:p>
    <w:p>
      <w:pPr>
        <w:pStyle w:val="ListParagraph"/>
        <w:numPr>
          <w:ilvl w:val="0"/>
          <w:numId w:val="2"/>
        </w:numPr>
        <w:spacing w:after="100" w:line="360"/>
      </w:pPr>
      <w:r>
        <w:rPr>
          <w:rFonts w:ascii="Arial" w:cs="Arial" w:eastAsia="Arial" w:hAnsi="Arial"/>
          <w:sz w:val="24"/>
          <w:szCs w:val="24"/>
        </w:rPr>
        <w:t xml:space="preserve">Cognitive testing correlates (Morris water maze, fear conditioning, novel object recognition)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Biomarker-phenotype correlation engine linking network recovery to circulating and imaging markers</w:t>
      </w:r>
    </w:p>
    <w:p>
      <w:pPr>
        <w:pStyle w:val="ListParagraph"/>
        <w:numPr>
          <w:ilvl w:val="0"/>
          <w:numId w:val="2"/>
        </w:numPr>
        <w:spacing w:after="100" w:line="360"/>
      </w:pPr>
      <w:r>
        <w:rPr>
          <w:rFonts w:ascii="Arial" w:cs="Arial" w:eastAsia="Arial" w:hAnsi="Arial"/>
          <w:sz w:val="24"/>
          <w:szCs w:val="24"/>
        </w:rPr>
        <w:t xml:space="preserve">Resting-state fMRI analysis for network connectivity graph metrics (degree distribution, clustering coefficient)</w:t>
      </w:r>
    </w:p>
    <w:p>
      <w:pPr>
        <w:pStyle w:val="ListParagraph"/>
        <w:numPr>
          <w:ilvl w:val="0"/>
          <w:numId w:val="2"/>
        </w:numPr>
        <w:spacing w:after="100" w:line="360"/>
      </w:pPr>
      <w:r>
        <w:rPr>
          <w:rFonts w:ascii="Arial" w:cs="Arial" w:eastAsia="Arial" w:hAnsi="Arial"/>
          <w:sz w:val="24"/>
          <w:szCs w:val="24"/>
        </w:rPr>
        <w:t xml:space="preserve">MEG/EEG source localization and coherence analysis for translational endpoint validation</w:t>
      </w:r>
    </w:p>
    <w:p>
      <w:pPr>
        <w:pStyle w:val="ListParagraph"/>
        <w:numPr>
          <w:ilvl w:val="0"/>
          <w:numId w:val="2"/>
        </w:numPr>
        <w:spacing w:after="100" w:line="360"/>
      </w:pPr>
      <w:r>
        <w:rPr>
          <w:rFonts w:ascii="Arial" w:cs="Arial" w:eastAsia="Arial" w:hAnsi="Arial"/>
          <w:sz w:val="24"/>
          <w:szCs w:val="24"/>
        </w:rPr>
        <w:t xml:space="preserve">Chronic network recording with automated artifact removal and long-term stability assessment</w:t>
      </w:r>
    </w:p>
    <w:p>
      <w:pPr>
        <w:pStyle w:val="ListParagraph"/>
        <w:numPr>
          <w:ilvl w:val="0"/>
          <w:numId w:val="2"/>
        </w:numPr>
        <w:spacing w:after="100" w:line="360"/>
      </w:pPr>
      <w:r>
        <w:rPr>
          <w:rFonts w:ascii="Arial" w:cs="Arial" w:eastAsia="Arial" w:hAnsi="Arial"/>
          <w:sz w:val="24"/>
          <w:szCs w:val="24"/>
        </w:rPr>
        <w:t xml:space="preserve">Machine learning cognitive outcome predictor (network metrics to cognitive test scores)</w:t>
      </w:r>
    </w:p>
    <w:p>
      <w:pPr>
        <w:pStyle w:val="ListParagraph"/>
        <w:numPr>
          <w:ilvl w:val="0"/>
          <w:numId w:val="2"/>
        </w:numPr>
        <w:spacing w:after="100" w:line="360"/>
      </w:pPr>
      <w:r>
        <w:rPr>
          <w:rFonts w:ascii="Arial" w:cs="Arial" w:eastAsia="Arial" w:hAnsi="Arial"/>
          <w:sz w:val="24"/>
          <w:szCs w:val="24"/>
        </w:rPr>
        <w:t xml:space="preserve">Clinical translation readiness assessment (biomarker specificity, effect size translation to human trials)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improvements in plasma p-tau or phospho-synuclein predict network theta-gamma coupling recovery?</w:t>
      </w:r>
    </w:p>
    <w:p>
      <w:pPr>
        <w:pStyle w:val="ListParagraph"/>
        <w:numPr>
          <w:ilvl w:val="0"/>
          <w:numId w:val="2"/>
        </w:numPr>
        <w:spacing w:after="100" w:line="360"/>
      </w:pPr>
      <w:r>
        <w:rPr>
          <w:rFonts w:ascii="Arial" w:cs="Arial" w:eastAsia="Arial" w:hAnsi="Arial"/>
          <w:sz w:val="24"/>
          <w:szCs w:val="24"/>
        </w:rPr>
        <w:t xml:space="preserve">What is the correlation between resting-state fMRI hippocampal-cortical connectivity improvement and network oscillation recovery?</w:t>
      </w:r>
    </w:p>
    <w:p>
      <w:pPr>
        <w:pStyle w:val="ListParagraph"/>
        <w:numPr>
          <w:ilvl w:val="0"/>
          <w:numId w:val="2"/>
        </w:numPr>
        <w:spacing w:after="100" w:line="360"/>
      </w:pPr>
      <w:r>
        <w:rPr>
          <w:rFonts w:ascii="Arial" w:cs="Arial" w:eastAsia="Arial" w:hAnsi="Arial"/>
          <w:sz w:val="24"/>
          <w:szCs w:val="24"/>
        </w:rPr>
        <w:t xml:space="preserve">Which compounds maintain network synchronization improvements over 4-week chronic treatment?</w:t>
      </w:r>
    </w:p>
    <w:p>
      <w:pPr>
        <w:pStyle w:val="ListParagraph"/>
        <w:numPr>
          <w:ilvl w:val="0"/>
          <w:numId w:val="2"/>
        </w:numPr>
        <w:spacing w:after="100" w:line="360"/>
      </w:pPr>
      <w:r>
        <w:rPr>
          <w:rFonts w:ascii="Arial" w:cs="Arial" w:eastAsia="Arial" w:hAnsi="Arial"/>
          <w:sz w:val="24"/>
          <w:szCs w:val="24"/>
        </w:rPr>
        <w:t xml:space="preserve">How rapidly can network recovery be measured (acute drug application vs. chronic biomarker accumulation)?</w:t>
      </w:r>
    </w:p>
    <w:p>
      <w:pPr>
        <w:pStyle w:val="ListParagraph"/>
        <w:numPr>
          <w:ilvl w:val="0"/>
          <w:numId w:val="2"/>
        </w:numPr>
        <w:spacing w:after="100" w:line="360"/>
      </w:pPr>
      <w:r>
        <w:rPr>
          <w:rFonts w:ascii="Arial" w:cs="Arial" w:eastAsia="Arial" w:hAnsi="Arial"/>
          <w:sz w:val="24"/>
          <w:szCs w:val="24"/>
        </w:rPr>
        <w:t xml:space="preserve">What is the optimal Phase II clinical trial biomarker and electrophysiological endpoint design for network synchronization restoration?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Biomarker validation matrix linking network recovery metrics to circulating biomarkers and imaging changes</w:t>
      </w:r>
    </w:p>
    <w:p>
      <w:pPr>
        <w:pStyle w:val="ListParagraph"/>
        <w:numPr>
          <w:ilvl w:val="0"/>
          <w:numId w:val="2"/>
        </w:numPr>
        <w:spacing w:after="100" w:line="360"/>
      </w:pPr>
      <w:r>
        <w:rPr>
          <w:rFonts w:ascii="Arial" w:cs="Arial" w:eastAsia="Arial" w:hAnsi="Arial"/>
          <w:sz w:val="24"/>
          <w:szCs w:val="24"/>
        </w:rPr>
        <w:t xml:space="preserve">Long-term network durability profiles (theta-gamma coupling stability over 2-4 week treatment)</w:t>
      </w:r>
    </w:p>
    <w:p>
      <w:pPr>
        <w:pStyle w:val="ListParagraph"/>
        <w:numPr>
          <w:ilvl w:val="0"/>
          <w:numId w:val="2"/>
        </w:numPr>
        <w:spacing w:after="100" w:line="360"/>
      </w:pPr>
      <w:r>
        <w:rPr>
          <w:rFonts w:ascii="Arial" w:cs="Arial" w:eastAsia="Arial" w:hAnsi="Arial"/>
          <w:sz w:val="24"/>
          <w:szCs w:val="24"/>
        </w:rPr>
        <w:t xml:space="preserve">Circulating biomarker correlation table (p-tau, phospho-synuclein, NfL kinetics per compound)</w:t>
      </w:r>
    </w:p>
    <w:p>
      <w:pPr>
        <w:pStyle w:val="ListParagraph"/>
        <w:numPr>
          <w:ilvl w:val="0"/>
          <w:numId w:val="2"/>
        </w:numPr>
        <w:spacing w:after="100" w:line="360"/>
      </w:pPr>
      <w:r>
        <w:rPr>
          <w:rFonts w:ascii="Arial" w:cs="Arial" w:eastAsia="Arial" w:hAnsi="Arial"/>
          <w:sz w:val="24"/>
          <w:szCs w:val="24"/>
        </w:rPr>
        <w:t xml:space="preserve">Resting-state fMRI connectivity improvement and MEG/EEG power spectral density changes</w:t>
      </w:r>
    </w:p>
    <w:p>
      <w:pPr>
        <w:pStyle w:val="ListParagraph"/>
        <w:numPr>
          <w:ilvl w:val="0"/>
          <w:numId w:val="2"/>
        </w:numPr>
        <w:spacing w:after="100" w:line="360"/>
      </w:pPr>
      <w:r>
        <w:rPr>
          <w:rFonts w:ascii="Arial" w:cs="Arial" w:eastAsia="Arial" w:hAnsi="Arial"/>
          <w:sz w:val="24"/>
          <w:szCs w:val="24"/>
        </w:rPr>
        <w:t xml:space="preserve">Cognitive testing outcome correlations (network metrics predicting behavioral improvement)</w:t>
      </w:r>
    </w:p>
    <w:p>
      <w:pPr>
        <w:pStyle w:val="ListParagraph"/>
        <w:numPr>
          <w:ilvl w:val="0"/>
          <w:numId w:val="2"/>
        </w:numPr>
        <w:spacing w:after="100" w:line="360"/>
      </w:pPr>
      <w:r>
        <w:rPr>
          <w:rFonts w:ascii="Arial" w:cs="Arial" w:eastAsia="Arial" w:hAnsi="Arial"/>
          <w:sz w:val="24"/>
          <w:szCs w:val="24"/>
        </w:rPr>
        <w:t xml:space="preserve">Recommended Phase I/II biomarker endpoints, patient enrichment strategy, and clinical trial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Integrated biomarker-network recovery table with circulating/imaging biomarker correlations, long-term durability metrics, and clinical readiness scores</w:t>
      </w:r>
    </w:p>
    <w:p>
      <w:pPr>
        <w:pStyle w:val="Heading2"/>
      </w:pPr>
      <w:r>
        <w:rPr>
          <w:rFonts w:ascii="Arial" w:cs="Arial" w:eastAsia="Arial" w:hAnsi="Arial"/>
          <w:b/>
          <w:bCs/>
          <w:sz w:val="28"/>
          <w:szCs w:val="28"/>
        </w:rPr>
        <w:t xml:space="preserve">Stage 6: Safety, Cholinergic Overdose Risk Mitigation, &amp; Clinical Development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comprehensive safety profiling of lead network synchronization restorers, validate mechanism specificity to prevent cholinergic toxicity or excitotoxic side effects, and establish a regulatory pathway for clinical translation.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network restoration compounds with validated biomarker efficacy from Stage 5</w:t>
      </w:r>
    </w:p>
    <w:p>
      <w:pPr>
        <w:pStyle w:val="ListParagraph"/>
        <w:numPr>
          <w:ilvl w:val="0"/>
          <w:numId w:val="2"/>
        </w:numPr>
        <w:spacing w:after="100" w:line="360"/>
      </w:pPr>
      <w:r>
        <w:rPr>
          <w:rFonts w:ascii="Arial" w:cs="Arial" w:eastAsia="Arial" w:hAnsi="Arial"/>
          <w:sz w:val="24"/>
          <w:szCs w:val="24"/>
        </w:rPr>
        <w:t xml:space="preserve">Cholinergic toxicity risk assessment (muscarinic agonist overdose, cholinergic crisis simulation)</w:t>
      </w:r>
    </w:p>
    <w:p>
      <w:pPr>
        <w:pStyle w:val="ListParagraph"/>
        <w:numPr>
          <w:ilvl w:val="0"/>
          <w:numId w:val="2"/>
        </w:numPr>
        <w:spacing w:after="100" w:line="360"/>
      </w:pPr>
      <w:r>
        <w:rPr>
          <w:rFonts w:ascii="Arial" w:cs="Arial" w:eastAsia="Arial" w:hAnsi="Arial"/>
          <w:sz w:val="24"/>
          <w:szCs w:val="24"/>
        </w:rPr>
        <w:t xml:space="preserve">Off-target pharmacology profiling (kinase inhibition, non-selective channel effects, hepatotoxicity)</w:t>
      </w:r>
    </w:p>
    <w:p>
      <w:pPr>
        <w:pStyle w:val="ListParagraph"/>
        <w:numPr>
          <w:ilvl w:val="0"/>
          <w:numId w:val="2"/>
        </w:numPr>
        <w:spacing w:after="100" w:line="360"/>
      </w:pPr>
      <w:r>
        <w:rPr>
          <w:rFonts w:ascii="Arial" w:cs="Arial" w:eastAsia="Arial" w:hAnsi="Arial"/>
          <w:sz w:val="24"/>
          <w:szCs w:val="24"/>
        </w:rPr>
        <w:t xml:space="preserve">Safety phenotyping across neuronal and non-neuronal cell types (peripheral parasympathetic effects, gastrointestinal motility, cardiac electrophysiology)</w:t>
      </w:r>
    </w:p>
    <w:p>
      <w:pPr>
        <w:pStyle w:val="ListParagraph"/>
        <w:numPr>
          <w:ilvl w:val="0"/>
          <w:numId w:val="2"/>
        </w:numPr>
        <w:spacing w:after="100" w:line="360"/>
      </w:pPr>
      <w:r>
        <w:rPr>
          <w:rFonts w:ascii="Arial" w:cs="Arial" w:eastAsia="Arial" w:hAnsi="Arial"/>
          <w:sz w:val="24"/>
          <w:szCs w:val="24"/>
        </w:rPr>
        <w:t xml:space="preserve">Regulatory guidance documents (FDA's approach to dementia therapeutics, biomarker-driven drug development pathways)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Multi-cell-type safety profiling platform (hippocampal/cortical pyramidal, interneuron subtypes, autonomic neuron models)</w:t>
      </w:r>
    </w:p>
    <w:p>
      <w:pPr>
        <w:pStyle w:val="ListParagraph"/>
        <w:numPr>
          <w:ilvl w:val="0"/>
          <w:numId w:val="2"/>
        </w:numPr>
        <w:spacing w:after="100" w:line="360"/>
      </w:pPr>
      <w:r>
        <w:rPr>
          <w:rFonts w:ascii="Arial" w:cs="Arial" w:eastAsia="Arial" w:hAnsi="Arial"/>
          <w:sz w:val="24"/>
          <w:szCs w:val="24"/>
        </w:rPr>
        <w:t xml:space="preserve">Cholinergic toxicity assay (muscarinic receptor potency ranking, atropine-sensitive vs. atropine-resistant effects)</w:t>
      </w:r>
    </w:p>
    <w:p>
      <w:pPr>
        <w:pStyle w:val="ListParagraph"/>
        <w:numPr>
          <w:ilvl w:val="0"/>
          <w:numId w:val="2"/>
        </w:numPr>
        <w:spacing w:after="100" w:line="360"/>
      </w:pPr>
      <w:r>
        <w:rPr>
          <w:rFonts w:ascii="Arial" w:cs="Arial" w:eastAsia="Arial" w:hAnsi="Arial"/>
          <w:sz w:val="24"/>
          <w:szCs w:val="24"/>
        </w:rPr>
        <w:t xml:space="preserve">Off-target kinase profiling (DiscoverX KINOMEscan), cardiac electrophysiology assessment (hERG assay)</w:t>
      </w:r>
    </w:p>
    <w:p>
      <w:pPr>
        <w:pStyle w:val="ListParagraph"/>
        <w:numPr>
          <w:ilvl w:val="0"/>
          <w:numId w:val="2"/>
        </w:numPr>
        <w:spacing w:after="100" w:line="360"/>
      </w:pPr>
      <w:r>
        <w:rPr>
          <w:rFonts w:ascii="Arial" w:cs="Arial" w:eastAsia="Arial" w:hAnsi="Arial"/>
          <w:sz w:val="24"/>
          <w:szCs w:val="24"/>
        </w:rPr>
        <w:t xml:space="preserve">Gastrointestinal motility assay (guinea pig ileum or Caco-2 permeability model)</w:t>
      </w:r>
    </w:p>
    <w:p>
      <w:pPr>
        <w:pStyle w:val="ListParagraph"/>
        <w:numPr>
          <w:ilvl w:val="0"/>
          <w:numId w:val="2"/>
        </w:numPr>
        <w:spacing w:after="100" w:line="360"/>
      </w:pPr>
      <w:r>
        <w:rPr>
          <w:rFonts w:ascii="Arial" w:cs="Arial" w:eastAsia="Arial" w:hAnsi="Arial"/>
          <w:sz w:val="24"/>
          <w:szCs w:val="24"/>
        </w:rPr>
        <w:t xml:space="preserve">Hepatic metabolism and drug-drug interaction prediction (CYP3A4/2D6 inhibition assessment)</w:t>
      </w:r>
    </w:p>
    <w:p>
      <w:pPr>
        <w:pStyle w:val="ListParagraph"/>
        <w:numPr>
          <w:ilvl w:val="0"/>
          <w:numId w:val="2"/>
        </w:numPr>
        <w:spacing w:after="100" w:line="360"/>
      </w:pPr>
      <w:r>
        <w:rPr>
          <w:rFonts w:ascii="Arial" w:cs="Arial" w:eastAsia="Arial" w:hAnsi="Arial"/>
          <w:sz w:val="24"/>
          <w:szCs w:val="24"/>
        </w:rPr>
        <w:t xml:space="preserve">Regulatory compliance module (dementia endpoint development guidance, adaptive trial design options)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lead acetylcholinesterase inhibitors show mechanism specificity (cholinergic enhancement) vs. off-target kinase inhibition?</w:t>
      </w:r>
    </w:p>
    <w:p>
      <w:pPr>
        <w:pStyle w:val="ListParagraph"/>
        <w:numPr>
          <w:ilvl w:val="0"/>
          <w:numId w:val="2"/>
        </w:numPr>
        <w:spacing w:after="100" w:line="360"/>
      </w:pPr>
      <w:r>
        <w:rPr>
          <w:rFonts w:ascii="Arial" w:cs="Arial" w:eastAsia="Arial" w:hAnsi="Arial"/>
          <w:sz w:val="24"/>
          <w:szCs w:val="24"/>
        </w:rPr>
        <w:t xml:space="preserve">What is the cholinergic overdose safety margin (distance between efficacious dose and muscarinic toxicity threshold)?</w:t>
      </w:r>
    </w:p>
    <w:p>
      <w:pPr>
        <w:pStyle w:val="ListParagraph"/>
        <w:numPr>
          <w:ilvl w:val="0"/>
          <w:numId w:val="2"/>
        </w:numPr>
        <w:spacing w:after="100" w:line="360"/>
      </w:pPr>
      <w:r>
        <w:rPr>
          <w:rFonts w:ascii="Arial" w:cs="Arial" w:eastAsia="Arial" w:hAnsi="Arial"/>
          <w:sz w:val="24"/>
          <w:szCs w:val="24"/>
        </w:rPr>
        <w:t xml:space="preserve">Are there off-target ion channel effects or cardiac electrophysiology risks?</w:t>
      </w:r>
    </w:p>
    <w:p>
      <w:pPr>
        <w:pStyle w:val="ListParagraph"/>
        <w:numPr>
          <w:ilvl w:val="0"/>
          <w:numId w:val="2"/>
        </w:numPr>
        <w:spacing w:after="100" w:line="360"/>
      </w:pPr>
      <w:r>
        <w:rPr>
          <w:rFonts w:ascii="Arial" w:cs="Arial" w:eastAsia="Arial" w:hAnsi="Arial"/>
          <w:sz w:val="24"/>
          <w:szCs w:val="24"/>
        </w:rPr>
        <w:t xml:space="preserve">Do compounds show consistent pharmacology across human, mouse, and rat systems?</w:t>
      </w:r>
    </w:p>
    <w:p>
      <w:pPr>
        <w:pStyle w:val="ListParagraph"/>
        <w:numPr>
          <w:ilvl w:val="0"/>
          <w:numId w:val="2"/>
        </w:numPr>
        <w:spacing w:after="100" w:line="360"/>
      </w:pPr>
      <w:r>
        <w:rPr>
          <w:rFonts w:ascii="Arial" w:cs="Arial" w:eastAsia="Arial" w:hAnsi="Arial"/>
          <w:sz w:val="24"/>
          <w:szCs w:val="24"/>
        </w:rPr>
        <w:t xml:space="preserve">What is the optimal regulatory strategy (breakthrough therapy designation, accelerated approval, adaptive design) for network synchronization restoration in dementia?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Safety profile summary for lead compounds across neuronal and non-neuronal systems</w:t>
      </w:r>
    </w:p>
    <w:p>
      <w:pPr>
        <w:pStyle w:val="ListParagraph"/>
        <w:numPr>
          <w:ilvl w:val="0"/>
          <w:numId w:val="2"/>
        </w:numPr>
        <w:spacing w:after="100" w:line="360"/>
      </w:pPr>
      <w:r>
        <w:rPr>
          <w:rFonts w:ascii="Arial" w:cs="Arial" w:eastAsia="Arial" w:hAnsi="Arial"/>
          <w:sz w:val="24"/>
          <w:szCs w:val="24"/>
        </w:rPr>
        <w:t xml:space="preserve">Cholinergic toxicity risk assessment and atropine-reversible vs. irreversible effect analysis</w:t>
      </w:r>
    </w:p>
    <w:p>
      <w:pPr>
        <w:pStyle w:val="ListParagraph"/>
        <w:numPr>
          <w:ilvl w:val="0"/>
          <w:numId w:val="2"/>
        </w:numPr>
        <w:spacing w:after="100" w:line="360"/>
      </w:pPr>
      <w:r>
        <w:rPr>
          <w:rFonts w:ascii="Arial" w:cs="Arial" w:eastAsia="Arial" w:hAnsi="Arial"/>
          <w:sz w:val="24"/>
          <w:szCs w:val="24"/>
        </w:rPr>
        <w:t xml:space="preserve">Off-target liability profile (kinase selectivity, cardiac QT prolongation risk, hepatic metabolism concerns)</w:t>
      </w:r>
    </w:p>
    <w:p>
      <w:pPr>
        <w:pStyle w:val="ListParagraph"/>
        <w:numPr>
          <w:ilvl w:val="0"/>
          <w:numId w:val="2"/>
        </w:numPr>
        <w:spacing w:after="100" w:line="360"/>
      </w:pPr>
      <w:r>
        <w:rPr>
          <w:rFonts w:ascii="Arial" w:cs="Arial" w:eastAsia="Arial" w:hAnsi="Arial"/>
          <w:sz w:val="24"/>
          <w:szCs w:val="24"/>
        </w:rPr>
        <w:t xml:space="preserve">Peripheral autonomic side effect predictions (gastrointestinal, cardiovascular, ophthalmologic effects)</w:t>
      </w:r>
    </w:p>
    <w:p>
      <w:pPr>
        <w:pStyle w:val="ListParagraph"/>
        <w:numPr>
          <w:ilvl w:val="0"/>
          <w:numId w:val="2"/>
        </w:numPr>
        <w:spacing w:after="100" w:line="360"/>
      </w:pPr>
      <w:r>
        <w:rPr>
          <w:rFonts w:ascii="Arial" w:cs="Arial" w:eastAsia="Arial" w:hAnsi="Arial"/>
          <w:sz w:val="24"/>
          <w:szCs w:val="24"/>
        </w:rPr>
        <w:t xml:space="preserve">Species-specific pharmacology comparison (human vs. preclinical model consistency)</w:t>
      </w:r>
    </w:p>
    <w:p>
      <w:pPr>
        <w:pStyle w:val="ListParagraph"/>
        <w:numPr>
          <w:ilvl w:val="0"/>
          <w:numId w:val="2"/>
        </w:numPr>
        <w:spacing w:after="100" w:line="360"/>
      </w:pPr>
      <w:r>
        <w:rPr>
          <w:rFonts w:ascii="Arial" w:cs="Arial" w:eastAsia="Arial" w:hAnsi="Arial"/>
          <w:sz w:val="24"/>
          <w:szCs w:val="24"/>
        </w:rPr>
        <w:t xml:space="preserve">Recommended regulatory pathway (breakthrough designation eligibility, adaptive trial design options, post-marketing surveillance requirements)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safety and clinical development dossier with cholinergic toxicity margins, off-target liability maps, multi-system safety profiles, and regulatory strategy recommendations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Multichannel LFP processing pipeline with Morlet wavelet spectral analysis</w:t>
      </w:r>
    </w:p>
    <w:p>
      <w:pPr>
        <w:pStyle w:val="ListParagraph"/>
        <w:numPr>
          <w:ilvl w:val="0"/>
          <w:numId w:val="2"/>
        </w:numPr>
        <w:spacing w:after="100" w:line="360"/>
      </w:pPr>
      <w:r>
        <w:rPr>
          <w:rFonts w:ascii="Arial" w:cs="Arial" w:eastAsia="Arial" w:hAnsi="Arial"/>
          <w:sz w:val="24"/>
          <w:szCs w:val="24"/>
        </w:rPr>
        <w:t xml:space="preserve">Hilbert transform for phase-amplitude coupling quantification (theta phase driving gamma amplitude)</w:t>
      </w:r>
    </w:p>
    <w:p>
      <w:pPr>
        <w:pStyle w:val="ListParagraph"/>
        <w:numPr>
          <w:ilvl w:val="0"/>
          <w:numId w:val="2"/>
        </w:numPr>
        <w:spacing w:after="100" w:line="360"/>
      </w:pPr>
      <w:r>
        <w:rPr>
          <w:rFonts w:ascii="Arial" w:cs="Arial" w:eastAsia="Arial" w:hAnsi="Arial"/>
          <w:sz w:val="24"/>
          <w:szCs w:val="24"/>
        </w:rPr>
        <w:t xml:space="preserve">Graph theory network analysis (modularity, clustering coefficients, small-worldness)</w:t>
      </w:r>
    </w:p>
    <w:p>
      <w:pPr>
        <w:pStyle w:val="ListParagraph"/>
        <w:numPr>
          <w:ilvl w:val="0"/>
          <w:numId w:val="2"/>
        </w:numPr>
        <w:spacing w:after="100" w:line="360"/>
      </w:pPr>
      <w:r>
        <w:rPr>
          <w:rFonts w:ascii="Arial" w:cs="Arial" w:eastAsia="Arial" w:hAnsi="Arial"/>
          <w:sz w:val="24"/>
          <w:szCs w:val="24"/>
        </w:rPr>
        <w:t xml:space="preserve">Information theory measures (mutual information, transfer entropy) for long-range synchronization</w:t>
      </w:r>
    </w:p>
    <w:p>
      <w:pPr>
        <w:pStyle w:val="ListParagraph"/>
        <w:numPr>
          <w:ilvl w:val="0"/>
          <w:numId w:val="2"/>
        </w:numPr>
        <w:spacing w:after="100" w:line="360"/>
      </w:pPr>
      <w:r>
        <w:rPr>
          <w:rFonts w:ascii="Arial" w:cs="Arial" w:eastAsia="Arial" w:hAnsi="Arial"/>
          <w:sz w:val="24"/>
          <w:szCs w:val="24"/>
        </w:rPr>
        <w:t xml:space="preserve">Granger causality analysis for directional connectivity (hippocampus to cortex vs. feedback)</w:t>
      </w:r>
    </w:p>
    <w:p>
      <w:pPr>
        <w:pStyle w:val="ListParagraph"/>
        <w:numPr>
          <w:ilvl w:val="0"/>
          <w:numId w:val="2"/>
        </w:numPr>
        <w:spacing w:after="100" w:line="360"/>
      </w:pPr>
      <w:r>
        <w:rPr>
          <w:rFonts w:ascii="Arial" w:cs="Arial" w:eastAsia="Arial" w:hAnsi="Arial"/>
          <w:sz w:val="24"/>
          <w:szCs w:val="24"/>
        </w:rPr>
        <w:t xml:space="preserve">Machine learning classifier for network desynchronization severity stratification (mild/moderate/severe)</w:t>
      </w:r>
    </w:p>
    <w:p>
      <w:pPr>
        <w:pStyle w:val="ListParagraph"/>
        <w:numPr>
          <w:ilvl w:val="0"/>
          <w:numId w:val="2"/>
        </w:numPr>
        <w:spacing w:after="100" w:line="360"/>
      </w:pPr>
      <w:r>
        <w:rPr>
          <w:rFonts w:ascii="Arial" w:cs="Arial" w:eastAsia="Arial" w:hAnsi="Arial"/>
          <w:sz w:val="24"/>
          <w:szCs w:val="24"/>
        </w:rPr>
        <w:t xml:space="preserve">Optogenetic stimulation of cholinergic (ChAT-Cre) and GABAergic (PV-Cre, SOM-Cre) neuron populations</w:t>
      </w:r>
    </w:p>
    <w:p>
      <w:pPr>
        <w:pStyle w:val="ListParagraph"/>
        <w:numPr>
          <w:ilvl w:val="0"/>
          <w:numId w:val="2"/>
        </w:numPr>
        <w:spacing w:after="100" w:line="360"/>
      </w:pPr>
      <w:r>
        <w:rPr>
          <w:rFonts w:ascii="Arial" w:cs="Arial" w:eastAsia="Arial" w:hAnsi="Arial"/>
          <w:sz w:val="24"/>
          <w:szCs w:val="24"/>
        </w:rPr>
        <w:t xml:space="preserve">Two-photon imaging of ACh-sensor fluorescence during network activity</w:t>
      </w:r>
    </w:p>
    <w:p>
      <w:pPr>
        <w:pStyle w:val="ListParagraph"/>
        <w:numPr>
          <w:ilvl w:val="0"/>
          <w:numId w:val="2"/>
        </w:numPr>
        <w:spacing w:after="100" w:line="360"/>
      </w:pPr>
      <w:r>
        <w:rPr>
          <w:rFonts w:ascii="Arial" w:cs="Arial" w:eastAsia="Arial" w:hAnsi="Arial"/>
          <w:sz w:val="24"/>
          <w:szCs w:val="24"/>
        </w:rPr>
        <w:t xml:space="preserve">Whole-cell patch-clamp for isolation of NMDA vs. AMPA currents and GABA receptor-mediated synaptic transmission</w:t>
      </w:r>
    </w:p>
    <w:p>
      <w:pPr>
        <w:pStyle w:val="ListParagraph"/>
        <w:numPr>
          <w:ilvl w:val="0"/>
          <w:numId w:val="2"/>
        </w:numPr>
        <w:spacing w:after="100" w:line="360"/>
      </w:pPr>
      <w:r>
        <w:rPr>
          <w:rFonts w:ascii="Arial" w:cs="Arial" w:eastAsia="Arial" w:hAnsi="Arial"/>
          <w:sz w:val="24"/>
          <w:szCs w:val="24"/>
        </w:rPr>
        <w:t xml:space="preserve">Voltage clamp/current clamp for interneuron intrinsic property analysis and burst generation capacity</w:t>
      </w:r>
    </w:p>
    <w:p>
      <w:pPr>
        <w:pStyle w:val="ListParagraph"/>
        <w:numPr>
          <w:ilvl w:val="0"/>
          <w:numId w:val="2"/>
        </w:numPr>
        <w:spacing w:after="100" w:line="360"/>
      </w:pPr>
      <w:r>
        <w:rPr>
          <w:rFonts w:ascii="Arial" w:cs="Arial" w:eastAsia="Arial" w:hAnsi="Arial"/>
          <w:sz w:val="24"/>
          <w:szCs w:val="24"/>
        </w:rPr>
        <w:t xml:space="preserve">Acetylcholinesterase activity assay with high-throughput imaging quantification</w:t>
      </w:r>
    </w:p>
    <w:p>
      <w:pPr>
        <w:pStyle w:val="ListParagraph"/>
        <w:numPr>
          <w:ilvl w:val="0"/>
          <w:numId w:val="2"/>
        </w:numPr>
        <w:spacing w:after="100" w:line="360"/>
      </w:pPr>
      <w:r>
        <w:rPr>
          <w:rFonts w:ascii="Arial" w:cs="Arial" w:eastAsia="Arial" w:hAnsi="Arial"/>
          <w:sz w:val="24"/>
          <w:szCs w:val="24"/>
        </w:rPr>
        <w:t xml:space="preserve">Circuit connectivity mapping via rabies virus tracing and connectomics-informed network analysis</w:t>
      </w:r>
    </w:p>
    <w:p>
      <w:pPr>
        <w:pStyle w:val="ListParagraph"/>
        <w:numPr>
          <w:ilvl w:val="0"/>
          <w:numId w:val="2"/>
        </w:numPr>
        <w:spacing w:after="100" w:line="360"/>
      </w:pPr>
      <w:r>
        <w:rPr>
          <w:rFonts w:ascii="Arial" w:cs="Arial" w:eastAsia="Arial" w:hAnsi="Arial"/>
          <w:sz w:val="24"/>
          <w:szCs w:val="24"/>
        </w:rPr>
        <w:t xml:space="preserve">Multi-electrode array platform for rapid compound screening of network oscillation restoration (theta power, gamma frequency stability, coherence improvement)</w:t>
      </w:r>
    </w:p>
    <w:p>
      <w:pPr>
        <w:pStyle w:val="ListParagraph"/>
        <w:numPr>
          <w:ilvl w:val="0"/>
          <w:numId w:val="2"/>
        </w:numPr>
        <w:spacing w:after="100" w:line="360"/>
      </w:pPr>
      <w:r>
        <w:rPr>
          <w:rFonts w:ascii="Arial" w:cs="Arial" w:eastAsia="Arial" w:hAnsi="Arial"/>
          <w:sz w:val="24"/>
          <w:szCs w:val="24"/>
        </w:rPr>
        <w:t xml:space="preserve">Automated spike detection and spectral analysis for high-throughput compound ranking</w:t>
      </w:r>
    </w:p>
    <w:p>
      <w:pPr>
        <w:pStyle w:val="ListParagraph"/>
        <w:numPr>
          <w:ilvl w:val="0"/>
          <w:numId w:val="2"/>
        </w:numPr>
        <w:spacing w:after="100" w:line="360"/>
      </w:pPr>
      <w:r>
        <w:rPr>
          <w:rFonts w:ascii="Arial" w:cs="Arial" w:eastAsia="Arial" w:hAnsi="Arial"/>
          <w:sz w:val="24"/>
          <w:szCs w:val="24"/>
        </w:rPr>
        <w:t xml:space="preserve">Cholinergic circuit enhancement assays (ACh-sensor fluorescence, ACh-dependent network effects)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2026-03-04T01:49:03.280Z</dcterms:created>
  <dcterms:modified xsi:type="dcterms:W3CDTF">2026-03-04T01:49:03.280Z</dcterms:modified>
</cp:coreProperties>
</file>

<file path=docProps/custom.xml><?xml version="1.0" encoding="utf-8"?>
<Properties xmlns="http://schemas.openxmlformats.org/officeDocument/2006/custom-properties" xmlns:vt="http://schemas.openxmlformats.org/officeDocument/2006/docPropsVTypes"/>
</file>