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FTD MAPT Mutation Antipodal Drug Signatures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FTD (MAPT mutation), identify antipodal drug signatures.</w:t>
      </w:r>
    </w:p>
    <w:p>
      <w:pPr>
        <w:spacing w:after="200" w:line="360"/>
      </w:pPr>
      <w:r>
        <w:rPr>
          <w:rFonts w:ascii="Arial" w:cs="Arial" w:eastAsia="Arial" w:hAnsi="Arial"/>
          <w:sz w:val="24"/>
          <w:szCs w:val="24"/>
        </w:rPr>
        <w:t xml:space="preserve">This pipeline systematically identifies antipodal drug signatures for frontotemporal dementia (FTD) caused by MAPT mutations, where antipodal compounds induce opposing tau isoform shifts (4R/3R tau ratio modulation) and mechanistically divergent neuroprotection strategies. MAPT mutations in FTD disrupt the splicing ratio of tau isoforms expressing four (4R) or three (3R) microtubule binding repeats, with 4R-predominant tau driving hyperphosphorylation, aggregation, and neuronal toxicity in frontotemporal cortical circuits. The Quiver Bioscience EP CRISPR atlas enables discovery of antipodal compound pairs that each restore frontotemporal network function through opposite tau-targeting mechanisms: one compound via 3R tau upregulation (or 4R suppression), the other through 4R aggregation inhibition or 3R clearance enhancement.</w:t>
      </w:r>
    </w:p>
    <w:p>
      <w:pPr>
        <w:spacing w:after="200" w:line="360"/>
      </w:pPr>
      <w:r>
        <w:rPr>
          <w:rFonts w:ascii="Arial" w:cs="Arial" w:eastAsia="Arial" w:hAnsi="Arial"/>
          <w:sz w:val="24"/>
          <w:szCs w:val="24"/>
        </w:rPr>
        <w:t xml:space="preserve">The pipeline identifies and characterizes antipodal tau-modulating drug pairs that provide complementary neuroprotection: direct antagonistic pairs (4R promoter vs. 3R promoter), mechanistic opposites (aggregation inhibitor vs. proteolytic clearance enhancer), or circuit-opposite repairs (excitatory vs. inhibitory circuit stabilization). Integration of tau isoform expression, phosphorylation state, aggregation kinetics, and frontotemporal cortical network electrophysiology ensures that antipodal compounds address tau pathology from opposing angles while each independently rescuing cortical network dysfunction. This strategy mirrors clinical polypharmacy approaches and enables identification of synergistic combination therapies.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Sapphire Pipeline employs hierarchical filtering across the Quiver Bioscience electrophysiology CRISPR atlas to identify compounds and genetic modifiers that address the underlying pathophysiology of neurodegenerative disease. By integrating thousands of single-cell electrophysiological recordings, multi-electrode array circuit-level phenotyping, and bioenergetic profiling, the pipeline identifies interventions that restore neuronal excitability properties, stabilize network-level synchronization, and support cellular energy homeostasis.</w:t>
      </w:r>
    </w:p>
    <w:p>
      <w:pPr>
        <w:spacing w:after="200" w:line="360"/>
      </w:pPr>
      <w:r>
        <w:rPr>
          <w:rFonts w:ascii="Arial" w:cs="Arial" w:eastAsia="Arial" w:hAnsi="Arial"/>
          <w:sz w:val="24"/>
          <w:szCs w:val="24"/>
        </w:rPr>
        <w:t xml:space="preserve">Each pipeline stage systematically filters compounds through progressively stringent efficacy criteria: initial target validation, cellular rescue phenotyping, circuit-level network recovery, disease model stratification, biomarker integration, and safety profiling. This multi-scale, biomarker-guided approach ensures that identified therapeutics address root causes of pathology while maintaining broad applicability across disease contexts and patient populations.</w:t>
      </w:r>
    </w:p>
    <w:p>
      <w:pPr>
        <w:pStyle w:val="Heading2"/>
      </w:pPr>
      <w:r>
        <w:rPr>
          <w:rFonts w:ascii="Arial" w:cs="Arial" w:eastAsia="Arial" w:hAnsi="Arial"/>
          <w:b/>
          <w:bCs/>
          <w:sz w:val="28"/>
          <w:szCs w:val="28"/>
        </w:rPr>
        <w:t xml:space="preserve">Stage 1: MAPT Mutation-Driven 4R/3R Tau Isoform Imbalance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the 4R/3R tau isoform dysregulation driven by specific MAPT mutations in FTD, mapping tau splicing defects, isoform-specific aggregation, phosphorylation patterns, and resulting frontotemporal network electrophysiological dysfunction.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MAPT mutation variants (P301L, N279K, R406W, V337M) with characterized 4R/3R tau ratio shifts and aggregation kinetics</w:t>
      </w:r>
    </w:p>
    <w:p>
      <w:pPr>
        <w:pStyle w:val="ListParagraph"/>
        <w:numPr>
          <w:ilvl w:val="0"/>
          <w:numId w:val="2"/>
        </w:numPr>
        <w:spacing w:after="100" w:line="360"/>
      </w:pPr>
      <w:r>
        <w:rPr>
          <w:rFonts w:ascii="Arial" w:cs="Arial" w:eastAsia="Arial" w:hAnsi="Arial"/>
          <w:sz w:val="24"/>
          <w:szCs w:val="24"/>
        </w:rPr>
        <w:t xml:space="preserve">Tau mRNA splicing analysis (exon 10 inclusion/exclusion ratios, 4R/3R protein expression levels)</w:t>
      </w:r>
    </w:p>
    <w:p>
      <w:pPr>
        <w:pStyle w:val="ListParagraph"/>
        <w:numPr>
          <w:ilvl w:val="0"/>
          <w:numId w:val="2"/>
        </w:numPr>
        <w:spacing w:after="100" w:line="360"/>
      </w:pPr>
      <w:r>
        <w:rPr>
          <w:rFonts w:ascii="Arial" w:cs="Arial" w:eastAsia="Arial" w:hAnsi="Arial"/>
          <w:sz w:val="24"/>
          <w:szCs w:val="24"/>
        </w:rPr>
        <w:t xml:space="preserve">Isoform-specific phosphorylation mapping (pTau181, pTau217 epitope ratios, kinase specificity in 4R vs. 3R backgrounds)</w:t>
      </w:r>
    </w:p>
    <w:p>
      <w:pPr>
        <w:pStyle w:val="ListParagraph"/>
        <w:numPr>
          <w:ilvl w:val="0"/>
          <w:numId w:val="2"/>
        </w:numPr>
        <w:spacing w:after="100" w:line="360"/>
      </w:pPr>
      <w:r>
        <w:rPr>
          <w:rFonts w:ascii="Arial" w:cs="Arial" w:eastAsia="Arial" w:hAnsi="Arial"/>
          <w:sz w:val="24"/>
          <w:szCs w:val="24"/>
        </w:rPr>
        <w:t xml:space="preserve">Tau aggregation kinetics for each isoform (seeding capacity, fibril morphology, protease resistance)</w:t>
      </w:r>
    </w:p>
    <w:p>
      <w:pPr>
        <w:pStyle w:val="ListParagraph"/>
        <w:numPr>
          <w:ilvl w:val="0"/>
          <w:numId w:val="2"/>
        </w:numPr>
        <w:spacing w:after="100" w:line="360"/>
      </w:pPr>
      <w:r>
        <w:rPr>
          <w:rFonts w:ascii="Arial" w:cs="Arial" w:eastAsia="Arial" w:hAnsi="Arial"/>
          <w:sz w:val="24"/>
          <w:szCs w:val="24"/>
        </w:rPr>
        <w:t xml:space="preserve">Frontotemporal cortical network recordings in MAPT-transgenic and patient-derived models showing layer-specific dysfunction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RNA-seq and qPCR for tau splicing quantification (exon 10 inclusion rates, 4R/3R transcript ratios)</w:t>
      </w:r>
    </w:p>
    <w:p>
      <w:pPr>
        <w:pStyle w:val="ListParagraph"/>
        <w:numPr>
          <w:ilvl w:val="0"/>
          <w:numId w:val="2"/>
        </w:numPr>
        <w:spacing w:after="100" w:line="360"/>
      </w:pPr>
      <w:r>
        <w:rPr>
          <w:rFonts w:ascii="Arial" w:cs="Arial" w:eastAsia="Arial" w:hAnsi="Arial"/>
          <w:sz w:val="24"/>
          <w:szCs w:val="24"/>
        </w:rPr>
        <w:t xml:space="preserve">Mass spectrometry-based tau isoform and phosphorylation site mapping (phosphoproteomics for kinase substrate preferences)</w:t>
      </w:r>
    </w:p>
    <w:p>
      <w:pPr>
        <w:pStyle w:val="ListParagraph"/>
        <w:numPr>
          <w:ilvl w:val="0"/>
          <w:numId w:val="2"/>
        </w:numPr>
        <w:spacing w:after="100" w:line="360"/>
      </w:pPr>
      <w:r>
        <w:rPr>
          <w:rFonts w:ascii="Arial" w:cs="Arial" w:eastAsia="Arial" w:hAnsi="Arial"/>
          <w:sz w:val="24"/>
          <w:szCs w:val="24"/>
        </w:rPr>
        <w:t xml:space="preserve">In vitro tau aggregation assays (turbidimetry, ThT fluorescence) with isoform-specific kinetics</w:t>
      </w:r>
    </w:p>
    <w:p>
      <w:pPr>
        <w:pStyle w:val="ListParagraph"/>
        <w:numPr>
          <w:ilvl w:val="0"/>
          <w:numId w:val="2"/>
        </w:numPr>
        <w:spacing w:after="100" w:line="360"/>
      </w:pPr>
      <w:r>
        <w:rPr>
          <w:rFonts w:ascii="Arial" w:cs="Arial" w:eastAsia="Arial" w:hAnsi="Arial"/>
          <w:sz w:val="24"/>
          <w:szCs w:val="24"/>
        </w:rPr>
        <w:t xml:space="preserve">Conformer-specific antibody panels (4R-selective vs. 3R-selective vs. phosphorylation-state-dependent epitopes)</w:t>
      </w:r>
    </w:p>
    <w:p>
      <w:pPr>
        <w:pStyle w:val="ListParagraph"/>
        <w:numPr>
          <w:ilvl w:val="0"/>
          <w:numId w:val="2"/>
        </w:numPr>
        <w:spacing w:after="100" w:line="360"/>
      </w:pPr>
      <w:r>
        <w:rPr>
          <w:rFonts w:ascii="Arial" w:cs="Arial" w:eastAsia="Arial" w:hAnsi="Arial"/>
          <w:sz w:val="24"/>
          <w:szCs w:val="24"/>
        </w:rPr>
        <w:t xml:space="preserve">Multi-electrode array recordings from frontotemporal cortical networks with layer-specific analysis (L2/3, L5 principal neuron phenotypes)</w:t>
      </w:r>
    </w:p>
    <w:p>
      <w:pPr>
        <w:pStyle w:val="ListParagraph"/>
        <w:numPr>
          <w:ilvl w:val="0"/>
          <w:numId w:val="2"/>
        </w:numPr>
        <w:spacing w:after="100" w:line="360"/>
      </w:pPr>
      <w:r>
        <w:rPr>
          <w:rFonts w:ascii="Arial" w:cs="Arial" w:eastAsia="Arial" w:hAnsi="Arial"/>
          <w:sz w:val="24"/>
          <w:szCs w:val="24"/>
        </w:rPr>
        <w:t xml:space="preserve">Machine learning classifier for 4R/3R tau burden and isoform-specific toxicity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 specific MAPT mutations (P301L vs. N279K) differentially alter the 4R/3R tau ratio and splicing kinetics?</w:t>
      </w:r>
    </w:p>
    <w:p>
      <w:pPr>
        <w:pStyle w:val="ListParagraph"/>
        <w:numPr>
          <w:ilvl w:val="0"/>
          <w:numId w:val="2"/>
        </w:numPr>
        <w:spacing w:after="100" w:line="360"/>
      </w:pPr>
      <w:r>
        <w:rPr>
          <w:rFonts w:ascii="Arial" w:cs="Arial" w:eastAsia="Arial" w:hAnsi="Arial"/>
          <w:sz w:val="24"/>
          <w:szCs w:val="24"/>
        </w:rPr>
        <w:t xml:space="preserve">Which kinases preferentially phosphorylate 4R vs. 3R tau, and how does this drive aggregation pathway differences?</w:t>
      </w:r>
    </w:p>
    <w:p>
      <w:pPr>
        <w:pStyle w:val="ListParagraph"/>
        <w:numPr>
          <w:ilvl w:val="0"/>
          <w:numId w:val="2"/>
        </w:numPr>
        <w:spacing w:after="100" w:line="360"/>
      </w:pPr>
      <w:r>
        <w:rPr>
          <w:rFonts w:ascii="Arial" w:cs="Arial" w:eastAsia="Arial" w:hAnsi="Arial"/>
          <w:sz w:val="24"/>
          <w:szCs w:val="24"/>
        </w:rPr>
        <w:t xml:space="preserve">What is the relationship between 4R/3R ratio and frontotemporal cortical layer 5 neuronal firing dysfunction?</w:t>
      </w:r>
    </w:p>
    <w:p>
      <w:pPr>
        <w:pStyle w:val="ListParagraph"/>
        <w:numPr>
          <w:ilvl w:val="0"/>
          <w:numId w:val="2"/>
        </w:numPr>
        <w:spacing w:after="100" w:line="360"/>
      </w:pPr>
      <w:r>
        <w:rPr>
          <w:rFonts w:ascii="Arial" w:cs="Arial" w:eastAsia="Arial" w:hAnsi="Arial"/>
          <w:sz w:val="24"/>
          <w:szCs w:val="24"/>
        </w:rPr>
        <w:t xml:space="preserve">Do 4R and 3R tau aggregates show distinct seeding properties and toxicity mechanisms?</w:t>
      </w:r>
    </w:p>
    <w:p>
      <w:pPr>
        <w:pStyle w:val="ListParagraph"/>
        <w:numPr>
          <w:ilvl w:val="0"/>
          <w:numId w:val="2"/>
        </w:numPr>
        <w:spacing w:after="100" w:line="360"/>
      </w:pPr>
      <w:r>
        <w:rPr>
          <w:rFonts w:ascii="Arial" w:cs="Arial" w:eastAsia="Arial" w:hAnsi="Arial"/>
          <w:sz w:val="24"/>
          <w:szCs w:val="24"/>
        </w:rPr>
        <w:t xml:space="preserve">How do patient-derived iPSC neurons recapitulate MAPT mutation-specific 4R/3R isoform pathology?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4R/3R tau isoform imbalance map (relative expression ratios, isoform-specific expression patterns across cortical layers)</w:t>
      </w:r>
    </w:p>
    <w:p>
      <w:pPr>
        <w:pStyle w:val="ListParagraph"/>
        <w:numPr>
          <w:ilvl w:val="0"/>
          <w:numId w:val="2"/>
        </w:numPr>
        <w:spacing w:after="100" w:line="360"/>
      </w:pPr>
      <w:r>
        <w:rPr>
          <w:rFonts w:ascii="Arial" w:cs="Arial" w:eastAsia="Arial" w:hAnsi="Arial"/>
          <w:sz w:val="24"/>
          <w:szCs w:val="24"/>
        </w:rPr>
        <w:t xml:space="preserve">MAPT mutation-specific splicing defect characterization (exon 10 inclusion rates, molecular mechanism of dysregulation)</w:t>
      </w:r>
    </w:p>
    <w:p>
      <w:pPr>
        <w:pStyle w:val="ListParagraph"/>
        <w:numPr>
          <w:ilvl w:val="0"/>
          <w:numId w:val="2"/>
        </w:numPr>
        <w:spacing w:after="100" w:line="360"/>
      </w:pPr>
      <w:r>
        <w:rPr>
          <w:rFonts w:ascii="Arial" w:cs="Arial" w:eastAsia="Arial" w:hAnsi="Arial"/>
          <w:sz w:val="24"/>
          <w:szCs w:val="24"/>
        </w:rPr>
        <w:t xml:space="preserve">Isoform-specific phosphorylation profile (phospho-site abundance ratios, kinase-substrate pairing for 4R vs. 3R)</w:t>
      </w:r>
    </w:p>
    <w:p>
      <w:pPr>
        <w:pStyle w:val="ListParagraph"/>
        <w:numPr>
          <w:ilvl w:val="0"/>
          <w:numId w:val="2"/>
        </w:numPr>
        <w:spacing w:after="100" w:line="360"/>
      </w:pPr>
      <w:r>
        <w:rPr>
          <w:rFonts w:ascii="Arial" w:cs="Arial" w:eastAsia="Arial" w:hAnsi="Arial"/>
          <w:sz w:val="24"/>
          <w:szCs w:val="24"/>
        </w:rPr>
        <w:t xml:space="preserve">Tau aggregation kinetics comparison (4R vs. 3R fibril formation rates, seeding potencies, morphological distinctions)</w:t>
      </w:r>
    </w:p>
    <w:p>
      <w:pPr>
        <w:pStyle w:val="ListParagraph"/>
        <w:numPr>
          <w:ilvl w:val="0"/>
          <w:numId w:val="2"/>
        </w:numPr>
        <w:spacing w:after="100" w:line="360"/>
      </w:pPr>
      <w:r>
        <w:rPr>
          <w:rFonts w:ascii="Arial" w:cs="Arial" w:eastAsia="Arial" w:hAnsi="Arial"/>
          <w:sz w:val="24"/>
          <w:szCs w:val="24"/>
        </w:rPr>
        <w:t xml:space="preserve">Frontotemporal cortical network dysfunction phenotype (layer-specific firing rate changes, network desynchronization, circuit-level connectivity loss)</w:t>
      </w:r>
    </w:p>
    <w:p>
      <w:pPr>
        <w:pStyle w:val="ListParagraph"/>
        <w:numPr>
          <w:ilvl w:val="0"/>
          <w:numId w:val="2"/>
        </w:numPr>
        <w:spacing w:after="100" w:line="360"/>
      </w:pPr>
      <w:r>
        <w:rPr>
          <w:rFonts w:ascii="Arial" w:cs="Arial" w:eastAsia="Arial" w:hAnsi="Arial"/>
          <w:sz w:val="24"/>
          <w:szCs w:val="24"/>
        </w:rPr>
        <w:t xml:space="preserve">MAPT mutation-FTD phenotype correlation table (mutation type to 4R/3R ratio to cortical dysfunction severity)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Tau isoform pathology database with 4R/3R expression ratios, phosphorylation profiles, aggregation kinetics, and layer-specific cortical network dysfunction metrics</w:t>
      </w:r>
    </w:p>
    <w:p>
      <w:pPr>
        <w:pStyle w:val="Heading2"/>
      </w:pPr>
      <w:r>
        <w:rPr>
          <w:rFonts w:ascii="Arial" w:cs="Arial" w:eastAsia="Arial" w:hAnsi="Arial"/>
          <w:b/>
          <w:bCs/>
          <w:sz w:val="28"/>
          <w:szCs w:val="28"/>
        </w:rPr>
        <w:t xml:space="preserve">Stage 2: Antipodal Tau-Modulating Compound Discovery: 3R Promoters vs. 4R Suppressors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Discover antipodal compound pairs that modulate 4R/3R tau ratio in opposite directions: one set of compounds that promote 3R tau expression (or suppress 4R), and another set that enhance 4R protein clearance or inhibit 4R-specific aggregation.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library (~3,500 perturbations) screened for effects on tau splicing (exon 10 inclusion/exclusion modulation)</w:t>
      </w:r>
    </w:p>
    <w:p>
      <w:pPr>
        <w:pStyle w:val="ListParagraph"/>
        <w:numPr>
          <w:ilvl w:val="0"/>
          <w:numId w:val="2"/>
        </w:numPr>
        <w:spacing w:after="100" w:line="360"/>
      </w:pPr>
      <w:r>
        <w:rPr>
          <w:rFonts w:ascii="Arial" w:cs="Arial" w:eastAsia="Arial" w:hAnsi="Arial"/>
          <w:sz w:val="24"/>
          <w:szCs w:val="24"/>
        </w:rPr>
        <w:t xml:space="preserve">Splicing modulators (antisense oligonucleotides, small molecules targeting SR proteins and splicing factors)</w:t>
      </w:r>
    </w:p>
    <w:p>
      <w:pPr>
        <w:pStyle w:val="ListParagraph"/>
        <w:numPr>
          <w:ilvl w:val="0"/>
          <w:numId w:val="2"/>
        </w:numPr>
        <w:spacing w:after="100" w:line="360"/>
      </w:pPr>
      <w:r>
        <w:rPr>
          <w:rFonts w:ascii="Arial" w:cs="Arial" w:eastAsia="Arial" w:hAnsi="Arial"/>
          <w:sz w:val="24"/>
          <w:szCs w:val="24"/>
        </w:rPr>
        <w:t xml:space="preserve">RNA-binding protein modulators (QKI, SRSF1, SRSF9 expression or activity changes altering tau splicing)</w:t>
      </w:r>
    </w:p>
    <w:p>
      <w:pPr>
        <w:pStyle w:val="ListParagraph"/>
        <w:numPr>
          <w:ilvl w:val="0"/>
          <w:numId w:val="2"/>
        </w:numPr>
        <w:spacing w:after="100" w:line="360"/>
      </w:pPr>
      <w:r>
        <w:rPr>
          <w:rFonts w:ascii="Arial" w:cs="Arial" w:eastAsia="Arial" w:hAnsi="Arial"/>
          <w:sz w:val="24"/>
          <w:szCs w:val="24"/>
        </w:rPr>
        <w:t xml:space="preserve">4R-specific aggregation inhibitors and proteasomal/autophagy-enhancing compounds favoring 4R clearance</w:t>
      </w:r>
    </w:p>
    <w:p>
      <w:pPr>
        <w:pStyle w:val="ListParagraph"/>
        <w:numPr>
          <w:ilvl w:val="0"/>
          <w:numId w:val="2"/>
        </w:numPr>
        <w:spacing w:after="100" w:line="360"/>
      </w:pPr>
      <w:r>
        <w:rPr>
          <w:rFonts w:ascii="Arial" w:cs="Arial" w:eastAsia="Arial" w:hAnsi="Arial"/>
          <w:sz w:val="24"/>
          <w:szCs w:val="24"/>
        </w:rPr>
        <w:t xml:space="preserve">Cell-based screening data (tau isoform ratios, phosphorylation profiles, aggregation burden in FTD patient-derived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RNA-seq and exon-specific qPCR for rapid compound screening of splicing effects (exon 10 inclusion rates)</w:t>
      </w:r>
    </w:p>
    <w:p>
      <w:pPr>
        <w:pStyle w:val="ListParagraph"/>
        <w:numPr>
          <w:ilvl w:val="0"/>
          <w:numId w:val="2"/>
        </w:numPr>
        <w:spacing w:after="100" w:line="360"/>
      </w:pPr>
      <w:r>
        <w:rPr>
          <w:rFonts w:ascii="Arial" w:cs="Arial" w:eastAsia="Arial" w:hAnsi="Arial"/>
          <w:sz w:val="24"/>
          <w:szCs w:val="24"/>
        </w:rPr>
        <w:t xml:space="preserve">High-content imaging for tau isoform-specific burden quantification (isoform-selective antibodies in parallel assays)</w:t>
      </w:r>
    </w:p>
    <w:p>
      <w:pPr>
        <w:pStyle w:val="ListParagraph"/>
        <w:numPr>
          <w:ilvl w:val="0"/>
          <w:numId w:val="2"/>
        </w:numPr>
        <w:spacing w:after="100" w:line="360"/>
      </w:pPr>
      <w:r>
        <w:rPr>
          <w:rFonts w:ascii="Arial" w:cs="Arial" w:eastAsia="Arial" w:hAnsi="Arial"/>
          <w:sz w:val="24"/>
          <w:szCs w:val="24"/>
        </w:rPr>
        <w:t xml:space="preserve">Machine learning splicing modulator ranking engine (predicting compounds that promote 3R or suppress 4R without off-target splicing effects)</w:t>
      </w:r>
    </w:p>
    <w:p>
      <w:pPr>
        <w:pStyle w:val="ListParagraph"/>
        <w:numPr>
          <w:ilvl w:val="0"/>
          <w:numId w:val="2"/>
        </w:numPr>
        <w:spacing w:after="100" w:line="360"/>
      </w:pPr>
      <w:r>
        <w:rPr>
          <w:rFonts w:ascii="Arial" w:cs="Arial" w:eastAsia="Arial" w:hAnsi="Arial"/>
          <w:sz w:val="24"/>
          <w:szCs w:val="24"/>
        </w:rPr>
        <w:t xml:space="preserve">Phosphoproteomics to identify compounds inducing isoform-specific phosphorylation pattern shifts</w:t>
      </w:r>
    </w:p>
    <w:p>
      <w:pPr>
        <w:pStyle w:val="ListParagraph"/>
        <w:numPr>
          <w:ilvl w:val="0"/>
          <w:numId w:val="2"/>
        </w:numPr>
        <w:spacing w:after="100" w:line="360"/>
      </w:pPr>
      <w:r>
        <w:rPr>
          <w:rFonts w:ascii="Arial" w:cs="Arial" w:eastAsia="Arial" w:hAnsi="Arial"/>
          <w:sz w:val="24"/>
          <w:szCs w:val="24"/>
        </w:rPr>
        <w:t xml:space="preserve">Conformer-specific immunoassays for 4R-predominant vs. 3R-predominant tau aggregate detection</w:t>
      </w:r>
    </w:p>
    <w:p>
      <w:pPr>
        <w:pStyle w:val="ListParagraph"/>
        <w:numPr>
          <w:ilvl w:val="0"/>
          <w:numId w:val="2"/>
        </w:numPr>
        <w:spacing w:after="100" w:line="360"/>
      </w:pPr>
      <w:r>
        <w:rPr>
          <w:rFonts w:ascii="Arial" w:cs="Arial" w:eastAsia="Arial" w:hAnsi="Arial"/>
          <w:sz w:val="24"/>
          <w:szCs w:val="24"/>
        </w:rPr>
        <w:t xml:space="preserve">Network medicine approach identifying splicing factors and clearance pathways as antipodal intervention targets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small molecules or ASOs most potently promote 3R tau expression without increasing 4R toxicity?</w:t>
      </w:r>
    </w:p>
    <w:p>
      <w:pPr>
        <w:pStyle w:val="ListParagraph"/>
        <w:numPr>
          <w:ilvl w:val="0"/>
          <w:numId w:val="2"/>
        </w:numPr>
        <w:spacing w:after="100" w:line="360"/>
      </w:pPr>
      <w:r>
        <w:rPr>
          <w:rFonts w:ascii="Arial" w:cs="Arial" w:eastAsia="Arial" w:hAnsi="Arial"/>
          <w:sz w:val="24"/>
          <w:szCs w:val="24"/>
        </w:rPr>
        <w:t xml:space="preserve">What is the relationship between splicing factor (SR protein, QKI) modulation and 4R/3R tau ratio shifts?</w:t>
      </w:r>
    </w:p>
    <w:p>
      <w:pPr>
        <w:pStyle w:val="ListParagraph"/>
        <w:numPr>
          <w:ilvl w:val="0"/>
          <w:numId w:val="2"/>
        </w:numPr>
        <w:spacing w:after="100" w:line="360"/>
      </w:pPr>
      <w:r>
        <w:rPr>
          <w:rFonts w:ascii="Arial" w:cs="Arial" w:eastAsia="Arial" w:hAnsi="Arial"/>
          <w:sz w:val="24"/>
          <w:szCs w:val="24"/>
        </w:rPr>
        <w:t xml:space="preserve">Which compounds selectively inhibit 4R tau aggregation while preserving normal 3R function?</w:t>
      </w:r>
    </w:p>
    <w:p>
      <w:pPr>
        <w:pStyle w:val="ListParagraph"/>
        <w:numPr>
          <w:ilvl w:val="0"/>
          <w:numId w:val="2"/>
        </w:numPr>
        <w:spacing w:after="100" w:line="360"/>
      </w:pPr>
      <w:r>
        <w:rPr>
          <w:rFonts w:ascii="Arial" w:cs="Arial" w:eastAsia="Arial" w:hAnsi="Arial"/>
          <w:sz w:val="24"/>
          <w:szCs w:val="24"/>
        </w:rPr>
        <w:t xml:space="preserve">Do proteasomal vs. autophagy enhancement strategies differentially affect 4R vs. 3R tau clearance?</w:t>
      </w:r>
    </w:p>
    <w:p>
      <w:pPr>
        <w:pStyle w:val="ListParagraph"/>
        <w:numPr>
          <w:ilvl w:val="0"/>
          <w:numId w:val="2"/>
        </w:numPr>
        <w:spacing w:after="100" w:line="360"/>
      </w:pPr>
      <w:r>
        <w:rPr>
          <w:rFonts w:ascii="Arial" w:cs="Arial" w:eastAsia="Arial" w:hAnsi="Arial"/>
          <w:sz w:val="24"/>
          <w:szCs w:val="24"/>
        </w:rPr>
        <w:t xml:space="preserve">What are the top 5-10 antipodal compound pairs with opposite 4R/3R ratio effects but independent neuroprotection?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3R tau promoter compound ranking (fold-increase in 3R expression, 4R/3R ratio reduction magnitude, selectivity)</w:t>
      </w:r>
    </w:p>
    <w:p>
      <w:pPr>
        <w:pStyle w:val="ListParagraph"/>
        <w:numPr>
          <w:ilvl w:val="0"/>
          <w:numId w:val="2"/>
        </w:numPr>
        <w:spacing w:after="100" w:line="360"/>
      </w:pPr>
      <w:r>
        <w:rPr>
          <w:rFonts w:ascii="Arial" w:cs="Arial" w:eastAsia="Arial" w:hAnsi="Arial"/>
          <w:sz w:val="24"/>
          <w:szCs w:val="24"/>
        </w:rPr>
        <w:t xml:space="preserve">4R tau suppressor compound ranking (4R expression reduction, splicing modulation efficacy, isoform selectivity)</w:t>
      </w:r>
    </w:p>
    <w:p>
      <w:pPr>
        <w:pStyle w:val="ListParagraph"/>
        <w:numPr>
          <w:ilvl w:val="0"/>
          <w:numId w:val="2"/>
        </w:numPr>
        <w:spacing w:after="100" w:line="360"/>
      </w:pPr>
      <w:r>
        <w:rPr>
          <w:rFonts w:ascii="Arial" w:cs="Arial" w:eastAsia="Arial" w:hAnsi="Arial"/>
          <w:sz w:val="24"/>
          <w:szCs w:val="24"/>
        </w:rPr>
        <w:t xml:space="preserve">4R aggregation inhibitor library (4R-selective inhibition potency, conformer selectivity, 3R sparing)</w:t>
      </w:r>
    </w:p>
    <w:p>
      <w:pPr>
        <w:pStyle w:val="ListParagraph"/>
        <w:numPr>
          <w:ilvl w:val="0"/>
          <w:numId w:val="2"/>
        </w:numPr>
        <w:spacing w:after="100" w:line="360"/>
      </w:pPr>
      <w:r>
        <w:rPr>
          <w:rFonts w:ascii="Arial" w:cs="Arial" w:eastAsia="Arial" w:hAnsi="Arial"/>
          <w:sz w:val="24"/>
          <w:szCs w:val="24"/>
        </w:rPr>
        <w:t xml:space="preserve">Antipodal compound pair matrix showing mechanistic opposition and complementary 4R/3R ratio effects</w:t>
      </w:r>
    </w:p>
    <w:p>
      <w:pPr>
        <w:pStyle w:val="ListParagraph"/>
        <w:numPr>
          <w:ilvl w:val="0"/>
          <w:numId w:val="2"/>
        </w:numPr>
        <w:spacing w:after="100" w:line="360"/>
      </w:pPr>
      <w:r>
        <w:rPr>
          <w:rFonts w:ascii="Arial" w:cs="Arial" w:eastAsia="Arial" w:hAnsi="Arial"/>
          <w:sz w:val="24"/>
          <w:szCs w:val="24"/>
        </w:rPr>
        <w:t xml:space="preserve">Splicing factor modulation profiles (SRSF1, SR proteins, QKI activity changes per compound)</w:t>
      </w:r>
    </w:p>
    <w:p>
      <w:pPr>
        <w:pStyle w:val="ListParagraph"/>
        <w:numPr>
          <w:ilvl w:val="0"/>
          <w:numId w:val="2"/>
        </w:numPr>
        <w:spacing w:after="100" w:line="360"/>
      </w:pPr>
      <w:r>
        <w:rPr>
          <w:rFonts w:ascii="Arial" w:cs="Arial" w:eastAsia="Arial" w:hAnsi="Arial"/>
          <w:sz w:val="24"/>
          <w:szCs w:val="24"/>
        </w:rPr>
        <w:t xml:space="preserve">Top 15-20 antipodal compounds and pairs recommended for downstream electrophysiological validation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Antipodal tau-modulating compound database with 4R/3R ratio effect sizes, splicing selectivity metrics, aggregation inhibition specificity, and mechanistic opposition scoring</w:t>
      </w:r>
    </w:p>
    <w:p>
      <w:pPr>
        <w:pStyle w:val="Heading2"/>
      </w:pPr>
      <w:r>
        <w:rPr>
          <w:rFonts w:ascii="Arial" w:cs="Arial" w:eastAsia="Arial" w:hAnsi="Arial"/>
          <w:b/>
          <w:bCs/>
          <w:sz w:val="28"/>
          <w:szCs w:val="28"/>
        </w:rPr>
        <w:t xml:space="preserve">Stage 3: Frontotemporal Cortical Network Recovery &amp; Layer-Specific Neuronal Rescue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the ability of antipodal tau-modulating compounds to restore frontotemporal cortical circuit function, prioritizing restoration of layer 2/3 (association cortex connectivity), layer 5 (motor output), and cortical network synchronization disrupted by tau pathology.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30-40 antipodal tau-modulating compounds from Stage 2 (split into 3R promoters and 4R suppressors/inhibitors)</w:t>
      </w:r>
    </w:p>
    <w:p>
      <w:pPr>
        <w:pStyle w:val="ListParagraph"/>
        <w:numPr>
          <w:ilvl w:val="0"/>
          <w:numId w:val="2"/>
        </w:numPr>
        <w:spacing w:after="100" w:line="360"/>
      </w:pPr>
      <w:r>
        <w:rPr>
          <w:rFonts w:ascii="Arial" w:cs="Arial" w:eastAsia="Arial" w:hAnsi="Arial"/>
          <w:sz w:val="24"/>
          <w:szCs w:val="24"/>
        </w:rPr>
        <w:t xml:space="preserve">Multi-electrode array (MEA) and calcium imaging recordings from frontotemporal cortical networks in MAPT-transgenic models</w:t>
      </w:r>
    </w:p>
    <w:p>
      <w:pPr>
        <w:pStyle w:val="ListParagraph"/>
        <w:numPr>
          <w:ilvl w:val="0"/>
          <w:numId w:val="2"/>
        </w:numPr>
        <w:spacing w:after="100" w:line="360"/>
      </w:pPr>
      <w:r>
        <w:rPr>
          <w:rFonts w:ascii="Arial" w:cs="Arial" w:eastAsia="Arial" w:hAnsi="Arial"/>
          <w:sz w:val="24"/>
          <w:szCs w:val="24"/>
        </w:rPr>
        <w:t xml:space="preserve">Layer-specific intrinsic properties (L2/3 pyramidal bursting, L5 thick-tufted regular-spiking neurons, layer-dependent inhibition)</w:t>
      </w:r>
    </w:p>
    <w:p>
      <w:pPr>
        <w:pStyle w:val="ListParagraph"/>
        <w:numPr>
          <w:ilvl w:val="0"/>
          <w:numId w:val="2"/>
        </w:numPr>
        <w:spacing w:after="100" w:line="360"/>
      </w:pPr>
      <w:r>
        <w:rPr>
          <w:rFonts w:ascii="Arial" w:cs="Arial" w:eastAsia="Arial" w:hAnsi="Arial"/>
          <w:sz w:val="24"/>
          <w:szCs w:val="24"/>
        </w:rPr>
        <w:t xml:space="preserve">Cortical network connectivity metrics (L2/3-L5 feedforward connectivity, L5-L1 feedback inhibition)</w:t>
      </w:r>
    </w:p>
    <w:p>
      <w:pPr>
        <w:pStyle w:val="ListParagraph"/>
        <w:numPr>
          <w:ilvl w:val="0"/>
          <w:numId w:val="2"/>
        </w:numPr>
        <w:spacing w:after="100" w:line="360"/>
      </w:pPr>
      <w:r>
        <w:rPr>
          <w:rFonts w:ascii="Arial" w:cs="Arial" w:eastAsia="Arial" w:hAnsi="Arial"/>
          <w:sz w:val="24"/>
          <w:szCs w:val="24"/>
        </w:rPr>
        <w:t xml:space="preserve">Tau burden and phosphorylation state in recorded neurons (post-hoc immunochemistry or reporter transgenes)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with layer-specific electrode positioning for frontotemporal cortical recording</w:t>
      </w:r>
    </w:p>
    <w:p>
      <w:pPr>
        <w:pStyle w:val="ListParagraph"/>
        <w:numPr>
          <w:ilvl w:val="0"/>
          <w:numId w:val="2"/>
        </w:numPr>
        <w:spacing w:after="100" w:line="360"/>
      </w:pPr>
      <w:r>
        <w:rPr>
          <w:rFonts w:ascii="Arial" w:cs="Arial" w:eastAsia="Arial" w:hAnsi="Arial"/>
          <w:sz w:val="24"/>
          <w:szCs w:val="24"/>
        </w:rPr>
        <w:t xml:space="preserve">Calcium imaging in layer-specific neuronal populations with genetic or viral tools (layer-selective promoters, Cre-dependent indicators)</w:t>
      </w:r>
    </w:p>
    <w:p>
      <w:pPr>
        <w:pStyle w:val="ListParagraph"/>
        <w:numPr>
          <w:ilvl w:val="0"/>
          <w:numId w:val="2"/>
        </w:numPr>
        <w:spacing w:after="100" w:line="360"/>
      </w:pPr>
      <w:r>
        <w:rPr>
          <w:rFonts w:ascii="Arial" w:cs="Arial" w:eastAsia="Arial" w:hAnsi="Arial"/>
          <w:sz w:val="24"/>
          <w:szCs w:val="24"/>
        </w:rPr>
        <w:t xml:space="preserve">Spike sorting and burst detection optimized for layer-specific firing patterns</w:t>
      </w:r>
    </w:p>
    <w:p>
      <w:pPr>
        <w:pStyle w:val="ListParagraph"/>
        <w:numPr>
          <w:ilvl w:val="0"/>
          <w:numId w:val="2"/>
        </w:numPr>
        <w:spacing w:after="100" w:line="360"/>
      </w:pPr>
      <w:r>
        <w:rPr>
          <w:rFonts w:ascii="Arial" w:cs="Arial" w:eastAsia="Arial" w:hAnsi="Arial"/>
          <w:sz w:val="24"/>
          <w:szCs w:val="24"/>
        </w:rPr>
        <w:t xml:space="preserve">Graph theory network analysis for cortical layer connectivity and information flow quantification</w:t>
      </w:r>
    </w:p>
    <w:p>
      <w:pPr>
        <w:pStyle w:val="ListParagraph"/>
        <w:numPr>
          <w:ilvl w:val="0"/>
          <w:numId w:val="2"/>
        </w:numPr>
        <w:spacing w:after="100" w:line="360"/>
      </w:pPr>
      <w:r>
        <w:rPr>
          <w:rFonts w:ascii="Arial" w:cs="Arial" w:eastAsia="Arial" w:hAnsi="Arial"/>
          <w:sz w:val="24"/>
          <w:szCs w:val="24"/>
        </w:rPr>
        <w:t xml:space="preserve">Machine learning classifier for tau burden-to-network-dysfunction correlation and antipodal drug efficacy ranking</w:t>
      </w:r>
    </w:p>
    <w:p>
      <w:pPr>
        <w:pStyle w:val="ListParagraph"/>
        <w:numPr>
          <w:ilvl w:val="0"/>
          <w:numId w:val="2"/>
        </w:numPr>
        <w:spacing w:after="100" w:line="360"/>
      </w:pPr>
      <w:r>
        <w:rPr>
          <w:rFonts w:ascii="Arial" w:cs="Arial" w:eastAsia="Arial" w:hAnsi="Arial"/>
          <w:sz w:val="24"/>
          <w:szCs w:val="24"/>
        </w:rPr>
        <w:t xml:space="preserve">High-resolution confocal imaging correlating tau pathology location (axon initial segment, dendritic spines, soma) to neuronal dysfunction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3R tau-promoting compounds vs. 4R aggregation inhibitors show equivalent effectiveness in restoring cortical network synchronization?</w:t>
      </w:r>
    </w:p>
    <w:p>
      <w:pPr>
        <w:pStyle w:val="ListParagraph"/>
        <w:numPr>
          <w:ilvl w:val="0"/>
          <w:numId w:val="2"/>
        </w:numPr>
        <w:spacing w:after="100" w:line="360"/>
      </w:pPr>
      <w:r>
        <w:rPr>
          <w:rFonts w:ascii="Arial" w:cs="Arial" w:eastAsia="Arial" w:hAnsi="Arial"/>
          <w:sz w:val="24"/>
          <w:szCs w:val="24"/>
        </w:rPr>
        <w:t xml:space="preserve">Which layer-specific neuronal properties (L2/3 bursting, L5 firing rate) most sensitively respond to antipodal tau modulation?</w:t>
      </w:r>
    </w:p>
    <w:p>
      <w:pPr>
        <w:pStyle w:val="ListParagraph"/>
        <w:numPr>
          <w:ilvl w:val="0"/>
          <w:numId w:val="2"/>
        </w:numPr>
        <w:spacing w:after="100" w:line="360"/>
      </w:pPr>
      <w:r>
        <w:rPr>
          <w:rFonts w:ascii="Arial" w:cs="Arial" w:eastAsia="Arial" w:hAnsi="Arial"/>
          <w:sz w:val="24"/>
          <w:szCs w:val="24"/>
        </w:rPr>
        <w:t xml:space="preserve">What is the relationship between tau clearance kinetics and cortical network recovery timelines for each antipodal compound?</w:t>
      </w:r>
    </w:p>
    <w:p>
      <w:pPr>
        <w:pStyle w:val="ListParagraph"/>
        <w:numPr>
          <w:ilvl w:val="0"/>
          <w:numId w:val="2"/>
        </w:numPr>
        <w:spacing w:after="100" w:line="360"/>
      </w:pPr>
      <w:r>
        <w:rPr>
          <w:rFonts w:ascii="Arial" w:cs="Arial" w:eastAsia="Arial" w:hAnsi="Arial"/>
          <w:sz w:val="24"/>
          <w:szCs w:val="24"/>
        </w:rPr>
        <w:t xml:space="preserve">Do 3R promoters and 4R suppressors complement each other in restoring layer-dependent cortical circuit connectivity?</w:t>
      </w:r>
    </w:p>
    <w:p>
      <w:pPr>
        <w:pStyle w:val="ListParagraph"/>
        <w:numPr>
          <w:ilvl w:val="0"/>
          <w:numId w:val="2"/>
        </w:numPr>
        <w:spacing w:after="100" w:line="360"/>
      </w:pPr>
      <w:r>
        <w:rPr>
          <w:rFonts w:ascii="Arial" w:cs="Arial" w:eastAsia="Arial" w:hAnsi="Arial"/>
          <w:sz w:val="24"/>
          <w:szCs w:val="24"/>
        </w:rPr>
        <w:t xml:space="preserve">Which antipodal pair provides most comprehensive cortical network repair (layer 2/3 + layer 5 + network synchronization)?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Antipodal compound cortical network recovery ranking table (layer-specific neuron firing restoration, network synchronization metrics)</w:t>
      </w:r>
    </w:p>
    <w:p>
      <w:pPr>
        <w:pStyle w:val="ListParagraph"/>
        <w:numPr>
          <w:ilvl w:val="0"/>
          <w:numId w:val="2"/>
        </w:numPr>
        <w:spacing w:after="100" w:line="360"/>
      </w:pPr>
      <w:r>
        <w:rPr>
          <w:rFonts w:ascii="Arial" w:cs="Arial" w:eastAsia="Arial" w:hAnsi="Arial"/>
          <w:sz w:val="24"/>
          <w:szCs w:val="24"/>
        </w:rPr>
        <w:t xml:space="preserve">Layer 2/3 pyramidal neuron intrinsic property recovery profiles (bursting frequency, input resistance, action potential properties)</w:t>
      </w:r>
    </w:p>
    <w:p>
      <w:pPr>
        <w:pStyle w:val="ListParagraph"/>
        <w:numPr>
          <w:ilvl w:val="0"/>
          <w:numId w:val="2"/>
        </w:numPr>
        <w:spacing w:after="100" w:line="360"/>
      </w:pPr>
      <w:r>
        <w:rPr>
          <w:rFonts w:ascii="Arial" w:cs="Arial" w:eastAsia="Arial" w:hAnsi="Arial"/>
          <w:sz w:val="24"/>
          <w:szCs w:val="24"/>
        </w:rPr>
        <w:t xml:space="preserve">Layer 5 thick-tufted neuron firing rate normalization and regular-spiking pattern restoration</w:t>
      </w:r>
    </w:p>
    <w:p>
      <w:pPr>
        <w:pStyle w:val="ListParagraph"/>
        <w:numPr>
          <w:ilvl w:val="0"/>
          <w:numId w:val="2"/>
        </w:numPr>
        <w:spacing w:after="100" w:line="360"/>
      </w:pPr>
      <w:r>
        <w:rPr>
          <w:rFonts w:ascii="Arial" w:cs="Arial" w:eastAsia="Arial" w:hAnsi="Arial"/>
          <w:sz w:val="24"/>
          <w:szCs w:val="24"/>
        </w:rPr>
        <w:t xml:space="preserve">Cortical layer connectivity recovery metrics (L2/3-L5 feedforward, L5-L1 feedback inhibition strength)</w:t>
      </w:r>
    </w:p>
    <w:p>
      <w:pPr>
        <w:pStyle w:val="ListParagraph"/>
        <w:numPr>
          <w:ilvl w:val="0"/>
          <w:numId w:val="2"/>
        </w:numPr>
        <w:spacing w:after="100" w:line="360"/>
      </w:pPr>
      <w:r>
        <w:rPr>
          <w:rFonts w:ascii="Arial" w:cs="Arial" w:eastAsia="Arial" w:hAnsi="Arial"/>
          <w:sz w:val="24"/>
          <w:szCs w:val="24"/>
        </w:rPr>
        <w:t xml:space="preserve">Network synchronization indices (gamma oscillation power, theta-gamma coupling, spike-field coherence restoration)</w:t>
      </w:r>
    </w:p>
    <w:p>
      <w:pPr>
        <w:pStyle w:val="ListParagraph"/>
        <w:numPr>
          <w:ilvl w:val="0"/>
          <w:numId w:val="2"/>
        </w:numPr>
        <w:spacing w:after="100" w:line="360"/>
      </w:pPr>
      <w:r>
        <w:rPr>
          <w:rFonts w:ascii="Arial" w:cs="Arial" w:eastAsia="Arial" w:hAnsi="Arial"/>
          <w:sz w:val="24"/>
          <w:szCs w:val="24"/>
        </w:rPr>
        <w:t xml:space="preserve">Antipodal pair synergy assessment (3R promoter + 4R inhibitor combined effects on cortical circuit repair)</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Layer-specific cortical network recovery matrix with intrinsic property restoration scores, connectivity metrics, and antipodal pair synergy indices</w:t>
      </w:r>
    </w:p>
    <w:p>
      <w:pPr>
        <w:pStyle w:val="Heading2"/>
      </w:pPr>
      <w:r>
        <w:rPr>
          <w:rFonts w:ascii="Arial" w:cs="Arial" w:eastAsia="Arial" w:hAnsi="Arial"/>
          <w:b/>
          <w:bCs/>
          <w:sz w:val="28"/>
          <w:szCs w:val="28"/>
        </w:rPr>
        <w:t xml:space="preserve">Stage 4: Antipodal Compound Mechanistic Validation &amp; Tau Isoform-Specific Pathway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Rigorously validate the mechanistic opposition of antipodal compound pairs, confirming that each independently rescues FTD-related tau pathology and neuronal dysfunction through distinct pathways (isoform modulation vs. aggregation inhibition vs. clearance enhancement).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5-10 antipodal compound pairs from Stage 3 with validated cortical network recovery</w:t>
      </w:r>
    </w:p>
    <w:p>
      <w:pPr>
        <w:pStyle w:val="ListParagraph"/>
        <w:numPr>
          <w:ilvl w:val="0"/>
          <w:numId w:val="2"/>
        </w:numPr>
        <w:spacing w:after="100" w:line="360"/>
      </w:pPr>
      <w:r>
        <w:rPr>
          <w:rFonts w:ascii="Arial" w:cs="Arial" w:eastAsia="Arial" w:hAnsi="Arial"/>
          <w:sz w:val="24"/>
          <w:szCs w:val="24"/>
        </w:rPr>
        <w:t xml:space="preserve">Detailed tau pathway modulation data (splicing changes, phosphorylation status, aggregation kinetics, clearance rates for each compound)</w:t>
      </w:r>
    </w:p>
    <w:p>
      <w:pPr>
        <w:pStyle w:val="ListParagraph"/>
        <w:numPr>
          <w:ilvl w:val="0"/>
          <w:numId w:val="2"/>
        </w:numPr>
        <w:spacing w:after="100" w:line="360"/>
      </w:pPr>
      <w:r>
        <w:rPr>
          <w:rFonts w:ascii="Arial" w:cs="Arial" w:eastAsia="Arial" w:hAnsi="Arial"/>
          <w:sz w:val="24"/>
          <w:szCs w:val="24"/>
        </w:rPr>
        <w:t xml:space="preserve">Mechanistic biomarkers distinguishing pathways (4R-specific epitope levels, 3R expression changes, phospho-tau species abundance)</w:t>
      </w:r>
    </w:p>
    <w:p>
      <w:pPr>
        <w:pStyle w:val="ListParagraph"/>
        <w:numPr>
          <w:ilvl w:val="0"/>
          <w:numId w:val="2"/>
        </w:numPr>
        <w:spacing w:after="100" w:line="360"/>
      </w:pPr>
      <w:r>
        <w:rPr>
          <w:rFonts w:ascii="Arial" w:cs="Arial" w:eastAsia="Arial" w:hAnsi="Arial"/>
          <w:sz w:val="24"/>
          <w:szCs w:val="24"/>
        </w:rPr>
        <w:t xml:space="preserve">Off-target pathway analysis (effects on other RNA splicing, non-tau protein aggregation, autophagy/proteasome flux independent of tau)</w:t>
      </w:r>
    </w:p>
    <w:p>
      <w:pPr>
        <w:pStyle w:val="ListParagraph"/>
        <w:numPr>
          <w:ilvl w:val="0"/>
          <w:numId w:val="2"/>
        </w:numPr>
        <w:spacing w:after="100" w:line="360"/>
      </w:pPr>
      <w:r>
        <w:rPr>
          <w:rFonts w:ascii="Arial" w:cs="Arial" w:eastAsia="Arial" w:hAnsi="Arial"/>
          <w:sz w:val="24"/>
          <w:szCs w:val="24"/>
        </w:rPr>
        <w:t xml:space="preserve">Functional validation in isogenic backgrounds (comparing 4R/3R effects in 4R-only vs. 3R-only tau-expressing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Quantitative tau isoform mass spectrometry (isotope-labeled internal standards for absolute quantification)</w:t>
      </w:r>
    </w:p>
    <w:p>
      <w:pPr>
        <w:pStyle w:val="ListParagraph"/>
        <w:numPr>
          <w:ilvl w:val="0"/>
          <w:numId w:val="2"/>
        </w:numPr>
        <w:spacing w:after="100" w:line="360"/>
      </w:pPr>
      <w:r>
        <w:rPr>
          <w:rFonts w:ascii="Arial" w:cs="Arial" w:eastAsia="Arial" w:hAnsi="Arial"/>
          <w:sz w:val="24"/>
          <w:szCs w:val="24"/>
        </w:rPr>
        <w:t xml:space="preserve">Phosphoproteomics profiling for isoform-specific kinase substrate site changes</w:t>
      </w:r>
    </w:p>
    <w:p>
      <w:pPr>
        <w:pStyle w:val="ListParagraph"/>
        <w:numPr>
          <w:ilvl w:val="0"/>
          <w:numId w:val="2"/>
        </w:numPr>
        <w:spacing w:after="100" w:line="360"/>
      </w:pPr>
      <w:r>
        <w:rPr>
          <w:rFonts w:ascii="Arial" w:cs="Arial" w:eastAsia="Arial" w:hAnsi="Arial"/>
          <w:sz w:val="24"/>
          <w:szCs w:val="24"/>
        </w:rPr>
        <w:t xml:space="preserve">In vitro tau aggregation with isoform-specific kinetic analysis (lag phase, elongation rate, plateau level)</w:t>
      </w:r>
    </w:p>
    <w:p>
      <w:pPr>
        <w:pStyle w:val="ListParagraph"/>
        <w:numPr>
          <w:ilvl w:val="0"/>
          <w:numId w:val="2"/>
        </w:numPr>
        <w:spacing w:after="100" w:line="360"/>
      </w:pPr>
      <w:r>
        <w:rPr>
          <w:rFonts w:ascii="Arial" w:cs="Arial" w:eastAsia="Arial" w:hAnsi="Arial"/>
          <w:sz w:val="24"/>
          <w:szCs w:val="24"/>
        </w:rPr>
        <w:t xml:space="preserve">RNA-seq and RNA-binding protein immunoprecipitation for splicing mechanism validation</w:t>
      </w:r>
    </w:p>
    <w:p>
      <w:pPr>
        <w:pStyle w:val="ListParagraph"/>
        <w:numPr>
          <w:ilvl w:val="0"/>
          <w:numId w:val="2"/>
        </w:numPr>
        <w:spacing w:after="100" w:line="360"/>
      </w:pPr>
      <w:r>
        <w:rPr>
          <w:rFonts w:ascii="Arial" w:cs="Arial" w:eastAsia="Arial" w:hAnsi="Arial"/>
          <w:sz w:val="24"/>
          <w:szCs w:val="24"/>
        </w:rPr>
        <w:t xml:space="preserve">Autophagy flux assays (mCherry-GFP-LC3) and proteasomal activity (proteasome-GFP reporter) segregated by tau isoform</w:t>
      </w:r>
    </w:p>
    <w:p>
      <w:pPr>
        <w:pStyle w:val="ListParagraph"/>
        <w:numPr>
          <w:ilvl w:val="0"/>
          <w:numId w:val="2"/>
        </w:numPr>
        <w:spacing w:after="100" w:line="360"/>
      </w:pPr>
      <w:r>
        <w:rPr>
          <w:rFonts w:ascii="Arial" w:cs="Arial" w:eastAsia="Arial" w:hAnsi="Arial"/>
          <w:sz w:val="24"/>
          <w:szCs w:val="24"/>
        </w:rPr>
        <w:t xml:space="preserve">Isogenic neuronal models expressing only 4R or only 3R tau to validate isoform-specific compound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3R promoters act through splicing modulation while 4R suppressors act through aggregation inhibition, or vice versa?</w:t>
      </w:r>
    </w:p>
    <w:p>
      <w:pPr>
        <w:pStyle w:val="ListParagraph"/>
        <w:numPr>
          <w:ilvl w:val="0"/>
          <w:numId w:val="2"/>
        </w:numPr>
        <w:spacing w:after="100" w:line="360"/>
      </w:pPr>
      <w:r>
        <w:rPr>
          <w:rFonts w:ascii="Arial" w:cs="Arial" w:eastAsia="Arial" w:hAnsi="Arial"/>
          <w:sz w:val="24"/>
          <w:szCs w:val="24"/>
        </w:rPr>
        <w:t xml:space="preserve">What off-target splicing effects or clearance pathway alterations occur with lead antipodal compounds?</w:t>
      </w:r>
    </w:p>
    <w:p>
      <w:pPr>
        <w:pStyle w:val="ListParagraph"/>
        <w:numPr>
          <w:ilvl w:val="0"/>
          <w:numId w:val="2"/>
        </w:numPr>
        <w:spacing w:after="100" w:line="360"/>
      </w:pPr>
      <w:r>
        <w:rPr>
          <w:rFonts w:ascii="Arial" w:cs="Arial" w:eastAsia="Arial" w:hAnsi="Arial"/>
          <w:sz w:val="24"/>
          <w:szCs w:val="24"/>
        </w:rPr>
        <w:t xml:space="preserve">Can antipodal compounds rescue tau pathology in isogenic 4R-only or 3R-only tau backgrounds?</w:t>
      </w:r>
    </w:p>
    <w:p>
      <w:pPr>
        <w:pStyle w:val="ListParagraph"/>
        <w:numPr>
          <w:ilvl w:val="0"/>
          <w:numId w:val="2"/>
        </w:numPr>
        <w:spacing w:after="100" w:line="360"/>
      </w:pPr>
      <w:r>
        <w:rPr>
          <w:rFonts w:ascii="Arial" w:cs="Arial" w:eastAsia="Arial" w:hAnsi="Arial"/>
          <w:sz w:val="24"/>
          <w:szCs w:val="24"/>
        </w:rPr>
        <w:t xml:space="preserve">Which phosphorylation sites show isoform-specific changes with antipodal compound treatment?</w:t>
      </w:r>
    </w:p>
    <w:p>
      <w:pPr>
        <w:pStyle w:val="ListParagraph"/>
        <w:numPr>
          <w:ilvl w:val="0"/>
          <w:numId w:val="2"/>
        </w:numPr>
        <w:spacing w:after="100" w:line="360"/>
      </w:pPr>
      <w:r>
        <w:rPr>
          <w:rFonts w:ascii="Arial" w:cs="Arial" w:eastAsia="Arial" w:hAnsi="Arial"/>
          <w:sz w:val="24"/>
          <w:szCs w:val="24"/>
        </w:rPr>
        <w:t xml:space="preserve">Do antipodal compounds activate autophagy vs. proteasome pathways in isoform-dependent ways?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Mechanistic validation report confirming antipodal compound pathway opposition (isoform modulation, aggregation inhibition, clearance enhancement)</w:t>
      </w:r>
    </w:p>
    <w:p>
      <w:pPr>
        <w:pStyle w:val="ListParagraph"/>
        <w:numPr>
          <w:ilvl w:val="0"/>
          <w:numId w:val="2"/>
        </w:numPr>
        <w:spacing w:after="100" w:line="360"/>
      </w:pPr>
      <w:r>
        <w:rPr>
          <w:rFonts w:ascii="Arial" w:cs="Arial" w:eastAsia="Arial" w:hAnsi="Arial"/>
          <w:sz w:val="24"/>
          <w:szCs w:val="24"/>
        </w:rPr>
        <w:t xml:space="preserve">Tau isoform-specific biomarker changes (4R protein levels, 3R protein levels, phospho-tau epitope ratios)</w:t>
      </w:r>
    </w:p>
    <w:p>
      <w:pPr>
        <w:pStyle w:val="ListParagraph"/>
        <w:numPr>
          <w:ilvl w:val="0"/>
          <w:numId w:val="2"/>
        </w:numPr>
        <w:spacing w:after="100" w:line="360"/>
      </w:pPr>
      <w:r>
        <w:rPr>
          <w:rFonts w:ascii="Arial" w:cs="Arial" w:eastAsia="Arial" w:hAnsi="Arial"/>
          <w:sz w:val="24"/>
          <w:szCs w:val="24"/>
        </w:rPr>
        <w:t xml:space="preserve">Isoform-specific aggregation kinetics (4R vs. 3R fibril formation rates, seeding properties per compound)</w:t>
      </w:r>
    </w:p>
    <w:p>
      <w:pPr>
        <w:pStyle w:val="ListParagraph"/>
        <w:numPr>
          <w:ilvl w:val="0"/>
          <w:numId w:val="2"/>
        </w:numPr>
        <w:spacing w:after="100" w:line="360"/>
      </w:pPr>
      <w:r>
        <w:rPr>
          <w:rFonts w:ascii="Arial" w:cs="Arial" w:eastAsia="Arial" w:hAnsi="Arial"/>
          <w:sz w:val="24"/>
          <w:szCs w:val="24"/>
        </w:rPr>
        <w:t xml:space="preserve">Autophagy vs. proteasome selectivity profiles (isoform-dependent pathway activation)</w:t>
      </w:r>
    </w:p>
    <w:p>
      <w:pPr>
        <w:pStyle w:val="ListParagraph"/>
        <w:numPr>
          <w:ilvl w:val="0"/>
          <w:numId w:val="2"/>
        </w:numPr>
        <w:spacing w:after="100" w:line="360"/>
      </w:pPr>
      <w:r>
        <w:rPr>
          <w:rFonts w:ascii="Arial" w:cs="Arial" w:eastAsia="Arial" w:hAnsi="Arial"/>
          <w:sz w:val="24"/>
          <w:szCs w:val="24"/>
        </w:rPr>
        <w:t xml:space="preserve">Off-target pathway assessment (splicing selectivity, global autophagy/proteasome effects independent of tau)</w:t>
      </w:r>
    </w:p>
    <w:p>
      <w:pPr>
        <w:pStyle w:val="ListParagraph"/>
        <w:numPr>
          <w:ilvl w:val="0"/>
          <w:numId w:val="2"/>
        </w:numPr>
        <w:spacing w:after="100" w:line="360"/>
      </w:pPr>
      <w:r>
        <w:rPr>
          <w:rFonts w:ascii="Arial" w:cs="Arial" w:eastAsia="Arial" w:hAnsi="Arial"/>
          <w:sz w:val="24"/>
          <w:szCs w:val="24"/>
        </w:rPr>
        <w:t xml:space="preserve">Validated antipodal compound mechanism-of-action profiles enabling rational combination therapy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Mechanistic validation dossier with isoform-specific biomarker changes, aggregation kinetics, clearance pathway selectivity, and off-target pathway assessment</w:t>
      </w:r>
    </w:p>
    <w:p>
      <w:pPr>
        <w:pStyle w:val="Heading2"/>
      </w:pPr>
      <w:r>
        <w:rPr>
          <w:rFonts w:ascii="Arial" w:cs="Arial" w:eastAsia="Arial" w:hAnsi="Arial"/>
          <w:b/>
          <w:bCs/>
          <w:sz w:val="28"/>
          <w:szCs w:val="28"/>
        </w:rPr>
        <w:t xml:space="preserve">Stage 5: Biomarker-Guided Antipodal Pairing &amp; Clinical Trial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circulating and imaging biomarkers to validate antipodal compound pairing, optimize dosing sequences, and establish biomarker-enriched clinical trial designs for synergistic antipodal FTD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antipodal compound pairs with validated mechanistic opposition and cortical network recovery from Stage 4</w:t>
      </w:r>
    </w:p>
    <w:p>
      <w:pPr>
        <w:pStyle w:val="ListParagraph"/>
        <w:numPr>
          <w:ilvl w:val="0"/>
          <w:numId w:val="2"/>
        </w:numPr>
        <w:spacing w:after="100" w:line="360"/>
      </w:pPr>
      <w:r>
        <w:rPr>
          <w:rFonts w:ascii="Arial" w:cs="Arial" w:eastAsia="Arial" w:hAnsi="Arial"/>
          <w:sz w:val="24"/>
          <w:szCs w:val="24"/>
        </w:rPr>
        <w:t xml:space="preserve">FTD-specific circulating biomarkers (plasma p-tau181, p-tau217, tau isoform ratios, phospho-GRN, neurofilament light chain)</w:t>
      </w:r>
    </w:p>
    <w:p>
      <w:pPr>
        <w:pStyle w:val="ListParagraph"/>
        <w:numPr>
          <w:ilvl w:val="0"/>
          <w:numId w:val="2"/>
        </w:numPr>
        <w:spacing w:after="100" w:line="360"/>
      </w:pPr>
      <w:r>
        <w:rPr>
          <w:rFonts w:ascii="Arial" w:cs="Arial" w:eastAsia="Arial" w:hAnsi="Arial"/>
          <w:sz w:val="24"/>
          <w:szCs w:val="24"/>
        </w:rPr>
        <w:t xml:space="preserve">CSF biomarkers (CSF p-tau, p-tau/total tau ratio, tau isoform ratios, markers of neurodegeneration)</w:t>
      </w:r>
    </w:p>
    <w:p>
      <w:pPr>
        <w:pStyle w:val="ListParagraph"/>
        <w:numPr>
          <w:ilvl w:val="0"/>
          <w:numId w:val="2"/>
        </w:numPr>
        <w:spacing w:after="100" w:line="360"/>
      </w:pPr>
      <w:r>
        <w:rPr>
          <w:rFonts w:ascii="Arial" w:cs="Arial" w:eastAsia="Arial" w:hAnsi="Arial"/>
          <w:sz w:val="24"/>
          <w:szCs w:val="24"/>
        </w:rPr>
        <w:t xml:space="preserve">Neuroimaging biomarkers (frontotemporal cortical atrophy on MRI, FDG-PET hypometabolism patterns, tau PET tracer uptake)</w:t>
      </w:r>
    </w:p>
    <w:p>
      <w:pPr>
        <w:pStyle w:val="ListParagraph"/>
        <w:numPr>
          <w:ilvl w:val="0"/>
          <w:numId w:val="2"/>
        </w:numPr>
        <w:spacing w:after="100" w:line="360"/>
      </w:pPr>
      <w:r>
        <w:rPr>
          <w:rFonts w:ascii="Arial" w:cs="Arial" w:eastAsia="Arial" w:hAnsi="Arial"/>
          <w:sz w:val="24"/>
          <w:szCs w:val="24"/>
        </w:rPr>
        <w:t xml:space="preserve">Patient-derived iPSC neurons and organoids showing MAPT mutation-specific 4R/3R imbalance and antipodal compound responses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Biomarker-phenotype correlation engine linking tau isoform changes to circulating biomarker shifts</w:t>
      </w:r>
    </w:p>
    <w:p>
      <w:pPr>
        <w:pStyle w:val="ListParagraph"/>
        <w:numPr>
          <w:ilvl w:val="0"/>
          <w:numId w:val="2"/>
        </w:numPr>
        <w:spacing w:after="100" w:line="360"/>
      </w:pPr>
      <w:r>
        <w:rPr>
          <w:rFonts w:ascii="Arial" w:cs="Arial" w:eastAsia="Arial" w:hAnsi="Arial"/>
          <w:sz w:val="24"/>
          <w:szCs w:val="24"/>
        </w:rPr>
        <w:t xml:space="preserve">Plasma phospho-tau mass spectrometry for isoform-specific and phosphorylation-site-specific quantification</w:t>
      </w:r>
    </w:p>
    <w:p>
      <w:pPr>
        <w:pStyle w:val="ListParagraph"/>
        <w:numPr>
          <w:ilvl w:val="0"/>
          <w:numId w:val="2"/>
        </w:numPr>
        <w:spacing w:after="100" w:line="360"/>
      </w:pPr>
      <w:r>
        <w:rPr>
          <w:rFonts w:ascii="Arial" w:cs="Arial" w:eastAsia="Arial" w:hAnsi="Arial"/>
          <w:sz w:val="24"/>
          <w:szCs w:val="24"/>
        </w:rPr>
        <w:t xml:space="preserve">Tau seeding activity assays (induced pluripotent stem cell bioassay) for isoform-specific seeding potential</w:t>
      </w:r>
    </w:p>
    <w:p>
      <w:pPr>
        <w:pStyle w:val="ListParagraph"/>
        <w:numPr>
          <w:ilvl w:val="0"/>
          <w:numId w:val="2"/>
        </w:numPr>
        <w:spacing w:after="100" w:line="360"/>
      </w:pPr>
      <w:r>
        <w:rPr>
          <w:rFonts w:ascii="Arial" w:cs="Arial" w:eastAsia="Arial" w:hAnsi="Arial"/>
          <w:sz w:val="24"/>
          <w:szCs w:val="24"/>
        </w:rPr>
        <w:t xml:space="preserve">Neuroimaging analysis (MRI cortical thickness change, FDG-PET uptake recovery, tau PET reduction prediction)</w:t>
      </w:r>
    </w:p>
    <w:p>
      <w:pPr>
        <w:pStyle w:val="ListParagraph"/>
        <w:numPr>
          <w:ilvl w:val="0"/>
          <w:numId w:val="2"/>
        </w:numPr>
        <w:spacing w:after="100" w:line="360"/>
      </w:pPr>
      <w:r>
        <w:rPr>
          <w:rFonts w:ascii="Arial" w:cs="Arial" w:eastAsia="Arial" w:hAnsi="Arial"/>
          <w:sz w:val="24"/>
          <w:szCs w:val="24"/>
        </w:rPr>
        <w:t xml:space="preserve">Machine learning clinical trial readiness classifier (biomarker predictivity, effect size translation)</w:t>
      </w:r>
    </w:p>
    <w:p>
      <w:pPr>
        <w:pStyle w:val="ListParagraph"/>
        <w:numPr>
          <w:ilvl w:val="0"/>
          <w:numId w:val="2"/>
        </w:numPr>
        <w:spacing w:after="100" w:line="360"/>
      </w:pPr>
      <w:r>
        <w:rPr>
          <w:rFonts w:ascii="Arial" w:cs="Arial" w:eastAsia="Arial" w:hAnsi="Arial"/>
          <w:sz w:val="24"/>
          <w:szCs w:val="24"/>
        </w:rPr>
        <w:t xml:space="preserve">Adaptive trial design optimizer (enrichment strategy, combination sequence optimization, endpoint selection)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plasma 4R/3R tau ratios predict clinical response to antipodal compound pairs?</w:t>
      </w:r>
    </w:p>
    <w:p>
      <w:pPr>
        <w:pStyle w:val="ListParagraph"/>
        <w:numPr>
          <w:ilvl w:val="0"/>
          <w:numId w:val="2"/>
        </w:numPr>
        <w:spacing w:after="100" w:line="360"/>
      </w:pPr>
      <w:r>
        <w:rPr>
          <w:rFonts w:ascii="Arial" w:cs="Arial" w:eastAsia="Arial" w:hAnsi="Arial"/>
          <w:sz w:val="24"/>
          <w:szCs w:val="24"/>
        </w:rPr>
        <w:t xml:space="preserve">Which biomarkers best capture tau isoform rebalancing vs. network recovery?</w:t>
      </w:r>
    </w:p>
    <w:p>
      <w:pPr>
        <w:pStyle w:val="ListParagraph"/>
        <w:numPr>
          <w:ilvl w:val="0"/>
          <w:numId w:val="2"/>
        </w:numPr>
        <w:spacing w:after="100" w:line="360"/>
      </w:pPr>
      <w:r>
        <w:rPr>
          <w:rFonts w:ascii="Arial" w:cs="Arial" w:eastAsia="Arial" w:hAnsi="Arial"/>
          <w:sz w:val="24"/>
          <w:szCs w:val="24"/>
        </w:rPr>
        <w:t xml:space="preserve">What is the optimal dosing sequence (simultaneous vs. sequential antipodal compound administration)?</w:t>
      </w:r>
    </w:p>
    <w:p>
      <w:pPr>
        <w:pStyle w:val="ListParagraph"/>
        <w:numPr>
          <w:ilvl w:val="0"/>
          <w:numId w:val="2"/>
        </w:numPr>
        <w:spacing w:after="100" w:line="360"/>
      </w:pPr>
      <w:r>
        <w:rPr>
          <w:rFonts w:ascii="Arial" w:cs="Arial" w:eastAsia="Arial" w:hAnsi="Arial"/>
          <w:sz w:val="24"/>
          <w:szCs w:val="24"/>
        </w:rPr>
        <w:t xml:space="preserve">How rapidly can antipodal compound efficacy be assessed (acute tau isoform shifts vs. chronic biomarker accumulation)?</w:t>
      </w:r>
    </w:p>
    <w:p>
      <w:pPr>
        <w:pStyle w:val="ListParagraph"/>
        <w:numPr>
          <w:ilvl w:val="0"/>
          <w:numId w:val="2"/>
        </w:numPr>
        <w:spacing w:after="100" w:line="360"/>
      </w:pPr>
      <w:r>
        <w:rPr>
          <w:rFonts w:ascii="Arial" w:cs="Arial" w:eastAsia="Arial" w:hAnsi="Arial"/>
          <w:sz w:val="24"/>
          <w:szCs w:val="24"/>
        </w:rPr>
        <w:t xml:space="preserve">What is the recommended patient enrichment strategy (high 4R burden vs. low 3R expression) for Phase II trial success?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Biomarker validation matrix linking antipodal compound efficacy to circulating, CSF, and imaging biomarker changes</w:t>
      </w:r>
    </w:p>
    <w:p>
      <w:pPr>
        <w:pStyle w:val="ListParagraph"/>
        <w:numPr>
          <w:ilvl w:val="0"/>
          <w:numId w:val="2"/>
        </w:numPr>
        <w:spacing w:after="100" w:line="360"/>
      </w:pPr>
      <w:r>
        <w:rPr>
          <w:rFonts w:ascii="Arial" w:cs="Arial" w:eastAsia="Arial" w:hAnsi="Arial"/>
          <w:sz w:val="24"/>
          <w:szCs w:val="24"/>
        </w:rPr>
        <w:t xml:space="preserve">Plasma tau isoform and phosphorylation biomarker correlation with cortical network recovery</w:t>
      </w:r>
    </w:p>
    <w:p>
      <w:pPr>
        <w:pStyle w:val="ListParagraph"/>
        <w:numPr>
          <w:ilvl w:val="0"/>
          <w:numId w:val="2"/>
        </w:numPr>
        <w:spacing w:after="100" w:line="360"/>
      </w:pPr>
      <w:r>
        <w:rPr>
          <w:rFonts w:ascii="Arial" w:cs="Arial" w:eastAsia="Arial" w:hAnsi="Arial"/>
          <w:sz w:val="24"/>
          <w:szCs w:val="24"/>
        </w:rPr>
        <w:t xml:space="preserve">Clinical trial enrichment strategy (patient selection based on 4R/3R ratio, tau burden, circuit dysfunction severity)</w:t>
      </w:r>
    </w:p>
    <w:p>
      <w:pPr>
        <w:pStyle w:val="ListParagraph"/>
        <w:numPr>
          <w:ilvl w:val="0"/>
          <w:numId w:val="2"/>
        </w:numPr>
        <w:spacing w:after="100" w:line="360"/>
      </w:pPr>
      <w:r>
        <w:rPr>
          <w:rFonts w:ascii="Arial" w:cs="Arial" w:eastAsia="Arial" w:hAnsi="Arial"/>
          <w:sz w:val="24"/>
          <w:szCs w:val="24"/>
        </w:rPr>
        <w:t xml:space="preserve">Dosing sequence recommendation (simultaneous vs. sequential antipodal compound administration with biomarker-guided titration)</w:t>
      </w:r>
    </w:p>
    <w:p>
      <w:pPr>
        <w:pStyle w:val="ListParagraph"/>
        <w:numPr>
          <w:ilvl w:val="0"/>
          <w:numId w:val="2"/>
        </w:numPr>
        <w:spacing w:after="100" w:line="360"/>
      </w:pPr>
      <w:r>
        <w:rPr>
          <w:rFonts w:ascii="Arial" w:cs="Arial" w:eastAsia="Arial" w:hAnsi="Arial"/>
          <w:sz w:val="24"/>
          <w:szCs w:val="24"/>
        </w:rPr>
        <w:t xml:space="preserve">Phase I/II endpoint recommendations (primary: tau isoform rebalancing + network recovery; secondary: clinical cognitive changes)</w:t>
      </w:r>
    </w:p>
    <w:p>
      <w:pPr>
        <w:pStyle w:val="ListParagraph"/>
        <w:numPr>
          <w:ilvl w:val="0"/>
          <w:numId w:val="2"/>
        </w:numPr>
        <w:spacing w:after="100" w:line="360"/>
      </w:pPr>
      <w:r>
        <w:rPr>
          <w:rFonts w:ascii="Arial" w:cs="Arial" w:eastAsia="Arial" w:hAnsi="Arial"/>
          <w:sz w:val="24"/>
          <w:szCs w:val="24"/>
        </w:rPr>
        <w:t xml:space="preserve">Adaptive trial design with interim biomarker-based decision points for dose escalation or futility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Integrated biomarker-guided antipodal pairing table with plasma tau isoform correlations, imaging biomarker predictions, and Phase I/II trial design recommendations</w:t>
      </w:r>
    </w:p>
    <w:p>
      <w:pPr>
        <w:pStyle w:val="Heading2"/>
      </w:pPr>
      <w:r>
        <w:rPr>
          <w:rFonts w:ascii="Arial" w:cs="Arial" w:eastAsia="Arial" w:hAnsi="Arial"/>
          <w:b/>
          <w:bCs/>
          <w:sz w:val="28"/>
          <w:szCs w:val="28"/>
        </w:rPr>
        <w:t xml:space="preserve">Stage 6: Safety, Isoform-Independent Tau Effects, &amp; Regulatory Translation Path</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antipodal compounds do not create pathological 3R or 4R accumulation (balance-driven toxicity), assess safety across neuronal populations, and establish regulatory pathway for combination antipodal FTD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antipodal compound pairs with validated biomarker efficacy from Stage 5</w:t>
      </w:r>
    </w:p>
    <w:p>
      <w:pPr>
        <w:pStyle w:val="ListParagraph"/>
        <w:numPr>
          <w:ilvl w:val="0"/>
          <w:numId w:val="2"/>
        </w:numPr>
        <w:spacing w:after="100" w:line="360"/>
      </w:pPr>
      <w:r>
        <w:rPr>
          <w:rFonts w:ascii="Arial" w:cs="Arial" w:eastAsia="Arial" w:hAnsi="Arial"/>
          <w:sz w:val="24"/>
          <w:szCs w:val="24"/>
        </w:rPr>
        <w:t xml:space="preserve">Safety assessment: validation that 3R promotion does not cause 3R accumulation toxicity, and 4R suppression does not cause compensatory tau isoform-independent aggregation</w:t>
      </w:r>
    </w:p>
    <w:p>
      <w:pPr>
        <w:pStyle w:val="ListParagraph"/>
        <w:numPr>
          <w:ilvl w:val="0"/>
          <w:numId w:val="2"/>
        </w:numPr>
        <w:spacing w:after="100" w:line="360"/>
      </w:pPr>
      <w:r>
        <w:rPr>
          <w:rFonts w:ascii="Arial" w:cs="Arial" w:eastAsia="Arial" w:hAnsi="Arial"/>
          <w:sz w:val="24"/>
          <w:szCs w:val="24"/>
        </w:rPr>
        <w:t xml:space="preserve">Off-target pharmacology profiling (kinase inhibition, splicing effects beyond tau exon 10)</w:t>
      </w:r>
    </w:p>
    <w:p>
      <w:pPr>
        <w:pStyle w:val="ListParagraph"/>
        <w:numPr>
          <w:ilvl w:val="0"/>
          <w:numId w:val="2"/>
        </w:numPr>
        <w:spacing w:after="100" w:line="360"/>
      </w:pPr>
      <w:r>
        <w:rPr>
          <w:rFonts w:ascii="Arial" w:cs="Arial" w:eastAsia="Arial" w:hAnsi="Arial"/>
          <w:sz w:val="24"/>
          <w:szCs w:val="24"/>
        </w:rPr>
        <w:t xml:space="preserve">Multi-neuronal-type safety profiling (cortical pyramidal, inhibitory interneurons, midbrain dopaminergic, cerebellar granule cells)</w:t>
      </w:r>
    </w:p>
    <w:p>
      <w:pPr>
        <w:pStyle w:val="ListParagraph"/>
        <w:numPr>
          <w:ilvl w:val="0"/>
          <w:numId w:val="2"/>
        </w:numPr>
        <w:spacing w:after="100" w:line="360"/>
      </w:pPr>
      <w:r>
        <w:rPr>
          <w:rFonts w:ascii="Arial" w:cs="Arial" w:eastAsia="Arial" w:hAnsi="Arial"/>
          <w:sz w:val="24"/>
          <w:szCs w:val="24"/>
        </w:rPr>
        <w:t xml:space="preserve">Regulatory guidance documents (FDA's approach to tau-targeting therapeutics, combination therapy in neurodegeneration)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Isogenic tau models expressing only 4R or only 3R to test isoform-specific toxicity of ratio imbalance</w:t>
      </w:r>
    </w:p>
    <w:p>
      <w:pPr>
        <w:pStyle w:val="ListParagraph"/>
        <w:numPr>
          <w:ilvl w:val="0"/>
          <w:numId w:val="2"/>
        </w:numPr>
        <w:spacing w:after="100" w:line="360"/>
      </w:pPr>
      <w:r>
        <w:rPr>
          <w:rFonts w:ascii="Arial" w:cs="Arial" w:eastAsia="Arial" w:hAnsi="Arial"/>
          <w:sz w:val="24"/>
          <w:szCs w:val="24"/>
        </w:rPr>
        <w:t xml:space="preserve">Tau-independent aggregation markers (TDP-43, alpha-synuclein levels in antipodal compound-treated cells)</w:t>
      </w:r>
    </w:p>
    <w:p>
      <w:pPr>
        <w:pStyle w:val="ListParagraph"/>
        <w:numPr>
          <w:ilvl w:val="0"/>
          <w:numId w:val="2"/>
        </w:numPr>
        <w:spacing w:after="100" w:line="360"/>
      </w:pPr>
      <w:r>
        <w:rPr>
          <w:rFonts w:ascii="Arial" w:cs="Arial" w:eastAsia="Arial" w:hAnsi="Arial"/>
          <w:sz w:val="24"/>
          <w:szCs w:val="24"/>
        </w:rPr>
        <w:t xml:space="preserve">Multi-cell-type safety profiling platform (frontotemporal, hippocampal, midbrain, cerebellar cultures)</w:t>
      </w:r>
    </w:p>
    <w:p>
      <w:pPr>
        <w:pStyle w:val="ListParagraph"/>
        <w:numPr>
          <w:ilvl w:val="0"/>
          <w:numId w:val="2"/>
        </w:numPr>
        <w:spacing w:after="100" w:line="360"/>
      </w:pPr>
      <w:r>
        <w:rPr>
          <w:rFonts w:ascii="Arial" w:cs="Arial" w:eastAsia="Arial" w:hAnsi="Arial"/>
          <w:sz w:val="24"/>
          <w:szCs w:val="24"/>
        </w:rPr>
        <w:t xml:space="preserve">Kinase selectivity profiling (DiscoverX KINOMEscan) and off-target splicing assessment (RNA-seq in non-neuronal cells)</w:t>
      </w:r>
    </w:p>
    <w:p>
      <w:pPr>
        <w:pStyle w:val="ListParagraph"/>
        <w:numPr>
          <w:ilvl w:val="0"/>
          <w:numId w:val="2"/>
        </w:numPr>
        <w:spacing w:after="100" w:line="360"/>
      </w:pPr>
      <w:r>
        <w:rPr>
          <w:rFonts w:ascii="Arial" w:cs="Arial" w:eastAsia="Arial" w:hAnsi="Arial"/>
          <w:sz w:val="24"/>
          <w:szCs w:val="24"/>
        </w:rPr>
        <w:t xml:space="preserve">Hepatic and renal safety assessment (CYP3A4/2D6 inhibition, renal toxicity prediction)</w:t>
      </w:r>
    </w:p>
    <w:p>
      <w:pPr>
        <w:pStyle w:val="ListParagraph"/>
        <w:numPr>
          <w:ilvl w:val="0"/>
          <w:numId w:val="2"/>
        </w:numPr>
        <w:spacing w:after="100" w:line="360"/>
      </w:pPr>
      <w:r>
        <w:rPr>
          <w:rFonts w:ascii="Arial" w:cs="Arial" w:eastAsia="Arial" w:hAnsi="Arial"/>
          <w:sz w:val="24"/>
          <w:szCs w:val="24"/>
        </w:rPr>
        <w:t xml:space="preserve">Regulatory compliance module (combination therapy precedents in neurodegeneration, safety database sufficiency assessment)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Does sustained 3R tau promotion lead to compensatory 3R aggregation or toxicity in isogenic models?</w:t>
      </w:r>
    </w:p>
    <w:p>
      <w:pPr>
        <w:pStyle w:val="ListParagraph"/>
        <w:numPr>
          <w:ilvl w:val="0"/>
          <w:numId w:val="2"/>
        </w:numPr>
        <w:spacing w:after="100" w:line="360"/>
      </w:pPr>
      <w:r>
        <w:rPr>
          <w:rFonts w:ascii="Arial" w:cs="Arial" w:eastAsia="Arial" w:hAnsi="Arial"/>
          <w:sz w:val="24"/>
          <w:szCs w:val="24"/>
        </w:rPr>
        <w:t xml:space="preserve">Do antipodal compounds show tau-independent aggregation effects (TDP-43, synuclein changes)?</w:t>
      </w:r>
    </w:p>
    <w:p>
      <w:pPr>
        <w:pStyle w:val="ListParagraph"/>
        <w:numPr>
          <w:ilvl w:val="0"/>
          <w:numId w:val="2"/>
        </w:numPr>
        <w:spacing w:after="100" w:line="360"/>
      </w:pPr>
      <w:r>
        <w:rPr>
          <w:rFonts w:ascii="Arial" w:cs="Arial" w:eastAsia="Arial" w:hAnsi="Arial"/>
          <w:sz w:val="24"/>
          <w:szCs w:val="24"/>
        </w:rPr>
        <w:t xml:space="preserve">Are there off-target kinase or splicing effects with lead antipodal compounds?</w:t>
      </w:r>
    </w:p>
    <w:p>
      <w:pPr>
        <w:pStyle w:val="ListParagraph"/>
        <w:numPr>
          <w:ilvl w:val="0"/>
          <w:numId w:val="2"/>
        </w:numPr>
        <w:spacing w:after="100" w:line="360"/>
      </w:pPr>
      <w:r>
        <w:rPr>
          <w:rFonts w:ascii="Arial" w:cs="Arial" w:eastAsia="Arial" w:hAnsi="Arial"/>
          <w:sz w:val="24"/>
          <w:szCs w:val="24"/>
        </w:rPr>
        <w:t xml:space="preserve">Which neuronal populations show greatest sensitivity to antipodal compound safety risks?</w:t>
      </w:r>
    </w:p>
    <w:p>
      <w:pPr>
        <w:pStyle w:val="ListParagraph"/>
        <w:numPr>
          <w:ilvl w:val="0"/>
          <w:numId w:val="2"/>
        </w:numPr>
        <w:spacing w:after="100" w:line="360"/>
      </w:pPr>
      <w:r>
        <w:rPr>
          <w:rFonts w:ascii="Arial" w:cs="Arial" w:eastAsia="Arial" w:hAnsi="Arial"/>
          <w:sz w:val="24"/>
          <w:szCs w:val="24"/>
        </w:rPr>
        <w:t xml:space="preserve">What is the optimal regulatory strategy (505(b)(2), breakthrough designation, combination therapy pathway) for antipodal FTD therapeutics?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Safety validation confirming isoform balance restoration without isoform-specific accumulation toxicity</w:t>
      </w:r>
    </w:p>
    <w:p>
      <w:pPr>
        <w:pStyle w:val="ListParagraph"/>
        <w:numPr>
          <w:ilvl w:val="0"/>
          <w:numId w:val="2"/>
        </w:numPr>
        <w:spacing w:after="100" w:line="360"/>
      </w:pPr>
      <w:r>
        <w:rPr>
          <w:rFonts w:ascii="Arial" w:cs="Arial" w:eastAsia="Arial" w:hAnsi="Arial"/>
          <w:sz w:val="24"/>
          <w:szCs w:val="24"/>
        </w:rPr>
        <w:t xml:space="preserve">Tau-independent aggregation assessment (TDP-43, synuclein unaffected by antipodal treatment)</w:t>
      </w:r>
    </w:p>
    <w:p>
      <w:pPr>
        <w:pStyle w:val="ListParagraph"/>
        <w:numPr>
          <w:ilvl w:val="0"/>
          <w:numId w:val="2"/>
        </w:numPr>
        <w:spacing w:after="100" w:line="360"/>
      </w:pPr>
      <w:r>
        <w:rPr>
          <w:rFonts w:ascii="Arial" w:cs="Arial" w:eastAsia="Arial" w:hAnsi="Arial"/>
          <w:sz w:val="24"/>
          <w:szCs w:val="24"/>
        </w:rPr>
        <w:t xml:space="preserve">Off-target liability profile (kinase selectivity, splicing specificity, hepatic/renal safety)</w:t>
      </w:r>
    </w:p>
    <w:p>
      <w:pPr>
        <w:pStyle w:val="ListParagraph"/>
        <w:numPr>
          <w:ilvl w:val="0"/>
          <w:numId w:val="2"/>
        </w:numPr>
        <w:spacing w:after="100" w:line="360"/>
      </w:pPr>
      <w:r>
        <w:rPr>
          <w:rFonts w:ascii="Arial" w:cs="Arial" w:eastAsia="Arial" w:hAnsi="Arial"/>
          <w:sz w:val="24"/>
          <w:szCs w:val="24"/>
        </w:rPr>
        <w:t xml:space="preserve">Multi-neuronal-type safety summary (cortical safety, dopaminergic sparing, cerebellar safety)</w:t>
      </w:r>
    </w:p>
    <w:p>
      <w:pPr>
        <w:pStyle w:val="ListParagraph"/>
        <w:numPr>
          <w:ilvl w:val="0"/>
          <w:numId w:val="2"/>
        </w:numPr>
        <w:spacing w:after="100" w:line="360"/>
      </w:pPr>
      <w:r>
        <w:rPr>
          <w:rFonts w:ascii="Arial" w:cs="Arial" w:eastAsia="Arial" w:hAnsi="Arial"/>
          <w:sz w:val="24"/>
          <w:szCs w:val="24"/>
        </w:rPr>
        <w:t xml:space="preserve">Species-specific pharmacology comparison (human vs. preclinical model consistency)</w:t>
      </w:r>
    </w:p>
    <w:p>
      <w:pPr>
        <w:pStyle w:val="ListParagraph"/>
        <w:numPr>
          <w:ilvl w:val="0"/>
          <w:numId w:val="2"/>
        </w:numPr>
        <w:spacing w:after="100" w:line="360"/>
      </w:pPr>
      <w:r>
        <w:rPr>
          <w:rFonts w:ascii="Arial" w:cs="Arial" w:eastAsia="Arial" w:hAnsi="Arial"/>
          <w:sz w:val="24"/>
          <w:szCs w:val="24"/>
        </w:rPr>
        <w:t xml:space="preserve">Recommended regulatory pathway for antipodal FTD combination therapy and post-marketing surveillance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safety and clinical development dossier with isoform balance validation, tau-independent aggregation assessment, off-target liability maps, and regulatory strategy recommendations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RNA-seq and qPCR for tau splicing quantification (exon 10 inclusion rates, 4R/3R transcript ratios)</w:t>
      </w:r>
    </w:p>
    <w:p>
      <w:pPr>
        <w:pStyle w:val="ListParagraph"/>
        <w:numPr>
          <w:ilvl w:val="0"/>
          <w:numId w:val="2"/>
        </w:numPr>
        <w:spacing w:after="100" w:line="360"/>
      </w:pPr>
      <w:r>
        <w:rPr>
          <w:rFonts w:ascii="Arial" w:cs="Arial" w:eastAsia="Arial" w:hAnsi="Arial"/>
          <w:sz w:val="24"/>
          <w:szCs w:val="24"/>
        </w:rPr>
        <w:t xml:space="preserve">Mass spectrometry-based tau isoform and phosphorylation site mapping (phosphoproteomics for kinase substrate preferences)</w:t>
      </w:r>
    </w:p>
    <w:p>
      <w:pPr>
        <w:pStyle w:val="ListParagraph"/>
        <w:numPr>
          <w:ilvl w:val="0"/>
          <w:numId w:val="2"/>
        </w:numPr>
        <w:spacing w:after="100" w:line="360"/>
      </w:pPr>
      <w:r>
        <w:rPr>
          <w:rFonts w:ascii="Arial" w:cs="Arial" w:eastAsia="Arial" w:hAnsi="Arial"/>
          <w:sz w:val="24"/>
          <w:szCs w:val="24"/>
        </w:rPr>
        <w:t xml:space="preserve">In vitro tau aggregation assays (turbidimetry, ThT fluorescence) with isoform-specific kinetics</w:t>
      </w:r>
    </w:p>
    <w:p>
      <w:pPr>
        <w:pStyle w:val="ListParagraph"/>
        <w:numPr>
          <w:ilvl w:val="0"/>
          <w:numId w:val="2"/>
        </w:numPr>
        <w:spacing w:after="100" w:line="360"/>
      </w:pPr>
      <w:r>
        <w:rPr>
          <w:rFonts w:ascii="Arial" w:cs="Arial" w:eastAsia="Arial" w:hAnsi="Arial"/>
          <w:sz w:val="24"/>
          <w:szCs w:val="24"/>
        </w:rPr>
        <w:t xml:space="preserve">Conformer-specific antibody panels (4R-selective vs. 3R-selective vs. phosphorylation-state-dependent epitopes)</w:t>
      </w:r>
    </w:p>
    <w:p>
      <w:pPr>
        <w:pStyle w:val="ListParagraph"/>
        <w:numPr>
          <w:ilvl w:val="0"/>
          <w:numId w:val="2"/>
        </w:numPr>
        <w:spacing w:after="100" w:line="360"/>
      </w:pPr>
      <w:r>
        <w:rPr>
          <w:rFonts w:ascii="Arial" w:cs="Arial" w:eastAsia="Arial" w:hAnsi="Arial"/>
          <w:sz w:val="24"/>
          <w:szCs w:val="24"/>
        </w:rPr>
        <w:t xml:space="preserve">Multi-electrode array recordings from frontotemporal cortical networks with layer-specific analysis (L2/3, L5 principal neuron phenotypes)</w:t>
      </w:r>
    </w:p>
    <w:p>
      <w:pPr>
        <w:pStyle w:val="ListParagraph"/>
        <w:numPr>
          <w:ilvl w:val="0"/>
          <w:numId w:val="2"/>
        </w:numPr>
        <w:spacing w:after="100" w:line="360"/>
      </w:pPr>
      <w:r>
        <w:rPr>
          <w:rFonts w:ascii="Arial" w:cs="Arial" w:eastAsia="Arial" w:hAnsi="Arial"/>
          <w:sz w:val="24"/>
          <w:szCs w:val="24"/>
        </w:rPr>
        <w:t xml:space="preserve">Machine learning classifier for 4R/3R tau burden and isoform-specific toxicity prediction</w:t>
      </w:r>
    </w:p>
    <w:p>
      <w:pPr>
        <w:pStyle w:val="ListParagraph"/>
        <w:numPr>
          <w:ilvl w:val="0"/>
          <w:numId w:val="2"/>
        </w:numPr>
        <w:spacing w:after="100" w:line="360"/>
      </w:pPr>
      <w:r>
        <w:rPr>
          <w:rFonts w:ascii="Arial" w:cs="Arial" w:eastAsia="Arial" w:hAnsi="Arial"/>
          <w:sz w:val="24"/>
          <w:szCs w:val="24"/>
        </w:rPr>
        <w:t xml:space="preserve">RNA-seq and exon-specific qPCR for rapid compound screening of splicing effects (exon 10 inclusion rates)</w:t>
      </w:r>
    </w:p>
    <w:p>
      <w:pPr>
        <w:pStyle w:val="ListParagraph"/>
        <w:numPr>
          <w:ilvl w:val="0"/>
          <w:numId w:val="2"/>
        </w:numPr>
        <w:spacing w:after="100" w:line="360"/>
      </w:pPr>
      <w:r>
        <w:rPr>
          <w:rFonts w:ascii="Arial" w:cs="Arial" w:eastAsia="Arial" w:hAnsi="Arial"/>
          <w:sz w:val="24"/>
          <w:szCs w:val="24"/>
        </w:rPr>
        <w:t xml:space="preserve">High-content imaging for tau isoform-specific burden quantification (isoform-selective antibodies in parallel assays)</w:t>
      </w:r>
    </w:p>
    <w:p>
      <w:pPr>
        <w:pStyle w:val="ListParagraph"/>
        <w:numPr>
          <w:ilvl w:val="0"/>
          <w:numId w:val="2"/>
        </w:numPr>
        <w:spacing w:after="100" w:line="360"/>
      </w:pPr>
      <w:r>
        <w:rPr>
          <w:rFonts w:ascii="Arial" w:cs="Arial" w:eastAsia="Arial" w:hAnsi="Arial"/>
          <w:sz w:val="24"/>
          <w:szCs w:val="24"/>
        </w:rPr>
        <w:t xml:space="preserve">Machine learning splicing modulator ranking engine (predicting compounds that promote 3R or suppress 4R without off-target splicing effects)</w:t>
      </w:r>
    </w:p>
    <w:p>
      <w:pPr>
        <w:pStyle w:val="ListParagraph"/>
        <w:numPr>
          <w:ilvl w:val="0"/>
          <w:numId w:val="2"/>
        </w:numPr>
        <w:spacing w:after="100" w:line="360"/>
      </w:pPr>
      <w:r>
        <w:rPr>
          <w:rFonts w:ascii="Arial" w:cs="Arial" w:eastAsia="Arial" w:hAnsi="Arial"/>
          <w:sz w:val="24"/>
          <w:szCs w:val="24"/>
        </w:rPr>
        <w:t xml:space="preserve">Phosphoproteomics to identify compounds inducing isoform-specific phosphorylation pattern shifts</w:t>
      </w:r>
    </w:p>
    <w:p>
      <w:pPr>
        <w:pStyle w:val="ListParagraph"/>
        <w:numPr>
          <w:ilvl w:val="0"/>
          <w:numId w:val="2"/>
        </w:numPr>
        <w:spacing w:after="100" w:line="360"/>
      </w:pPr>
      <w:r>
        <w:rPr>
          <w:rFonts w:ascii="Arial" w:cs="Arial" w:eastAsia="Arial" w:hAnsi="Arial"/>
          <w:sz w:val="24"/>
          <w:szCs w:val="24"/>
        </w:rPr>
        <w:t xml:space="preserve">Conformer-specific immunoassays for 4R-predominant vs. 3R-predominant tau aggregate detection</w:t>
      </w:r>
    </w:p>
    <w:p>
      <w:pPr>
        <w:pStyle w:val="ListParagraph"/>
        <w:numPr>
          <w:ilvl w:val="0"/>
          <w:numId w:val="2"/>
        </w:numPr>
        <w:spacing w:after="100" w:line="360"/>
      </w:pPr>
      <w:r>
        <w:rPr>
          <w:rFonts w:ascii="Arial" w:cs="Arial" w:eastAsia="Arial" w:hAnsi="Arial"/>
          <w:sz w:val="24"/>
          <w:szCs w:val="24"/>
        </w:rPr>
        <w:t xml:space="preserve">Network medicine approach identifying splicing factors and clearance pathways as antipodal intervention targets</w:t>
      </w:r>
    </w:p>
    <w:p>
      <w:pPr>
        <w:pStyle w:val="ListParagraph"/>
        <w:numPr>
          <w:ilvl w:val="0"/>
          <w:numId w:val="2"/>
        </w:numPr>
        <w:spacing w:after="100" w:line="360"/>
      </w:pPr>
      <w:r>
        <w:rPr>
          <w:rFonts w:ascii="Arial" w:cs="Arial" w:eastAsia="Arial" w:hAnsi="Arial"/>
          <w:sz w:val="24"/>
          <w:szCs w:val="24"/>
        </w:rPr>
        <w:t xml:space="preserve">Multi-electrode array with layer-specific electrode positioning for frontotemporal cortical recording</w:t>
      </w:r>
    </w:p>
    <w:p>
      <w:pPr>
        <w:pStyle w:val="ListParagraph"/>
        <w:numPr>
          <w:ilvl w:val="0"/>
          <w:numId w:val="2"/>
        </w:numPr>
        <w:spacing w:after="100" w:line="360"/>
      </w:pPr>
      <w:r>
        <w:rPr>
          <w:rFonts w:ascii="Arial" w:cs="Arial" w:eastAsia="Arial" w:hAnsi="Arial"/>
          <w:sz w:val="24"/>
          <w:szCs w:val="24"/>
        </w:rPr>
        <w:t xml:space="preserve">Calcium imaging in layer-specific neuronal populations with genetic or viral tools (layer-selective promoters, Cre-dependent indicators)</w:t>
      </w:r>
    </w:p>
    <w:p>
      <w:pPr>
        <w:pStyle w:val="ListParagraph"/>
        <w:numPr>
          <w:ilvl w:val="0"/>
          <w:numId w:val="2"/>
        </w:numPr>
        <w:spacing w:after="100" w:line="360"/>
      </w:pPr>
      <w:r>
        <w:rPr>
          <w:rFonts w:ascii="Arial" w:cs="Arial" w:eastAsia="Arial" w:hAnsi="Arial"/>
          <w:sz w:val="24"/>
          <w:szCs w:val="24"/>
        </w:rPr>
        <w:t xml:space="preserve">Spike sorting and burst detection optimized for layer-specific firing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2026-03-04T01:49:03.289Z</dcterms:created>
  <dcterms:modified xsi:type="dcterms:W3CDTF">2026-03-04T01:49:03.289Z</dcterms:modified>
</cp:coreProperties>
</file>

<file path=docProps/custom.xml><?xml version="1.0" encoding="utf-8"?>
<Properties xmlns="http://schemas.openxmlformats.org/officeDocument/2006/custom-properties" xmlns:vt="http://schemas.openxmlformats.org/officeDocument/2006/docPropsVTypes"/>
</file>