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Compounds Restoring Adaptation Metrics in Aged Neuron Models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compounds restoring adaptation metrics in aged neuron models.</w:t>
      </w:r>
    </w:p>
    <w:p>
      <w:pPr>
        <w:spacing w:after="200" w:line="360"/>
      </w:pPr>
      <w:r>
        <w:rPr>
          <w:rFonts w:ascii="Arial" w:cs="Arial" w:eastAsia="Arial" w:hAnsi="Arial"/>
          <w:sz w:val="24"/>
          <w:szCs w:val="24"/>
        </w:rPr>
        <w:t xml:space="preserve">This pipeline systematically identifies compounds that restore homeostatic plasticity, action potential adaptation, and calcium buffering capacity in aged and senescent neurons by targeting age-associated electrophysiological decline. Aging neurons exhibit progressive loss of spike-frequency adaptation (SA), heightened excitability variability, diminished calcium handling capacity, impaired mitochondrial buffering, and reduced capacity for homeostatic plasticity—hallmarks of neuronal senescence that contribute to cognitive decline and neurodegeneration susceptibility. The Quiver Bioscience EP CRISPR atlas enables discovery of compounds that reverse age-dependent loss of adaptation mechanisms, restore balanced excitability, and rejuvenate synaptic plasticity across multiple neuron types.</w:t>
      </w:r>
    </w:p>
    <w:p>
      <w:pPr>
        <w:spacing w:after="200" w:line="360"/>
      </w:pPr>
      <w:r>
        <w:rPr>
          <w:rFonts w:ascii="Arial" w:cs="Arial" w:eastAsia="Arial" w:hAnsi="Arial"/>
          <w:sz w:val="24"/>
          <w:szCs w:val="24"/>
        </w:rPr>
        <w:t xml:space="preserve">The pipeline employs multi-parametric electrophysiological phenotyping to quantify adaptation metrics (adaptation index, firing frequency accommodation, spike-frequency-dependent changes in threshold) alongside bioenergetic profiling and calcium handling kinetics. Hierarchical filtering identifies: (1) compounds restoring potassium channel function critical for SA (SK, A-type, M-type channels), (2) calcium buffering enhancers (parvalbumin, calbindin, calretinin upregulation), (3) AHP (afterhyperpolarization) restoration through calcium-activated potassium optimization, and (4) mitochondrial calcium handling recovery. Integration of young vs. aged neuron comparisons, senescence markers, and circulating aging biomarkers ensures identified compounds provide robust age-reversal across cellular contexts.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Sapphire Pipeline employs hierarchical filtering across the Quiver Bioscience electrophysiology CRISPR atlas to identify compounds and genetic modifiers that address the underlying pathophysiology of neurodegenerative disease. By integrating thousands of single-cell electrophysiological recordings, multi-electrode array circuit-level phenotyping, and bioenergetic profiling, the pipeline identifies interventions that restore neuronal excitability properties, stabilize network-level synchronization, and support cellular energy homeostasis.</w:t>
      </w:r>
    </w:p>
    <w:p>
      <w:pPr>
        <w:spacing w:after="200" w:line="360"/>
      </w:pPr>
      <w:r>
        <w:rPr>
          <w:rFonts w:ascii="Arial" w:cs="Arial" w:eastAsia="Arial" w:hAnsi="Arial"/>
          <w:sz w:val="24"/>
          <w:szCs w:val="24"/>
        </w:rPr>
        <w:t xml:space="preserve">Each pipeline stage systematically filters compounds through progressively stringent efficacy criteria: initial target validation, cellular rescue phenotyping, circuit-level network recovery, disease model stratification, biomarker integration, and safety profiling. This multi-scale, biomarker-guided approach ensures that identified therapeutics address root causes of pathology while maintaining broad applicability across disease contexts and patient populations.</w:t>
      </w:r>
    </w:p>
    <w:p>
      <w:pPr>
        <w:pStyle w:val="Heading2"/>
      </w:pPr>
      <w:r>
        <w:rPr>
          <w:rFonts w:ascii="Arial" w:cs="Arial" w:eastAsia="Arial" w:hAnsi="Arial"/>
          <w:b/>
          <w:bCs/>
          <w:sz w:val="28"/>
          <w:szCs w:val="28"/>
        </w:rPr>
        <w:t xml:space="preserve">Stage 1: Aged Neuron Electrophysiological Adaptation Loss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age-associated loss of action potential adaptation, homeostatic plasticity, and calcium handling capacity across hippocampal, cortical, and striatal neurons, establishing quantitative adaptation biomarkers that define successful rejuvenation.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Young (2-3 month) vs. aged (18-24 month) neurons from mice; additionally, senescent human iPSC-derived neurons</w:t>
      </w:r>
    </w:p>
    <w:p>
      <w:pPr>
        <w:pStyle w:val="ListParagraph"/>
        <w:numPr>
          <w:ilvl w:val="0"/>
          <w:numId w:val="2"/>
        </w:numPr>
        <w:spacing w:after="100" w:line="360"/>
      </w:pPr>
      <w:r>
        <w:rPr>
          <w:rFonts w:ascii="Arial" w:cs="Arial" w:eastAsia="Arial" w:hAnsi="Arial"/>
          <w:sz w:val="24"/>
          <w:szCs w:val="24"/>
        </w:rPr>
        <w:t xml:space="preserve">Whole-cell patch-clamp recordings quantifying: spike-frequency adaptation (SA), action potential accommodation, threshold trajectory changes, AHP magnitude</w:t>
      </w:r>
    </w:p>
    <w:p>
      <w:pPr>
        <w:pStyle w:val="ListParagraph"/>
        <w:numPr>
          <w:ilvl w:val="0"/>
          <w:numId w:val="2"/>
        </w:numPr>
        <w:spacing w:after="100" w:line="360"/>
      </w:pPr>
      <w:r>
        <w:rPr>
          <w:rFonts w:ascii="Arial" w:cs="Arial" w:eastAsia="Arial" w:hAnsi="Arial"/>
          <w:sz w:val="24"/>
          <w:szCs w:val="24"/>
        </w:rPr>
        <w:t xml:space="preserve">Intrinsic property measurements: resting membrane potential, input resistance, membrane time constant, rheobase current</w:t>
      </w:r>
    </w:p>
    <w:p>
      <w:pPr>
        <w:pStyle w:val="ListParagraph"/>
        <w:numPr>
          <w:ilvl w:val="0"/>
          <w:numId w:val="2"/>
        </w:numPr>
        <w:spacing w:after="100" w:line="360"/>
      </w:pPr>
      <w:r>
        <w:rPr>
          <w:rFonts w:ascii="Arial" w:cs="Arial" w:eastAsia="Arial" w:hAnsi="Arial"/>
          <w:sz w:val="24"/>
          <w:szCs w:val="24"/>
        </w:rPr>
        <w:t xml:space="preserve">Calcium imaging during repetitive firing to assess calcium clearance kinetics and buffering capacity</w:t>
      </w:r>
    </w:p>
    <w:p>
      <w:pPr>
        <w:pStyle w:val="ListParagraph"/>
        <w:numPr>
          <w:ilvl w:val="0"/>
          <w:numId w:val="2"/>
        </w:numPr>
        <w:spacing w:after="100" w:line="360"/>
      </w:pPr>
      <w:r>
        <w:rPr>
          <w:rFonts w:ascii="Arial" w:cs="Arial" w:eastAsia="Arial" w:hAnsi="Arial"/>
          <w:sz w:val="24"/>
          <w:szCs w:val="24"/>
        </w:rPr>
        <w:t xml:space="preserve">Potassium channel expression levels (SK, A-type, M-type, delayed rectifier) via qPCR and immunofluorescence</w:t>
      </w:r>
    </w:p>
    <w:p>
      <w:pPr>
        <w:pStyle w:val="ListParagraph"/>
        <w:numPr>
          <w:ilvl w:val="0"/>
          <w:numId w:val="2"/>
        </w:numPr>
        <w:spacing w:after="100" w:line="360"/>
      </w:pPr>
      <w:r>
        <w:rPr>
          <w:rFonts w:ascii="Arial" w:cs="Arial" w:eastAsia="Arial" w:hAnsi="Arial"/>
          <w:sz w:val="24"/>
          <w:szCs w:val="24"/>
        </w:rPr>
        <w:t xml:space="preserve">Calcium-binding protein levels (parvalbumin, calbindin, calretinin) indicating calcium buffering capacity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Whole-cell patch-clamp with automated stimulus protocols measuring frequency-current relationships and adaptation indices</w:t>
      </w:r>
    </w:p>
    <w:p>
      <w:pPr>
        <w:pStyle w:val="ListParagraph"/>
        <w:numPr>
          <w:ilvl w:val="0"/>
          <w:numId w:val="2"/>
        </w:numPr>
        <w:spacing w:after="100" w:line="360"/>
      </w:pPr>
      <w:r>
        <w:rPr>
          <w:rFonts w:ascii="Arial" w:cs="Arial" w:eastAsia="Arial" w:hAnsi="Arial"/>
          <w:sz w:val="24"/>
          <w:szCs w:val="24"/>
        </w:rPr>
        <w:t xml:space="preserve">Adaptation index calculation: (last ISI - first ISI) / first ISI (interspike interval measurement automation)</w:t>
      </w:r>
    </w:p>
    <w:p>
      <w:pPr>
        <w:pStyle w:val="ListParagraph"/>
        <w:numPr>
          <w:ilvl w:val="0"/>
          <w:numId w:val="2"/>
        </w:numPr>
        <w:spacing w:after="100" w:line="360"/>
      </w:pPr>
      <w:r>
        <w:rPr>
          <w:rFonts w:ascii="Arial" w:cs="Arial" w:eastAsia="Arial" w:hAnsi="Arial"/>
          <w:sz w:val="24"/>
          <w:szCs w:val="24"/>
        </w:rPr>
        <w:t xml:space="preserve">Calcium imaging with Fluo-4 or Fura-2 for calcium dynamics quantification (peak amplitude, decay kinetics, saturation assessment)</w:t>
      </w:r>
    </w:p>
    <w:p>
      <w:pPr>
        <w:pStyle w:val="ListParagraph"/>
        <w:numPr>
          <w:ilvl w:val="0"/>
          <w:numId w:val="2"/>
        </w:numPr>
        <w:spacing w:after="100" w:line="360"/>
      </w:pPr>
      <w:r>
        <w:rPr>
          <w:rFonts w:ascii="Arial" w:cs="Arial" w:eastAsia="Arial" w:hAnsi="Arial"/>
          <w:sz w:val="24"/>
          <w:szCs w:val="24"/>
        </w:rPr>
        <w:t xml:space="preserve">Two-photon microscopy for dendritic spine density and morphological aging markers assessment</w:t>
      </w:r>
    </w:p>
    <w:p>
      <w:pPr>
        <w:pStyle w:val="ListParagraph"/>
        <w:numPr>
          <w:ilvl w:val="0"/>
          <w:numId w:val="2"/>
        </w:numPr>
        <w:spacing w:after="100" w:line="360"/>
      </w:pPr>
      <w:r>
        <w:rPr>
          <w:rFonts w:ascii="Arial" w:cs="Arial" w:eastAsia="Arial" w:hAnsi="Arial"/>
          <w:sz w:val="24"/>
          <w:szCs w:val="24"/>
        </w:rPr>
        <w:t xml:space="preserve">Multi-channel potassium current recording (voltage clamp isolation of SK, A-type, delayed rectifier currents)</w:t>
      </w:r>
    </w:p>
    <w:p>
      <w:pPr>
        <w:pStyle w:val="ListParagraph"/>
        <w:numPr>
          <w:ilvl w:val="0"/>
          <w:numId w:val="2"/>
        </w:numPr>
        <w:spacing w:after="100" w:line="360"/>
      </w:pPr>
      <w:r>
        <w:rPr>
          <w:rFonts w:ascii="Arial" w:cs="Arial" w:eastAsia="Arial" w:hAnsi="Arial"/>
          <w:sz w:val="24"/>
          <w:szCs w:val="24"/>
        </w:rPr>
        <w:t xml:space="preserve">Machine learning classifier for aging severity stratification (mild age changes vs. severe senescence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spike-frequency adaptation decline with aging across hippocampal, cortical, and striatal neuron types?</w:t>
      </w:r>
    </w:p>
    <w:p>
      <w:pPr>
        <w:pStyle w:val="ListParagraph"/>
        <w:numPr>
          <w:ilvl w:val="0"/>
          <w:numId w:val="2"/>
        </w:numPr>
        <w:spacing w:after="100" w:line="360"/>
      </w:pPr>
      <w:r>
        <w:rPr>
          <w:rFonts w:ascii="Arial" w:cs="Arial" w:eastAsia="Arial" w:hAnsi="Arial"/>
          <w:sz w:val="24"/>
          <w:szCs w:val="24"/>
        </w:rPr>
        <w:t xml:space="preserve">What is the relationship between SK channel downregulation and loss of action potential accommodation in aged neurons?</w:t>
      </w:r>
    </w:p>
    <w:p>
      <w:pPr>
        <w:pStyle w:val="ListParagraph"/>
        <w:numPr>
          <w:ilvl w:val="0"/>
          <w:numId w:val="2"/>
        </w:numPr>
        <w:spacing w:after="100" w:line="360"/>
      </w:pPr>
      <w:r>
        <w:rPr>
          <w:rFonts w:ascii="Arial" w:cs="Arial" w:eastAsia="Arial" w:hAnsi="Arial"/>
          <w:sz w:val="24"/>
          <w:szCs w:val="24"/>
        </w:rPr>
        <w:t xml:space="preserve">How do calcium-buffering protein levels (parvalbumin, calbindin) correlate with aging-related calcium handling deficits?</w:t>
      </w:r>
    </w:p>
    <w:p>
      <w:pPr>
        <w:pStyle w:val="ListParagraph"/>
        <w:numPr>
          <w:ilvl w:val="0"/>
          <w:numId w:val="2"/>
        </w:numPr>
        <w:spacing w:after="100" w:line="360"/>
      </w:pPr>
      <w:r>
        <w:rPr>
          <w:rFonts w:ascii="Arial" w:cs="Arial" w:eastAsia="Arial" w:hAnsi="Arial"/>
          <w:sz w:val="24"/>
          <w:szCs w:val="24"/>
        </w:rPr>
        <w:t xml:space="preserve">What is the progressive timeline of adaptation loss from middle-age (9-12 months) to old-age (18-24 months)?</w:t>
      </w:r>
    </w:p>
    <w:p>
      <w:pPr>
        <w:pStyle w:val="ListParagraph"/>
        <w:numPr>
          <w:ilvl w:val="0"/>
          <w:numId w:val="2"/>
        </w:numPr>
        <w:spacing w:after="100" w:line="360"/>
      </w:pPr>
      <w:r>
        <w:rPr>
          <w:rFonts w:ascii="Arial" w:cs="Arial" w:eastAsia="Arial" w:hAnsi="Arial"/>
          <w:sz w:val="24"/>
          <w:szCs w:val="24"/>
        </w:rPr>
        <w:t xml:space="preserve">Do human senescent iPSC neurons recapitulate mouse aging-related adaptation deficits?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aged neuron electrophysiological phenotype map (30+ quantitative adaptation and intrinsic property parameters)</w:t>
      </w:r>
    </w:p>
    <w:p>
      <w:pPr>
        <w:pStyle w:val="ListParagraph"/>
        <w:numPr>
          <w:ilvl w:val="0"/>
          <w:numId w:val="2"/>
        </w:numPr>
        <w:spacing w:after="100" w:line="360"/>
      </w:pPr>
      <w:r>
        <w:rPr>
          <w:rFonts w:ascii="Arial" w:cs="Arial" w:eastAsia="Arial" w:hAnsi="Arial"/>
          <w:sz w:val="24"/>
          <w:szCs w:val="24"/>
        </w:rPr>
        <w:t xml:space="preserve">Spike-frequency adaptation degradation profile (adaptation index decline, firing rate range narrowing, accommodation loss quantification)</w:t>
      </w:r>
    </w:p>
    <w:p>
      <w:pPr>
        <w:pStyle w:val="ListParagraph"/>
        <w:numPr>
          <w:ilvl w:val="0"/>
          <w:numId w:val="2"/>
        </w:numPr>
        <w:spacing w:after="100" w:line="360"/>
      </w:pPr>
      <w:r>
        <w:rPr>
          <w:rFonts w:ascii="Arial" w:cs="Arial" w:eastAsia="Arial" w:hAnsi="Arial"/>
          <w:sz w:val="24"/>
          <w:szCs w:val="24"/>
        </w:rPr>
        <w:t xml:space="preserve">Action potential properties changes (AP amplitude reduction, threshold increase, AHP diminishment, repolarization slowing)</w:t>
      </w:r>
    </w:p>
    <w:p>
      <w:pPr>
        <w:pStyle w:val="ListParagraph"/>
        <w:numPr>
          <w:ilvl w:val="0"/>
          <w:numId w:val="2"/>
        </w:numPr>
        <w:spacing w:after="100" w:line="360"/>
      </w:pPr>
      <w:r>
        <w:rPr>
          <w:rFonts w:ascii="Arial" w:cs="Arial" w:eastAsia="Arial" w:hAnsi="Arial"/>
          <w:sz w:val="24"/>
          <w:szCs w:val="24"/>
        </w:rPr>
        <w:t xml:space="preserve">Calcium handling deficits (peak calcium transient reduction, decay kinetics slowing, saturation at lower firing rates)</w:t>
      </w:r>
    </w:p>
    <w:p>
      <w:pPr>
        <w:pStyle w:val="ListParagraph"/>
        <w:numPr>
          <w:ilvl w:val="0"/>
          <w:numId w:val="2"/>
        </w:numPr>
        <w:spacing w:after="100" w:line="360"/>
      </w:pPr>
      <w:r>
        <w:rPr>
          <w:rFonts w:ascii="Arial" w:cs="Arial" w:eastAsia="Arial" w:hAnsi="Arial"/>
          <w:sz w:val="24"/>
          <w:szCs w:val="24"/>
        </w:rPr>
        <w:t xml:space="preserve">Potassium channel expression degradation (SK, A-type, M-type fold-changes; channel density reductions)</w:t>
      </w:r>
    </w:p>
    <w:p>
      <w:pPr>
        <w:pStyle w:val="ListParagraph"/>
        <w:numPr>
          <w:ilvl w:val="0"/>
          <w:numId w:val="2"/>
        </w:numPr>
        <w:spacing w:after="100" w:line="360"/>
      </w:pPr>
      <w:r>
        <w:rPr>
          <w:rFonts w:ascii="Arial" w:cs="Arial" w:eastAsia="Arial" w:hAnsi="Arial"/>
          <w:sz w:val="24"/>
          <w:szCs w:val="24"/>
        </w:rPr>
        <w:t xml:space="preserve">Calcium-buffering protein decline trajectory (parvalbumin, calbindin, calretinin expression age-dependent changes)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Multi-parametric aged neuron adaptation database with intrinsic properties, calcium kinetics, potassium channel expression, and senescence-associated biomarker profiles</w:t>
      </w:r>
    </w:p>
    <w:p>
      <w:pPr>
        <w:pStyle w:val="Heading2"/>
      </w:pPr>
      <w:r>
        <w:rPr>
          <w:rFonts w:ascii="Arial" w:cs="Arial" w:eastAsia="Arial" w:hAnsi="Arial"/>
          <w:b/>
          <w:bCs/>
          <w:sz w:val="28"/>
          <w:szCs w:val="28"/>
        </w:rPr>
        <w:t xml:space="preserve">Stage 2: Adaptation-Restoring Potassium Channel Enhancers &amp; Calcium Buffering Agents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the Quiver compound library (~3,500 perturbations) to identify compounds that enhance potassium channel function (especially SK and A-type channels critical for adaptation), upregulate calcium-buffering proteins, and restore AHP-mediated spike-frequency adaptation.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library pre-screened for potassium channel modulation (SK channel activation, A-type channel current enhancement)</w:t>
      </w:r>
    </w:p>
    <w:p>
      <w:pPr>
        <w:pStyle w:val="ListParagraph"/>
        <w:numPr>
          <w:ilvl w:val="0"/>
          <w:numId w:val="2"/>
        </w:numPr>
        <w:spacing w:after="100" w:line="360"/>
      </w:pPr>
      <w:r>
        <w:rPr>
          <w:rFonts w:ascii="Arial" w:cs="Arial" w:eastAsia="Arial" w:hAnsi="Arial"/>
          <w:sz w:val="24"/>
          <w:szCs w:val="24"/>
        </w:rPr>
        <w:t xml:space="preserve">SK channel activators and their effects on spike adaptation in aged neurons</w:t>
      </w:r>
    </w:p>
    <w:p>
      <w:pPr>
        <w:pStyle w:val="ListParagraph"/>
        <w:numPr>
          <w:ilvl w:val="0"/>
          <w:numId w:val="2"/>
        </w:numPr>
        <w:spacing w:after="100" w:line="360"/>
      </w:pPr>
      <w:r>
        <w:rPr>
          <w:rFonts w:ascii="Arial" w:cs="Arial" w:eastAsia="Arial" w:hAnsi="Arial"/>
          <w:sz w:val="24"/>
          <w:szCs w:val="24"/>
        </w:rPr>
        <w:t xml:space="preserve">KCNQ (M-type channel) modulators and delayed-rectifier potassium channel enhancers</w:t>
      </w:r>
    </w:p>
    <w:p>
      <w:pPr>
        <w:pStyle w:val="ListParagraph"/>
        <w:numPr>
          <w:ilvl w:val="0"/>
          <w:numId w:val="2"/>
        </w:numPr>
        <w:spacing w:after="100" w:line="360"/>
      </w:pPr>
      <w:r>
        <w:rPr>
          <w:rFonts w:ascii="Arial" w:cs="Arial" w:eastAsia="Arial" w:hAnsi="Arial"/>
          <w:sz w:val="24"/>
          <w:szCs w:val="24"/>
        </w:rPr>
        <w:t xml:space="preserve">Calcium-buffering protein upregulators (parvalbumin, calbindin, calretinin transcriptional or translational enhancers)</w:t>
      </w:r>
    </w:p>
    <w:p>
      <w:pPr>
        <w:pStyle w:val="ListParagraph"/>
        <w:numPr>
          <w:ilvl w:val="0"/>
          <w:numId w:val="2"/>
        </w:numPr>
        <w:spacing w:after="100" w:line="360"/>
      </w:pPr>
      <w:r>
        <w:rPr>
          <w:rFonts w:ascii="Arial" w:cs="Arial" w:eastAsia="Arial" w:hAnsi="Arial"/>
          <w:sz w:val="24"/>
          <w:szCs w:val="24"/>
        </w:rPr>
        <w:t xml:space="preserve">Cell-based screening data (SA metrics in aged neurons treated with compounds, calcium transient amplitude/kinetics changes)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Automated patch-clamp platform for rapid SK and A-type channel current quantification in aged neurons</w:t>
      </w:r>
    </w:p>
    <w:p>
      <w:pPr>
        <w:pStyle w:val="ListParagraph"/>
        <w:numPr>
          <w:ilvl w:val="0"/>
          <w:numId w:val="2"/>
        </w:numPr>
        <w:spacing w:after="100" w:line="360"/>
      </w:pPr>
      <w:r>
        <w:rPr>
          <w:rFonts w:ascii="Arial" w:cs="Arial" w:eastAsia="Arial" w:hAnsi="Arial"/>
          <w:sz w:val="24"/>
          <w:szCs w:val="24"/>
        </w:rPr>
        <w:t xml:space="preserve">Two-electrode voltage clamp in Xenopus oocytes expressing aged vs. young potassium channel isoforms</w:t>
      </w:r>
    </w:p>
    <w:p>
      <w:pPr>
        <w:pStyle w:val="ListParagraph"/>
        <w:numPr>
          <w:ilvl w:val="0"/>
          <w:numId w:val="2"/>
        </w:numPr>
        <w:spacing w:after="100" w:line="360"/>
      </w:pPr>
      <w:r>
        <w:rPr>
          <w:rFonts w:ascii="Arial" w:cs="Arial" w:eastAsia="Arial" w:hAnsi="Arial"/>
          <w:sz w:val="24"/>
          <w:szCs w:val="24"/>
        </w:rPr>
        <w:t xml:space="preserve">High-throughput calcium imaging for compound effects on calcium transient magnitude and decay kinetics</w:t>
      </w:r>
    </w:p>
    <w:p>
      <w:pPr>
        <w:pStyle w:val="ListParagraph"/>
        <w:numPr>
          <w:ilvl w:val="0"/>
          <w:numId w:val="2"/>
        </w:numPr>
        <w:spacing w:after="100" w:line="360"/>
      </w:pPr>
      <w:r>
        <w:rPr>
          <w:rFonts w:ascii="Arial" w:cs="Arial" w:eastAsia="Arial" w:hAnsi="Arial"/>
          <w:sz w:val="24"/>
          <w:szCs w:val="24"/>
        </w:rPr>
        <w:t xml:space="preserve">Quantitative PCR and Western blotting for calcium-buffering protein upregulation screening</w:t>
      </w:r>
    </w:p>
    <w:p>
      <w:pPr>
        <w:pStyle w:val="ListParagraph"/>
        <w:numPr>
          <w:ilvl w:val="0"/>
          <w:numId w:val="2"/>
        </w:numPr>
        <w:spacing w:after="100" w:line="360"/>
      </w:pPr>
      <w:r>
        <w:rPr>
          <w:rFonts w:ascii="Arial" w:cs="Arial" w:eastAsia="Arial" w:hAnsi="Arial"/>
          <w:sz w:val="24"/>
          <w:szCs w:val="24"/>
        </w:rPr>
        <w:t xml:space="preserve">Machine learning potassium channel enhancer ranking engine (SK activation magnitude, A-type current restoration, adaptation index improvement)</w:t>
      </w:r>
    </w:p>
    <w:p>
      <w:pPr>
        <w:pStyle w:val="ListParagraph"/>
        <w:numPr>
          <w:ilvl w:val="0"/>
          <w:numId w:val="2"/>
        </w:numPr>
        <w:spacing w:after="100" w:line="360"/>
      </w:pPr>
      <w:r>
        <w:rPr>
          <w:rFonts w:ascii="Arial" w:cs="Arial" w:eastAsia="Arial" w:hAnsi="Arial"/>
          <w:sz w:val="24"/>
          <w:szCs w:val="24"/>
        </w:rPr>
        <w:t xml:space="preserve">Network medicine approach identifying optimal potassium channel vs. calcium-buffering protein combination targets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SK channel activators most robustly restore action potential adaptation and AHP magnitude in aged neurons?</w:t>
      </w:r>
    </w:p>
    <w:p>
      <w:pPr>
        <w:pStyle w:val="ListParagraph"/>
        <w:numPr>
          <w:ilvl w:val="0"/>
          <w:numId w:val="2"/>
        </w:numPr>
        <w:spacing w:after="100" w:line="360"/>
      </w:pPr>
      <w:r>
        <w:rPr>
          <w:rFonts w:ascii="Arial" w:cs="Arial" w:eastAsia="Arial" w:hAnsi="Arial"/>
          <w:sz w:val="24"/>
          <w:szCs w:val="24"/>
        </w:rPr>
        <w:t xml:space="preserve">Do A-type potassium channel enhancers synergize with SK channel activation to restore spike accommodation?</w:t>
      </w:r>
    </w:p>
    <w:p>
      <w:pPr>
        <w:pStyle w:val="ListParagraph"/>
        <w:numPr>
          <w:ilvl w:val="0"/>
          <w:numId w:val="2"/>
        </w:numPr>
        <w:spacing w:after="100" w:line="360"/>
      </w:pPr>
      <w:r>
        <w:rPr>
          <w:rFonts w:ascii="Arial" w:cs="Arial" w:eastAsia="Arial" w:hAnsi="Arial"/>
          <w:sz w:val="24"/>
          <w:szCs w:val="24"/>
        </w:rPr>
        <w:t xml:space="preserve">Which compounds most potently upregulate parvalbumin and calbindin without off-target neuroinflammatory effects?</w:t>
      </w:r>
    </w:p>
    <w:p>
      <w:pPr>
        <w:pStyle w:val="ListParagraph"/>
        <w:numPr>
          <w:ilvl w:val="0"/>
          <w:numId w:val="2"/>
        </w:numPr>
        <w:spacing w:after="100" w:line="360"/>
      </w:pPr>
      <w:r>
        <w:rPr>
          <w:rFonts w:ascii="Arial" w:cs="Arial" w:eastAsia="Arial" w:hAnsi="Arial"/>
          <w:sz w:val="24"/>
          <w:szCs w:val="24"/>
        </w:rPr>
        <w:t xml:space="preserve">What is the relationship between calcium-buffering protein upregulation and calcium transient kinetics normalization?</w:t>
      </w:r>
    </w:p>
    <w:p>
      <w:pPr>
        <w:pStyle w:val="ListParagraph"/>
        <w:numPr>
          <w:ilvl w:val="0"/>
          <w:numId w:val="2"/>
        </w:numPr>
        <w:spacing w:after="100" w:line="360"/>
      </w:pPr>
      <w:r>
        <w:rPr>
          <w:rFonts w:ascii="Arial" w:cs="Arial" w:eastAsia="Arial" w:hAnsi="Arial"/>
          <w:sz w:val="24"/>
          <w:szCs w:val="24"/>
        </w:rPr>
        <w:t xml:space="preserve">Which 5-10 compound combinations most comprehensively restore adaptation indices to young neuron levels?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Adaptation-restoring compound ranking table (50+ compounds rated by adaptation index restoration, SK/A-type channel enhancement, calcium buffering improvement)</w:t>
      </w:r>
    </w:p>
    <w:p>
      <w:pPr>
        <w:pStyle w:val="ListParagraph"/>
        <w:numPr>
          <w:ilvl w:val="0"/>
          <w:numId w:val="2"/>
        </w:numPr>
        <w:spacing w:after="100" w:line="360"/>
      </w:pPr>
      <w:r>
        <w:rPr>
          <w:rFonts w:ascii="Arial" w:cs="Arial" w:eastAsia="Arial" w:hAnsi="Arial"/>
          <w:sz w:val="24"/>
          <w:szCs w:val="24"/>
        </w:rPr>
        <w:t xml:space="preserve">SK channel activator efficacy ranking (SK current fold-increase, AHP magnitude restoration, potency in aged neurons)</w:t>
      </w:r>
    </w:p>
    <w:p>
      <w:pPr>
        <w:pStyle w:val="ListParagraph"/>
        <w:numPr>
          <w:ilvl w:val="0"/>
          <w:numId w:val="2"/>
        </w:numPr>
        <w:spacing w:after="100" w:line="360"/>
      </w:pPr>
      <w:r>
        <w:rPr>
          <w:rFonts w:ascii="Arial" w:cs="Arial" w:eastAsia="Arial" w:hAnsi="Arial"/>
          <w:sz w:val="24"/>
          <w:szCs w:val="24"/>
        </w:rPr>
        <w:t xml:space="preserve">A-type potassium channel enhancer profiles (A-type current recovery, firing frequency accommodation improvement)</w:t>
      </w:r>
    </w:p>
    <w:p>
      <w:pPr>
        <w:pStyle w:val="ListParagraph"/>
        <w:numPr>
          <w:ilvl w:val="0"/>
          <w:numId w:val="2"/>
        </w:numPr>
        <w:spacing w:after="100" w:line="360"/>
      </w:pPr>
      <w:r>
        <w:rPr>
          <w:rFonts w:ascii="Arial" w:cs="Arial" w:eastAsia="Arial" w:hAnsi="Arial"/>
          <w:sz w:val="24"/>
          <w:szCs w:val="24"/>
        </w:rPr>
        <w:t xml:space="preserve">Calcium-buffering protein upregulator library (parvalbumin/calbindin/calretinin fold-induction, transcriptional vs. translational mechanism)</w:t>
      </w:r>
    </w:p>
    <w:p>
      <w:pPr>
        <w:pStyle w:val="ListParagraph"/>
        <w:numPr>
          <w:ilvl w:val="0"/>
          <w:numId w:val="2"/>
        </w:numPr>
        <w:spacing w:after="100" w:line="360"/>
      </w:pPr>
      <w:r>
        <w:rPr>
          <w:rFonts w:ascii="Arial" w:cs="Arial" w:eastAsia="Arial" w:hAnsi="Arial"/>
          <w:sz w:val="24"/>
          <w:szCs w:val="24"/>
        </w:rPr>
        <w:t xml:space="preserve">Dose-response curves for top 20 compounds across adaptation index, SK current, calcium transient metrics</w:t>
      </w:r>
    </w:p>
    <w:p>
      <w:pPr>
        <w:pStyle w:val="ListParagraph"/>
        <w:numPr>
          <w:ilvl w:val="0"/>
          <w:numId w:val="2"/>
        </w:numPr>
        <w:spacing w:after="100" w:line="360"/>
      </w:pPr>
      <w:r>
        <w:rPr>
          <w:rFonts w:ascii="Arial" w:cs="Arial" w:eastAsia="Arial" w:hAnsi="Arial"/>
          <w:sz w:val="24"/>
          <w:szCs w:val="24"/>
        </w:rPr>
        <w:t xml:space="preserve">Recommended lead compounds for downstream functional validation in aged neuron circuits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Compound-centric potassium-calcium adaptation database with SK/A-type activation metrics, calcium-buffering protein induction levels, and adaptation restoration scores</w:t>
      </w:r>
    </w:p>
    <w:p>
      <w:pPr>
        <w:pStyle w:val="Heading2"/>
      </w:pPr>
      <w:r>
        <w:rPr>
          <w:rFonts w:ascii="Arial" w:cs="Arial" w:eastAsia="Arial" w:hAnsi="Arial"/>
          <w:b/>
          <w:bCs/>
          <w:sz w:val="28"/>
          <w:szCs w:val="28"/>
        </w:rPr>
        <w:t xml:space="preserve">Stage 3: Circuit-Level Adaptation Recovery &amp; Homeostatic Plasticity Restoration in Aged Networks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the ability of lead adaptation-restoring compounds to normalize hippocampal and cortical network properties in aged animals, including restoration of synaptic scaling, activity-dependent BDNF signaling, and circuit-level burst stability.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30-40 adaptation-restoring compounds from Stage 2</w:t>
      </w:r>
    </w:p>
    <w:p>
      <w:pPr>
        <w:pStyle w:val="ListParagraph"/>
        <w:numPr>
          <w:ilvl w:val="0"/>
          <w:numId w:val="2"/>
        </w:numPr>
        <w:spacing w:after="100" w:line="360"/>
      </w:pPr>
      <w:r>
        <w:rPr>
          <w:rFonts w:ascii="Arial" w:cs="Arial" w:eastAsia="Arial" w:hAnsi="Arial"/>
          <w:sz w:val="24"/>
          <w:szCs w:val="24"/>
        </w:rPr>
        <w:t xml:space="preserve">Multi-electrode array recordings from aged hippocampal and cortical slice preparations</w:t>
      </w:r>
    </w:p>
    <w:p>
      <w:pPr>
        <w:pStyle w:val="ListParagraph"/>
        <w:numPr>
          <w:ilvl w:val="0"/>
          <w:numId w:val="2"/>
        </w:numPr>
        <w:spacing w:after="100" w:line="360"/>
      </w:pPr>
      <w:r>
        <w:rPr>
          <w:rFonts w:ascii="Arial" w:cs="Arial" w:eastAsia="Arial" w:hAnsi="Arial"/>
          <w:sz w:val="24"/>
          <w:szCs w:val="24"/>
        </w:rPr>
        <w:t xml:space="preserve">Network burst patterns, interburst intervals, burst synchronization, and frequency-dependent plasticity in aged networks</w:t>
      </w:r>
    </w:p>
    <w:p>
      <w:pPr>
        <w:pStyle w:val="ListParagraph"/>
        <w:numPr>
          <w:ilvl w:val="0"/>
          <w:numId w:val="2"/>
        </w:numPr>
        <w:spacing w:after="100" w:line="360"/>
      </w:pPr>
      <w:r>
        <w:rPr>
          <w:rFonts w:ascii="Arial" w:cs="Arial" w:eastAsia="Arial" w:hAnsi="Arial"/>
          <w:sz w:val="24"/>
          <w:szCs w:val="24"/>
        </w:rPr>
        <w:t xml:space="preserve">Synaptic scaling markers (AMPA receptor trafficking, scaling factor changes with activity manipulation)</w:t>
      </w:r>
    </w:p>
    <w:p>
      <w:pPr>
        <w:pStyle w:val="ListParagraph"/>
        <w:numPr>
          <w:ilvl w:val="0"/>
          <w:numId w:val="2"/>
        </w:numPr>
        <w:spacing w:after="100" w:line="360"/>
      </w:pPr>
      <w:r>
        <w:rPr>
          <w:rFonts w:ascii="Arial" w:cs="Arial" w:eastAsia="Arial" w:hAnsi="Arial"/>
          <w:sz w:val="24"/>
          <w:szCs w:val="24"/>
        </w:rPr>
        <w:t xml:space="preserve">BDNF-TrkB signaling markers (phospho-TrkB, downstream MAPK/PI3K pathway activation) in aged neurons</w:t>
      </w:r>
    </w:p>
    <w:p>
      <w:pPr>
        <w:pStyle w:val="ListParagraph"/>
        <w:numPr>
          <w:ilvl w:val="0"/>
          <w:numId w:val="2"/>
        </w:numPr>
        <w:spacing w:after="100" w:line="360"/>
      </w:pPr>
      <w:r>
        <w:rPr>
          <w:rFonts w:ascii="Arial" w:cs="Arial" w:eastAsia="Arial" w:hAnsi="Arial"/>
          <w:sz w:val="24"/>
          <w:szCs w:val="24"/>
        </w:rPr>
        <w:t xml:space="preserve">Homeostatic set-point assessment (intrinsic excitability vs. synaptic strength balance) in young vs. aged networks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with burst detection algorithms optimized for aged networks with prolonged interburst intervals</w:t>
      </w:r>
    </w:p>
    <w:p>
      <w:pPr>
        <w:pStyle w:val="ListParagraph"/>
        <w:numPr>
          <w:ilvl w:val="0"/>
          <w:numId w:val="2"/>
        </w:numPr>
        <w:spacing w:after="100" w:line="360"/>
      </w:pPr>
      <w:r>
        <w:rPr>
          <w:rFonts w:ascii="Arial" w:cs="Arial" w:eastAsia="Arial" w:hAnsi="Arial"/>
          <w:sz w:val="24"/>
          <w:szCs w:val="24"/>
        </w:rPr>
        <w:t xml:space="preserve">Information theory metrics (entropy, complexity) for network stability quantification</w:t>
      </w:r>
    </w:p>
    <w:p>
      <w:pPr>
        <w:pStyle w:val="ListParagraph"/>
        <w:numPr>
          <w:ilvl w:val="0"/>
          <w:numId w:val="2"/>
        </w:numPr>
        <w:spacing w:after="100" w:line="360"/>
      </w:pPr>
      <w:r>
        <w:rPr>
          <w:rFonts w:ascii="Arial" w:cs="Arial" w:eastAsia="Arial" w:hAnsi="Arial"/>
          <w:sz w:val="24"/>
          <w:szCs w:val="24"/>
        </w:rPr>
        <w:t xml:space="preserve">BDNF activity-dependent release assays (BDNF ELISA, fluorescent BDNF reporter) under network stimulation</w:t>
      </w:r>
    </w:p>
    <w:p>
      <w:pPr>
        <w:pStyle w:val="ListParagraph"/>
        <w:numPr>
          <w:ilvl w:val="0"/>
          <w:numId w:val="2"/>
        </w:numPr>
        <w:spacing w:after="100" w:line="360"/>
      </w:pPr>
      <w:r>
        <w:rPr>
          <w:rFonts w:ascii="Arial" w:cs="Arial" w:eastAsia="Arial" w:hAnsi="Arial"/>
          <w:sz w:val="24"/>
          <w:szCs w:val="24"/>
        </w:rPr>
        <w:t xml:space="preserve">Surface AMPA receptor trafficking quantification (biotinylation assays, live-cell imaging of pHluorin-GluA1)</w:t>
      </w:r>
    </w:p>
    <w:p>
      <w:pPr>
        <w:pStyle w:val="ListParagraph"/>
        <w:numPr>
          <w:ilvl w:val="0"/>
          <w:numId w:val="2"/>
        </w:numPr>
        <w:spacing w:after="100" w:line="360"/>
      </w:pPr>
      <w:r>
        <w:rPr>
          <w:rFonts w:ascii="Arial" w:cs="Arial" w:eastAsia="Arial" w:hAnsi="Arial"/>
          <w:sz w:val="24"/>
          <w:szCs w:val="24"/>
        </w:rPr>
        <w:t xml:space="preserve">Machine learning classifier for homeostatic plasticity restoration ranking (network stability, synaptic scaling recovery, BDNF-dependent plasticity metrics)</w:t>
      </w:r>
    </w:p>
    <w:p>
      <w:pPr>
        <w:pStyle w:val="ListParagraph"/>
        <w:numPr>
          <w:ilvl w:val="0"/>
          <w:numId w:val="2"/>
        </w:numPr>
        <w:spacing w:after="100" w:line="360"/>
      </w:pPr>
      <w:r>
        <w:rPr>
          <w:rFonts w:ascii="Arial" w:cs="Arial" w:eastAsia="Arial" w:hAnsi="Arial"/>
          <w:sz w:val="24"/>
          <w:szCs w:val="24"/>
        </w:rPr>
        <w:t xml:space="preserve">Patch-clamp recording in network context (measuring synaptic responses in recorded neurons during whole-network activity)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potassium channel enhancers restore network burst stability and reduce interburst interval variability in aged hippocampal circuits?</w:t>
      </w:r>
    </w:p>
    <w:p>
      <w:pPr>
        <w:pStyle w:val="ListParagraph"/>
        <w:numPr>
          <w:ilvl w:val="0"/>
          <w:numId w:val="2"/>
        </w:numPr>
        <w:spacing w:after="100" w:line="360"/>
      </w:pPr>
      <w:r>
        <w:rPr>
          <w:rFonts w:ascii="Arial" w:cs="Arial" w:eastAsia="Arial" w:hAnsi="Arial"/>
          <w:sz w:val="24"/>
          <w:szCs w:val="24"/>
        </w:rPr>
        <w:t xml:space="preserve">What is the relationship between single-cell spike-frequency adaptation recovery and network-level burst frequency stabilization?</w:t>
      </w:r>
    </w:p>
    <w:p>
      <w:pPr>
        <w:pStyle w:val="ListParagraph"/>
        <w:numPr>
          <w:ilvl w:val="0"/>
          <w:numId w:val="2"/>
        </w:numPr>
        <w:spacing w:after="100" w:line="360"/>
      </w:pPr>
      <w:r>
        <w:rPr>
          <w:rFonts w:ascii="Arial" w:cs="Arial" w:eastAsia="Arial" w:hAnsi="Arial"/>
          <w:sz w:val="24"/>
          <w:szCs w:val="24"/>
        </w:rPr>
        <w:t xml:space="preserve">Do adaptation-restoring compounds enhance BDNF-dependent synaptic plasticity in aged neurons?</w:t>
      </w:r>
    </w:p>
    <w:p>
      <w:pPr>
        <w:pStyle w:val="ListParagraph"/>
        <w:numPr>
          <w:ilvl w:val="0"/>
          <w:numId w:val="2"/>
        </w:numPr>
        <w:spacing w:after="100" w:line="360"/>
      </w:pPr>
      <w:r>
        <w:rPr>
          <w:rFonts w:ascii="Arial" w:cs="Arial" w:eastAsia="Arial" w:hAnsi="Arial"/>
          <w:sz w:val="24"/>
          <w:szCs w:val="24"/>
        </w:rPr>
        <w:t xml:space="preserve">How does homeostatic set-point recovery (intrinsic excitability vs. synaptic strength balance) correlate with network burst patterns?</w:t>
      </w:r>
    </w:p>
    <w:p>
      <w:pPr>
        <w:pStyle w:val="ListParagraph"/>
        <w:numPr>
          <w:ilvl w:val="0"/>
          <w:numId w:val="2"/>
        </w:numPr>
        <w:spacing w:after="100" w:line="360"/>
      </w:pPr>
      <w:r>
        <w:rPr>
          <w:rFonts w:ascii="Arial" w:cs="Arial" w:eastAsia="Arial" w:hAnsi="Arial"/>
          <w:sz w:val="24"/>
          <w:szCs w:val="24"/>
        </w:rPr>
        <w:t xml:space="preserve">Which compounds best restore activity-dependent synaptic scaling in aged networks?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Aged circuit adaptation recovery ranking table (network burst stability restoration, homeostatic plasticity return, BDNF-dependent plasticity metrics)</w:t>
      </w:r>
    </w:p>
    <w:p>
      <w:pPr>
        <w:pStyle w:val="ListParagraph"/>
        <w:numPr>
          <w:ilvl w:val="0"/>
          <w:numId w:val="2"/>
        </w:numPr>
        <w:spacing w:after="100" w:line="360"/>
      </w:pPr>
      <w:r>
        <w:rPr>
          <w:rFonts w:ascii="Arial" w:cs="Arial" w:eastAsia="Arial" w:hAnsi="Arial"/>
          <w:sz w:val="24"/>
          <w:szCs w:val="24"/>
        </w:rPr>
        <w:t xml:space="preserve">Network-level metrics per compound (burst frequency normalization, interburst interval variability reduction, burst synchronization restoration)</w:t>
      </w:r>
    </w:p>
    <w:p>
      <w:pPr>
        <w:pStyle w:val="ListParagraph"/>
        <w:numPr>
          <w:ilvl w:val="0"/>
          <w:numId w:val="2"/>
        </w:numPr>
        <w:spacing w:after="100" w:line="360"/>
      </w:pPr>
      <w:r>
        <w:rPr>
          <w:rFonts w:ascii="Arial" w:cs="Arial" w:eastAsia="Arial" w:hAnsi="Arial"/>
          <w:sz w:val="24"/>
          <w:szCs w:val="24"/>
        </w:rPr>
        <w:t xml:space="preserve">Synaptic scaling recovery profiles (AMPA receptor trafficking, scaling factor approach to young network levels)</w:t>
      </w:r>
    </w:p>
    <w:p>
      <w:pPr>
        <w:pStyle w:val="ListParagraph"/>
        <w:numPr>
          <w:ilvl w:val="0"/>
          <w:numId w:val="2"/>
        </w:numPr>
        <w:spacing w:after="100" w:line="360"/>
      </w:pPr>
      <w:r>
        <w:rPr>
          <w:rFonts w:ascii="Arial" w:cs="Arial" w:eastAsia="Arial" w:hAnsi="Arial"/>
          <w:sz w:val="24"/>
          <w:szCs w:val="24"/>
        </w:rPr>
        <w:t xml:space="preserve">BDNF-TrkB signaling restoration (phospho-TrkB levels, activity-dependent BDNF release kinetics, downstream pathway activation)</w:t>
      </w:r>
    </w:p>
    <w:p>
      <w:pPr>
        <w:pStyle w:val="ListParagraph"/>
        <w:numPr>
          <w:ilvl w:val="0"/>
          <w:numId w:val="2"/>
        </w:numPr>
        <w:spacing w:after="100" w:line="360"/>
      </w:pPr>
      <w:r>
        <w:rPr>
          <w:rFonts w:ascii="Arial" w:cs="Arial" w:eastAsia="Arial" w:hAnsi="Arial"/>
          <w:sz w:val="24"/>
          <w:szCs w:val="24"/>
        </w:rPr>
        <w:t xml:space="preserve">Intrinsic excitability vs. synaptic strength balance assessment (homeostatic set-point repositioning toward young network configuration)</w:t>
      </w:r>
    </w:p>
    <w:p>
      <w:pPr>
        <w:pStyle w:val="ListParagraph"/>
        <w:numPr>
          <w:ilvl w:val="0"/>
          <w:numId w:val="2"/>
        </w:numPr>
        <w:spacing w:after="100" w:line="360"/>
      </w:pPr>
      <w:r>
        <w:rPr>
          <w:rFonts w:ascii="Arial" w:cs="Arial" w:eastAsia="Arial" w:hAnsi="Arial"/>
          <w:sz w:val="24"/>
          <w:szCs w:val="24"/>
        </w:rPr>
        <w:t xml:space="preserve">Top 15-20 compounds ranked by comprehensive aged circuit adaptation recovery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Circuit-level adaptation recovery matrix with network metrics, synaptic scaling indices, BDNF signaling restoration scores, and homeostatic plasticity recovery profiles</w:t>
      </w:r>
    </w:p>
    <w:p>
      <w:pPr>
        <w:pStyle w:val="Heading2"/>
      </w:pPr>
      <w:r>
        <w:rPr>
          <w:rFonts w:ascii="Arial" w:cs="Arial" w:eastAsia="Arial" w:hAnsi="Arial"/>
          <w:b/>
          <w:bCs/>
          <w:sz w:val="28"/>
          <w:szCs w:val="28"/>
        </w:rPr>
        <w:t xml:space="preserve">Stage 4: Mitochondrial Calcium Handling &amp; Bioenergetic Rejuvenation in Aged Neurons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compound effects on age-associated mitochondrial calcium handling deficits and bioenergetic decline, identifying compounds that restore mitochondrial calcium uptake capacity, reduce ROS production, and rejuvenate ATP synthesis in aged neurons.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30-40 adaptation-restoring compounds from Stage 2 (prioritizing those with potassium channel enhancement, which augments mitochondrial calcium demand)</w:t>
      </w:r>
    </w:p>
    <w:p>
      <w:pPr>
        <w:pStyle w:val="ListParagraph"/>
        <w:numPr>
          <w:ilvl w:val="0"/>
          <w:numId w:val="2"/>
        </w:numPr>
        <w:spacing w:after="100" w:line="360"/>
      </w:pPr>
      <w:r>
        <w:rPr>
          <w:rFonts w:ascii="Arial" w:cs="Arial" w:eastAsia="Arial" w:hAnsi="Arial"/>
          <w:sz w:val="24"/>
          <w:szCs w:val="24"/>
        </w:rPr>
        <w:t xml:space="preserve">Mitochondrial calcium dynamics in aged neurons (MCU-dependent uptake, retention time, calcium-induced ROS production)</w:t>
      </w:r>
    </w:p>
    <w:p>
      <w:pPr>
        <w:pStyle w:val="ListParagraph"/>
        <w:numPr>
          <w:ilvl w:val="0"/>
          <w:numId w:val="2"/>
        </w:numPr>
        <w:spacing w:after="100" w:line="360"/>
      </w:pPr>
      <w:r>
        <w:rPr>
          <w:rFonts w:ascii="Arial" w:cs="Arial" w:eastAsia="Arial" w:hAnsi="Arial"/>
          <w:sz w:val="24"/>
          <w:szCs w:val="24"/>
        </w:rPr>
        <w:t xml:space="preserve">Oxygen consumption rate (OCR), ATP synthesis capacity, and ROS production in aged vs. young neurons</w:t>
      </w:r>
    </w:p>
    <w:p>
      <w:pPr>
        <w:pStyle w:val="ListParagraph"/>
        <w:numPr>
          <w:ilvl w:val="0"/>
          <w:numId w:val="2"/>
        </w:numPr>
        <w:spacing w:after="100" w:line="360"/>
      </w:pPr>
      <w:r>
        <w:rPr>
          <w:rFonts w:ascii="Arial" w:cs="Arial" w:eastAsia="Arial" w:hAnsi="Arial"/>
          <w:sz w:val="24"/>
          <w:szCs w:val="24"/>
        </w:rPr>
        <w:t xml:space="preserve">Complex I-IV activity levels in aged neurons (decline associated with mitochondrial aging)</w:t>
      </w:r>
    </w:p>
    <w:p>
      <w:pPr>
        <w:pStyle w:val="ListParagraph"/>
        <w:numPr>
          <w:ilvl w:val="0"/>
          <w:numId w:val="2"/>
        </w:numPr>
        <w:spacing w:after="100" w:line="360"/>
      </w:pPr>
      <w:r>
        <w:rPr>
          <w:rFonts w:ascii="Arial" w:cs="Arial" w:eastAsia="Arial" w:hAnsi="Arial"/>
          <w:sz w:val="24"/>
          <w:szCs w:val="24"/>
        </w:rPr>
        <w:t xml:space="preserve">Mitochondrial morphology and fusion-fission balance (OPA1, Drp1 expression) in young vs. aged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Calcium imaging with mitochondrial-targeted indicators (Rhod-2, GECO-mito) for mitochondrial calcium uptake kinetics</w:t>
      </w:r>
    </w:p>
    <w:p>
      <w:pPr>
        <w:pStyle w:val="ListParagraph"/>
        <w:numPr>
          <w:ilvl w:val="0"/>
          <w:numId w:val="2"/>
        </w:numPr>
        <w:spacing w:after="100" w:line="360"/>
      </w:pPr>
      <w:r>
        <w:rPr>
          <w:rFonts w:ascii="Arial" w:cs="Arial" w:eastAsia="Arial" w:hAnsi="Arial"/>
          <w:sz w:val="24"/>
          <w:szCs w:val="24"/>
        </w:rPr>
        <w:t xml:space="preserve">Seahorse assay for bioenergetic profiling in aged neurons (OCR, ATP-linked OCR, maximal OCR, spare capacity)</w:t>
      </w:r>
    </w:p>
    <w:p>
      <w:pPr>
        <w:pStyle w:val="ListParagraph"/>
        <w:numPr>
          <w:ilvl w:val="0"/>
          <w:numId w:val="2"/>
        </w:numPr>
        <w:spacing w:after="100" w:line="360"/>
      </w:pPr>
      <w:r>
        <w:rPr>
          <w:rFonts w:ascii="Arial" w:cs="Arial" w:eastAsia="Arial" w:hAnsi="Arial"/>
          <w:sz w:val="24"/>
          <w:szCs w:val="24"/>
        </w:rPr>
        <w:t xml:space="preserve">ROS imaging (MitoSOX, DHE) synchronized with calcium imaging and network recording</w:t>
      </w:r>
    </w:p>
    <w:p>
      <w:pPr>
        <w:pStyle w:val="ListParagraph"/>
        <w:numPr>
          <w:ilvl w:val="0"/>
          <w:numId w:val="2"/>
        </w:numPr>
        <w:spacing w:after="100" w:line="360"/>
      </w:pPr>
      <w:r>
        <w:rPr>
          <w:rFonts w:ascii="Arial" w:cs="Arial" w:eastAsia="Arial" w:hAnsi="Arial"/>
          <w:sz w:val="24"/>
          <w:szCs w:val="24"/>
        </w:rPr>
        <w:t xml:space="preserve">MCU (mitochondrial calcium uniporter) expression and activity assessment (patch-clamp of mitochondrial membranes if feasible, or chemical genetics)</w:t>
      </w:r>
    </w:p>
    <w:p>
      <w:pPr>
        <w:pStyle w:val="ListParagraph"/>
        <w:numPr>
          <w:ilvl w:val="0"/>
          <w:numId w:val="2"/>
        </w:numPr>
        <w:spacing w:after="100" w:line="360"/>
      </w:pPr>
      <w:r>
        <w:rPr>
          <w:rFonts w:ascii="Arial" w:cs="Arial" w:eastAsia="Arial" w:hAnsi="Arial"/>
          <w:sz w:val="24"/>
          <w:szCs w:val="24"/>
        </w:rPr>
        <w:t xml:space="preserve">Electron microscopy or super-resolution microscopy for mitochondrial morphology quantification (aspect ratio, network density)</w:t>
      </w:r>
    </w:p>
    <w:p>
      <w:pPr>
        <w:pStyle w:val="ListParagraph"/>
        <w:numPr>
          <w:ilvl w:val="0"/>
          <w:numId w:val="2"/>
        </w:numPr>
        <w:spacing w:after="100" w:line="360"/>
      </w:pPr>
      <w:r>
        <w:rPr>
          <w:rFonts w:ascii="Arial" w:cs="Arial" w:eastAsia="Arial" w:hAnsi="Arial"/>
          <w:sz w:val="24"/>
          <w:szCs w:val="24"/>
        </w:rPr>
        <w:t xml:space="preserve">Machine learning bioenergetic-electrophysiology coupling engine (correlation of adaptation recovery to OCR/ATP restoration)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compounds restoring spike-frequency adaptation increase mitochondrial calcium demand, and do aged mitochondria show uptake capacity limitations?</w:t>
      </w:r>
    </w:p>
    <w:p>
      <w:pPr>
        <w:pStyle w:val="ListParagraph"/>
        <w:numPr>
          <w:ilvl w:val="0"/>
          <w:numId w:val="2"/>
        </w:numPr>
        <w:spacing w:after="100" w:line="360"/>
      </w:pPr>
      <w:r>
        <w:rPr>
          <w:rFonts w:ascii="Arial" w:cs="Arial" w:eastAsia="Arial" w:hAnsi="Arial"/>
          <w:sz w:val="24"/>
          <w:szCs w:val="24"/>
        </w:rPr>
        <w:t xml:space="preserve">Which compounds enhance MCU-dependent mitochondrial calcium uptake in aged neurons?</w:t>
      </w:r>
    </w:p>
    <w:p>
      <w:pPr>
        <w:pStyle w:val="ListParagraph"/>
        <w:numPr>
          <w:ilvl w:val="0"/>
          <w:numId w:val="2"/>
        </w:numPr>
        <w:spacing w:after="100" w:line="360"/>
      </w:pPr>
      <w:r>
        <w:rPr>
          <w:rFonts w:ascii="Arial" w:cs="Arial" w:eastAsia="Arial" w:hAnsi="Arial"/>
          <w:sz w:val="24"/>
          <w:szCs w:val="24"/>
        </w:rPr>
        <w:t xml:space="preserve">How does ROS production from aged mitochondria affect adaptation recovery with potassium channel enhancers?</w:t>
      </w:r>
    </w:p>
    <w:p>
      <w:pPr>
        <w:pStyle w:val="ListParagraph"/>
        <w:numPr>
          <w:ilvl w:val="0"/>
          <w:numId w:val="2"/>
        </w:numPr>
        <w:spacing w:after="100" w:line="360"/>
      </w:pPr>
      <w:r>
        <w:rPr>
          <w:rFonts w:ascii="Arial" w:cs="Arial" w:eastAsia="Arial" w:hAnsi="Arial"/>
          <w:sz w:val="24"/>
          <w:szCs w:val="24"/>
        </w:rPr>
        <w:t xml:space="preserve">Do compounds promoting mitochondrial fusion (OPA1) or inhibiting fission (Drp1) improve bioenergetic support for adaptation?</w:t>
      </w:r>
    </w:p>
    <w:p>
      <w:pPr>
        <w:pStyle w:val="ListParagraph"/>
        <w:numPr>
          <w:ilvl w:val="0"/>
          <w:numId w:val="2"/>
        </w:numPr>
        <w:spacing w:after="100" w:line="360"/>
      </w:pPr>
      <w:r>
        <w:rPr>
          <w:rFonts w:ascii="Arial" w:cs="Arial" w:eastAsia="Arial" w:hAnsi="Arial"/>
          <w:sz w:val="24"/>
          <w:szCs w:val="24"/>
        </w:rPr>
        <w:t xml:space="preserve">What is the relationship between Complex I activity restoration and aged neuron adaptation recovery?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Aged mitochondrial dysfunction phenotype characterization (MCU-dependent uptake capacity, OCR, ATP synthesis, ROS production metrics)</w:t>
      </w:r>
    </w:p>
    <w:p>
      <w:pPr>
        <w:pStyle w:val="ListParagraph"/>
        <w:numPr>
          <w:ilvl w:val="0"/>
          <w:numId w:val="2"/>
        </w:numPr>
        <w:spacing w:after="100" w:line="360"/>
      </w:pPr>
      <w:r>
        <w:rPr>
          <w:rFonts w:ascii="Arial" w:cs="Arial" w:eastAsia="Arial" w:hAnsi="Arial"/>
          <w:sz w:val="24"/>
          <w:szCs w:val="24"/>
        </w:rPr>
        <w:t xml:space="preserve">Compound effects on mitochondrial calcium handling (uptake kinetics improvement, retention time lengthening, calcium-overload ROS reduction)</w:t>
      </w:r>
    </w:p>
    <w:p>
      <w:pPr>
        <w:pStyle w:val="ListParagraph"/>
        <w:numPr>
          <w:ilvl w:val="0"/>
          <w:numId w:val="2"/>
        </w:numPr>
        <w:spacing w:after="100" w:line="360"/>
      </w:pPr>
      <w:r>
        <w:rPr>
          <w:rFonts w:ascii="Arial" w:cs="Arial" w:eastAsia="Arial" w:hAnsi="Arial"/>
          <w:sz w:val="24"/>
          <w:szCs w:val="24"/>
        </w:rPr>
        <w:t xml:space="preserve">Bioenergetic rejuvenation profiles per compound (OCR recovery, ATP-linked OCR improvement, spare respiratory capacity expansion)</w:t>
      </w:r>
    </w:p>
    <w:p>
      <w:pPr>
        <w:pStyle w:val="ListParagraph"/>
        <w:numPr>
          <w:ilvl w:val="0"/>
          <w:numId w:val="2"/>
        </w:numPr>
        <w:spacing w:after="100" w:line="360"/>
      </w:pPr>
      <w:r>
        <w:rPr>
          <w:rFonts w:ascii="Arial" w:cs="Arial" w:eastAsia="Arial" w:hAnsi="Arial"/>
          <w:sz w:val="24"/>
          <w:szCs w:val="24"/>
        </w:rPr>
        <w:t xml:space="preserve">ROS production reduction in aged neurons with compounds (MitoSOX signal reduction during network activity)</w:t>
      </w:r>
    </w:p>
    <w:p>
      <w:pPr>
        <w:pStyle w:val="ListParagraph"/>
        <w:numPr>
          <w:ilvl w:val="0"/>
          <w:numId w:val="2"/>
        </w:numPr>
        <w:spacing w:after="100" w:line="360"/>
      </w:pPr>
      <w:r>
        <w:rPr>
          <w:rFonts w:ascii="Arial" w:cs="Arial" w:eastAsia="Arial" w:hAnsi="Arial"/>
          <w:sz w:val="24"/>
          <w:szCs w:val="24"/>
        </w:rPr>
        <w:t xml:space="preserve">Mitochondrial morphology improvements with compounds (fusion/fission balance restoration, mitochondrial network density normalization)</w:t>
      </w:r>
    </w:p>
    <w:p>
      <w:pPr>
        <w:pStyle w:val="ListParagraph"/>
        <w:numPr>
          <w:ilvl w:val="0"/>
          <w:numId w:val="2"/>
        </w:numPr>
        <w:spacing w:after="100" w:line="360"/>
      </w:pPr>
      <w:r>
        <w:rPr>
          <w:rFonts w:ascii="Arial" w:cs="Arial" w:eastAsia="Arial" w:hAnsi="Arial"/>
          <w:sz w:val="24"/>
          <w:szCs w:val="24"/>
        </w:rPr>
        <w:t xml:space="preserve">Bioenergetic-electrophysiology coupling assessment (OCR-to-adaptation-recovery correlation, ATP synthesis-to-burst-stability relationship)</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Aged mitochondrial rejuvenation database with calcium handling metrics, bioenergetic recovery profiles, ROS reduction indices, and mitochondrial morphology assessments</w:t>
      </w:r>
    </w:p>
    <w:p>
      <w:pPr>
        <w:pStyle w:val="Heading2"/>
      </w:pPr>
      <w:r>
        <w:rPr>
          <w:rFonts w:ascii="Arial" w:cs="Arial" w:eastAsia="Arial" w:hAnsi="Arial"/>
          <w:b/>
          <w:bCs/>
          <w:sz w:val="28"/>
          <w:szCs w:val="28"/>
        </w:rPr>
        <w:t xml:space="preserve">Stage 5: Aging Biomarker Validation &amp; Clinical Translation Readiness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circulating aging biomarkers (inflammaging, senescence markers), neuroimaging, and longitudinal aging assessments to validate adaptation-restoring compounds, establish pharmacodynamic readouts, and assess clinical translation feasibility for aging-associated cognitive decline intervention.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5-10 compounds with validated adaptation recovery across single-cell, circuit, and mitochondrial levels from Stage 4</w:t>
      </w:r>
    </w:p>
    <w:p>
      <w:pPr>
        <w:pStyle w:val="ListParagraph"/>
        <w:numPr>
          <w:ilvl w:val="0"/>
          <w:numId w:val="2"/>
        </w:numPr>
        <w:spacing w:after="100" w:line="360"/>
      </w:pPr>
      <w:r>
        <w:rPr>
          <w:rFonts w:ascii="Arial" w:cs="Arial" w:eastAsia="Arial" w:hAnsi="Arial"/>
          <w:sz w:val="24"/>
          <w:szCs w:val="24"/>
        </w:rPr>
        <w:t xml:space="preserve">Circulating aging biomarkers (plasma p-tau, phospho-synuclein, neurofilament light chain, inflammaging markers: IL-6, TNFα, C-reactive protein)</w:t>
      </w:r>
    </w:p>
    <w:p>
      <w:pPr>
        <w:pStyle w:val="ListParagraph"/>
        <w:numPr>
          <w:ilvl w:val="0"/>
          <w:numId w:val="2"/>
        </w:numPr>
        <w:spacing w:after="100" w:line="360"/>
      </w:pPr>
      <w:r>
        <w:rPr>
          <w:rFonts w:ascii="Arial" w:cs="Arial" w:eastAsia="Arial" w:hAnsi="Arial"/>
          <w:sz w:val="24"/>
          <w:szCs w:val="24"/>
        </w:rPr>
        <w:t xml:space="preserve">Aging-associated CSF biomarkers (CSF p-tau, total tau, tau/phospho-tau ratios, markers of neurodegeneration)</w:t>
      </w:r>
    </w:p>
    <w:p>
      <w:pPr>
        <w:pStyle w:val="ListParagraph"/>
        <w:numPr>
          <w:ilvl w:val="0"/>
          <w:numId w:val="2"/>
        </w:numPr>
        <w:spacing w:after="100" w:line="360"/>
      </w:pPr>
      <w:r>
        <w:rPr>
          <w:rFonts w:ascii="Arial" w:cs="Arial" w:eastAsia="Arial" w:hAnsi="Arial"/>
          <w:sz w:val="24"/>
          <w:szCs w:val="24"/>
        </w:rPr>
        <w:t xml:space="preserve">Neuroimaging aging markers (MRI hippocampal volume, cortical thickness, white matter integrity by diffusion tensor imaging)</w:t>
      </w:r>
    </w:p>
    <w:p>
      <w:pPr>
        <w:pStyle w:val="ListParagraph"/>
        <w:numPr>
          <w:ilvl w:val="0"/>
          <w:numId w:val="2"/>
        </w:numPr>
        <w:spacing w:after="100" w:line="360"/>
      </w:pPr>
      <w:r>
        <w:rPr>
          <w:rFonts w:ascii="Arial" w:cs="Arial" w:eastAsia="Arial" w:hAnsi="Arial"/>
          <w:sz w:val="24"/>
          <w:szCs w:val="24"/>
        </w:rPr>
        <w:t xml:space="preserve">Longitudinal cognitive and motor testing in aged animals (Morris water maze, rotarod, fear conditioning) assessing learning and memory recovery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Biomarker-phenotype correlation engine linking adaptation recovery to circulating aging biomarker shifts</w:t>
      </w:r>
    </w:p>
    <w:p>
      <w:pPr>
        <w:pStyle w:val="ListParagraph"/>
        <w:numPr>
          <w:ilvl w:val="0"/>
          <w:numId w:val="2"/>
        </w:numPr>
        <w:spacing w:after="100" w:line="360"/>
      </w:pPr>
      <w:r>
        <w:rPr>
          <w:rFonts w:ascii="Arial" w:cs="Arial" w:eastAsia="Arial" w:hAnsi="Arial"/>
          <w:sz w:val="24"/>
          <w:szCs w:val="24"/>
        </w:rPr>
        <w:t xml:space="preserve">Plasma phospho-tau and neurofilament light chain quantification with high sensitivity (digital ELISA, mass spectrometry)</w:t>
      </w:r>
    </w:p>
    <w:p>
      <w:pPr>
        <w:pStyle w:val="ListParagraph"/>
        <w:numPr>
          <w:ilvl w:val="0"/>
          <w:numId w:val="2"/>
        </w:numPr>
        <w:spacing w:after="100" w:line="360"/>
      </w:pPr>
      <w:r>
        <w:rPr>
          <w:rFonts w:ascii="Arial" w:cs="Arial" w:eastAsia="Arial" w:hAnsi="Arial"/>
          <w:sz w:val="24"/>
          <w:szCs w:val="24"/>
        </w:rPr>
        <w:t xml:space="preserve">Inflammaging panel assessment (IL-6, TNFα, IL-10 balance, macrophage polarization markers)</w:t>
      </w:r>
    </w:p>
    <w:p>
      <w:pPr>
        <w:pStyle w:val="ListParagraph"/>
        <w:numPr>
          <w:ilvl w:val="0"/>
          <w:numId w:val="2"/>
        </w:numPr>
        <w:spacing w:after="100" w:line="360"/>
      </w:pPr>
      <w:r>
        <w:rPr>
          <w:rFonts w:ascii="Arial" w:cs="Arial" w:eastAsia="Arial" w:hAnsi="Arial"/>
          <w:sz w:val="24"/>
          <w:szCs w:val="24"/>
        </w:rPr>
        <w:t xml:space="preserve">Neuroimaging analysis (hippocampal volumetry, cortical thickness quantification, DTI white matter integrity scoring)</w:t>
      </w:r>
    </w:p>
    <w:p>
      <w:pPr>
        <w:pStyle w:val="ListParagraph"/>
        <w:numPr>
          <w:ilvl w:val="0"/>
          <w:numId w:val="2"/>
        </w:numPr>
        <w:spacing w:after="100" w:line="360"/>
      </w:pPr>
      <w:r>
        <w:rPr>
          <w:rFonts w:ascii="Arial" w:cs="Arial" w:eastAsia="Arial" w:hAnsi="Arial"/>
          <w:sz w:val="24"/>
          <w:szCs w:val="24"/>
        </w:rPr>
        <w:t xml:space="preserve">Behavioral test suite for aged cognitive recovery (fear conditioning, Morris water maze learning kinetics, retention stability)</w:t>
      </w:r>
    </w:p>
    <w:p>
      <w:pPr>
        <w:pStyle w:val="ListParagraph"/>
        <w:numPr>
          <w:ilvl w:val="0"/>
          <w:numId w:val="2"/>
        </w:numPr>
        <w:spacing w:after="100" w:line="360"/>
      </w:pPr>
      <w:r>
        <w:rPr>
          <w:rFonts w:ascii="Arial" w:cs="Arial" w:eastAsia="Arial" w:hAnsi="Arial"/>
          <w:sz w:val="24"/>
          <w:szCs w:val="24"/>
        </w:rPr>
        <w:t xml:space="preserve">Machine learning clinical translation readiness classifier (biomarker predictivity, cognitive outcome correlation, species translation likelihood)</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circulating inflammaging markers (IL-6, TNFα) predict responsiveness to adaptation-restoring compounds in aged neurons?</w:t>
      </w:r>
    </w:p>
    <w:p>
      <w:pPr>
        <w:pStyle w:val="ListParagraph"/>
        <w:numPr>
          <w:ilvl w:val="0"/>
          <w:numId w:val="2"/>
        </w:numPr>
        <w:spacing w:after="100" w:line="360"/>
      </w:pPr>
      <w:r>
        <w:rPr>
          <w:rFonts w:ascii="Arial" w:cs="Arial" w:eastAsia="Arial" w:hAnsi="Arial"/>
          <w:sz w:val="24"/>
          <w:szCs w:val="24"/>
        </w:rPr>
        <w:t xml:space="preserve">What is the correlation between hippocampal volume recovery (MRI) and behavioral memory improvement post-treatment?</w:t>
      </w:r>
    </w:p>
    <w:p>
      <w:pPr>
        <w:pStyle w:val="ListParagraph"/>
        <w:numPr>
          <w:ilvl w:val="0"/>
          <w:numId w:val="2"/>
        </w:numPr>
        <w:spacing w:after="100" w:line="360"/>
      </w:pPr>
      <w:r>
        <w:rPr>
          <w:rFonts w:ascii="Arial" w:cs="Arial" w:eastAsia="Arial" w:hAnsi="Arial"/>
          <w:sz w:val="24"/>
          <w:szCs w:val="24"/>
        </w:rPr>
        <w:t xml:space="preserve">Which biomarker panel best predicts individual aged animal response to adaptation restoration?</w:t>
      </w:r>
    </w:p>
    <w:p>
      <w:pPr>
        <w:pStyle w:val="ListParagraph"/>
        <w:numPr>
          <w:ilvl w:val="0"/>
          <w:numId w:val="2"/>
        </w:numPr>
        <w:spacing w:after="100" w:line="360"/>
      </w:pPr>
      <w:r>
        <w:rPr>
          <w:rFonts w:ascii="Arial" w:cs="Arial" w:eastAsia="Arial" w:hAnsi="Arial"/>
          <w:sz w:val="24"/>
          <w:szCs w:val="24"/>
        </w:rPr>
        <w:t xml:space="preserve">How rapidly can adaptation recovery be measured (acute potassium channel modulation vs. chronic biomarker changes)?</w:t>
      </w:r>
    </w:p>
    <w:p>
      <w:pPr>
        <w:pStyle w:val="ListParagraph"/>
        <w:numPr>
          <w:ilvl w:val="0"/>
          <w:numId w:val="2"/>
        </w:numPr>
        <w:spacing w:after="100" w:line="360"/>
      </w:pPr>
      <w:r>
        <w:rPr>
          <w:rFonts w:ascii="Arial" w:cs="Arial" w:eastAsia="Arial" w:hAnsi="Arial"/>
          <w:sz w:val="24"/>
          <w:szCs w:val="24"/>
        </w:rPr>
        <w:t xml:space="preserve">What is the optimal Phase II human trial design for adaptation-restoring compounds in mild cognitive impairment?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Aging biomarker validation matrix linking adaptation recovery to inflammaging markers, neurodegeneration biomarkers, and neuroimaging changes</w:t>
      </w:r>
    </w:p>
    <w:p>
      <w:pPr>
        <w:pStyle w:val="ListParagraph"/>
        <w:numPr>
          <w:ilvl w:val="0"/>
          <w:numId w:val="2"/>
        </w:numPr>
        <w:spacing w:after="100" w:line="360"/>
      </w:pPr>
      <w:r>
        <w:rPr>
          <w:rFonts w:ascii="Arial" w:cs="Arial" w:eastAsia="Arial" w:hAnsi="Arial"/>
          <w:sz w:val="24"/>
          <w:szCs w:val="24"/>
        </w:rPr>
        <w:t xml:space="preserve">Circulating biomarker correlation profiles (IL-6, TNFα, p-tau, NfL kinetics per compound)</w:t>
      </w:r>
    </w:p>
    <w:p>
      <w:pPr>
        <w:pStyle w:val="ListParagraph"/>
        <w:numPr>
          <w:ilvl w:val="0"/>
          <w:numId w:val="2"/>
        </w:numPr>
        <w:spacing w:after="100" w:line="360"/>
      </w:pPr>
      <w:r>
        <w:rPr>
          <w:rFonts w:ascii="Arial" w:cs="Arial" w:eastAsia="Arial" w:hAnsi="Arial"/>
          <w:sz w:val="24"/>
          <w:szCs w:val="24"/>
        </w:rPr>
        <w:t xml:space="preserve">Hippocampal and cortical neuroimaging recovery (volume changes, cortical thickness increases, DTI white matter integrity restoration)</w:t>
      </w:r>
    </w:p>
    <w:p>
      <w:pPr>
        <w:pStyle w:val="ListParagraph"/>
        <w:numPr>
          <w:ilvl w:val="0"/>
          <w:numId w:val="2"/>
        </w:numPr>
        <w:spacing w:after="100" w:line="360"/>
      </w:pPr>
      <w:r>
        <w:rPr>
          <w:rFonts w:ascii="Arial" w:cs="Arial" w:eastAsia="Arial" w:hAnsi="Arial"/>
          <w:sz w:val="24"/>
          <w:szCs w:val="24"/>
        </w:rPr>
        <w:t xml:space="preserve">Behavioral cognitive outcome predictions (Morris water maze learning curve improvement, fear conditioning memory enhancement, rotarod motor learning recovery)</w:t>
      </w:r>
    </w:p>
    <w:p>
      <w:pPr>
        <w:pStyle w:val="ListParagraph"/>
        <w:numPr>
          <w:ilvl w:val="0"/>
          <w:numId w:val="2"/>
        </w:numPr>
        <w:spacing w:after="100" w:line="360"/>
      </w:pPr>
      <w:r>
        <w:rPr>
          <w:rFonts w:ascii="Arial" w:cs="Arial" w:eastAsia="Arial" w:hAnsi="Arial"/>
          <w:sz w:val="24"/>
          <w:szCs w:val="24"/>
        </w:rPr>
        <w:t xml:space="preserve">Clinical translation readiness assessment (biomarker specificity, effect sizes translatable to human mild cognitive impairment, species consistency)</w:t>
      </w:r>
    </w:p>
    <w:p>
      <w:pPr>
        <w:pStyle w:val="ListParagraph"/>
        <w:numPr>
          <w:ilvl w:val="0"/>
          <w:numId w:val="2"/>
        </w:numPr>
        <w:spacing w:after="100" w:line="360"/>
      </w:pPr>
      <w:r>
        <w:rPr>
          <w:rFonts w:ascii="Arial" w:cs="Arial" w:eastAsia="Arial" w:hAnsi="Arial"/>
          <w:sz w:val="24"/>
          <w:szCs w:val="24"/>
        </w:rPr>
        <w:t xml:space="preserve">Recommended Phase I/II aging biomarker endpoints and patient enrichment strategy for cognitive decline intervention trials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Integrated biomarker-adaptation recovery table with aging biomarker correlations, neuroimaging predictions, behavioral outcome links, and clinical readiness scores</w:t>
      </w:r>
    </w:p>
    <w:p>
      <w:pPr>
        <w:pStyle w:val="Heading2"/>
      </w:pPr>
      <w:r>
        <w:rPr>
          <w:rFonts w:ascii="Arial" w:cs="Arial" w:eastAsia="Arial" w:hAnsi="Arial"/>
          <w:b/>
          <w:bCs/>
          <w:sz w:val="28"/>
          <w:szCs w:val="28"/>
        </w:rPr>
        <w:t xml:space="preserve">Stage 6: Safety Across Age Groups, Senescence Marker Assessment, &amp; Aging-Reversal Development Path</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adaptation-restoring compounds do not induce paradoxical hyperexcitability or excitotoxic toxicity in aged neurons, confirm senescence marker reversal, and establish regulatory pathway for aging-targeted cognitive enhancement 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adaptation-restoring compounds with validated biomarker efficacy from Stage 5</w:t>
      </w:r>
    </w:p>
    <w:p>
      <w:pPr>
        <w:pStyle w:val="ListParagraph"/>
        <w:numPr>
          <w:ilvl w:val="0"/>
          <w:numId w:val="2"/>
        </w:numPr>
        <w:spacing w:after="100" w:line="360"/>
      </w:pPr>
      <w:r>
        <w:rPr>
          <w:rFonts w:ascii="Arial" w:cs="Arial" w:eastAsia="Arial" w:hAnsi="Arial"/>
          <w:sz w:val="24"/>
          <w:szCs w:val="24"/>
        </w:rPr>
        <w:t xml:space="preserve">Safety assessment: validation that potassium channel enhancement does not cause paradoxical hyperexcitability, seizure susceptibility, or excitotoxic calcium overload</w:t>
      </w:r>
    </w:p>
    <w:p>
      <w:pPr>
        <w:pStyle w:val="ListParagraph"/>
        <w:numPr>
          <w:ilvl w:val="0"/>
          <w:numId w:val="2"/>
        </w:numPr>
        <w:spacing w:after="100" w:line="360"/>
      </w:pPr>
      <w:r>
        <w:rPr>
          <w:rFonts w:ascii="Arial" w:cs="Arial" w:eastAsia="Arial" w:hAnsi="Arial"/>
          <w:sz w:val="24"/>
          <w:szCs w:val="24"/>
        </w:rPr>
        <w:t xml:space="preserve">Senescence marker assessment (p16, p21, SA-β-gal, 53BP1 foci) confirming cellular rejuvenation or senescence escape vs. senolytic clearing</w:t>
      </w:r>
    </w:p>
    <w:p>
      <w:pPr>
        <w:pStyle w:val="ListParagraph"/>
        <w:numPr>
          <w:ilvl w:val="0"/>
          <w:numId w:val="2"/>
        </w:numPr>
        <w:spacing w:after="100" w:line="360"/>
      </w:pPr>
      <w:r>
        <w:rPr>
          <w:rFonts w:ascii="Arial" w:cs="Arial" w:eastAsia="Arial" w:hAnsi="Arial"/>
          <w:sz w:val="24"/>
          <w:szCs w:val="24"/>
        </w:rPr>
        <w:t xml:space="preserve">Off-target pharmacology profiling (kinase inhibition, channel selectivity, hepatic/renal safety)</w:t>
      </w:r>
    </w:p>
    <w:p>
      <w:pPr>
        <w:pStyle w:val="ListParagraph"/>
        <w:numPr>
          <w:ilvl w:val="0"/>
          <w:numId w:val="2"/>
        </w:numPr>
        <w:spacing w:after="100" w:line="360"/>
      </w:pPr>
      <w:r>
        <w:rPr>
          <w:rFonts w:ascii="Arial" w:cs="Arial" w:eastAsia="Arial" w:hAnsi="Arial"/>
          <w:sz w:val="24"/>
          <w:szCs w:val="24"/>
        </w:rPr>
        <w:t xml:space="preserve">Multi-neuronal-type and multi-age-group safety profiling (juvenile, young adult, aged, extreme aged neurons; dopaminergic, GABAergic, glutamatergic subtypes)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Seizure susceptibility assessment (kainate or pentylenetetrazol (PTZ) threshold testing in aged animals treated chronically with compounds)</w:t>
      </w:r>
    </w:p>
    <w:p>
      <w:pPr>
        <w:pStyle w:val="ListParagraph"/>
        <w:numPr>
          <w:ilvl w:val="0"/>
          <w:numId w:val="2"/>
        </w:numPr>
        <w:spacing w:after="100" w:line="360"/>
      </w:pPr>
      <w:r>
        <w:rPr>
          <w:rFonts w:ascii="Arial" w:cs="Arial" w:eastAsia="Arial" w:hAnsi="Arial"/>
          <w:sz w:val="24"/>
          <w:szCs w:val="24"/>
        </w:rPr>
        <w:t xml:space="preserve">Calcium overload toxicity assays (GECO calcium imaging with excitotoxic stimulus; caspase-3/7 activation measurement)</w:t>
      </w:r>
    </w:p>
    <w:p>
      <w:pPr>
        <w:pStyle w:val="ListParagraph"/>
        <w:numPr>
          <w:ilvl w:val="0"/>
          <w:numId w:val="2"/>
        </w:numPr>
        <w:spacing w:after="100" w:line="360"/>
      </w:pPr>
      <w:r>
        <w:rPr>
          <w:rFonts w:ascii="Arial" w:cs="Arial" w:eastAsia="Arial" w:hAnsi="Arial"/>
          <w:sz w:val="24"/>
          <w:szCs w:val="24"/>
        </w:rPr>
        <w:t xml:space="preserve">Senescence marker quantification (p16/p21 immunofluorescence, SA-β-gal staining, 53BP1 DNA damage foci, telomere length assessment)</w:t>
      </w:r>
    </w:p>
    <w:p>
      <w:pPr>
        <w:pStyle w:val="ListParagraph"/>
        <w:numPr>
          <w:ilvl w:val="0"/>
          <w:numId w:val="2"/>
        </w:numPr>
        <w:spacing w:after="100" w:line="360"/>
      </w:pPr>
      <w:r>
        <w:rPr>
          <w:rFonts w:ascii="Arial" w:cs="Arial" w:eastAsia="Arial" w:hAnsi="Arial"/>
          <w:sz w:val="24"/>
          <w:szCs w:val="24"/>
        </w:rPr>
        <w:t xml:space="preserve">Neurotype-specific safety profiling platform (young vs. aged dopaminergic, GABAergic, glutamatergic neurons; cerebellar granule cells)</w:t>
      </w:r>
    </w:p>
    <w:p>
      <w:pPr>
        <w:pStyle w:val="ListParagraph"/>
        <w:numPr>
          <w:ilvl w:val="0"/>
          <w:numId w:val="2"/>
        </w:numPr>
        <w:spacing w:after="100" w:line="360"/>
      </w:pPr>
      <w:r>
        <w:rPr>
          <w:rFonts w:ascii="Arial" w:cs="Arial" w:eastAsia="Arial" w:hAnsi="Arial"/>
          <w:sz w:val="24"/>
          <w:szCs w:val="24"/>
        </w:rPr>
        <w:t xml:space="preserve">Kinase selectivity profiling (DiscoverX KINOMEscan) and ion channel off-target assessment (automated patch-clamp)</w:t>
      </w:r>
    </w:p>
    <w:p>
      <w:pPr>
        <w:pStyle w:val="ListParagraph"/>
        <w:numPr>
          <w:ilvl w:val="0"/>
          <w:numId w:val="2"/>
        </w:numPr>
        <w:spacing w:after="100" w:line="360"/>
      </w:pPr>
      <w:r>
        <w:rPr>
          <w:rFonts w:ascii="Arial" w:cs="Arial" w:eastAsia="Arial" w:hAnsi="Arial"/>
          <w:sz w:val="24"/>
          <w:szCs w:val="24"/>
        </w:rPr>
        <w:t xml:space="preserve">Regulatory compliance module (FDA aging/longevity endpoint guidance, gerontology therapeutic precedents, pharmacology consistency across ages)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potassium channel enhancers increase seizure susceptibility in aged animals?</w:t>
      </w:r>
    </w:p>
    <w:p>
      <w:pPr>
        <w:pStyle w:val="ListParagraph"/>
        <w:numPr>
          <w:ilvl w:val="0"/>
          <w:numId w:val="2"/>
        </w:numPr>
        <w:spacing w:after="100" w:line="360"/>
      </w:pPr>
      <w:r>
        <w:rPr>
          <w:rFonts w:ascii="Arial" w:cs="Arial" w:eastAsia="Arial" w:hAnsi="Arial"/>
          <w:sz w:val="24"/>
          <w:szCs w:val="24"/>
        </w:rPr>
        <w:t xml:space="preserve">Do adaptation-restoring compounds reverse senescence markers (p16, p21 reduction) vs. clearing senescent cells?</w:t>
      </w:r>
    </w:p>
    <w:p>
      <w:pPr>
        <w:pStyle w:val="ListParagraph"/>
        <w:numPr>
          <w:ilvl w:val="0"/>
          <w:numId w:val="2"/>
        </w:numPr>
        <w:spacing w:after="100" w:line="360"/>
      </w:pPr>
      <w:r>
        <w:rPr>
          <w:rFonts w:ascii="Arial" w:cs="Arial" w:eastAsia="Arial" w:hAnsi="Arial"/>
          <w:sz w:val="24"/>
          <w:szCs w:val="24"/>
        </w:rPr>
        <w:t xml:space="preserve">Are there age-group-specific safety concerns (differential toxicity in juvenile vs. old-old animals)?</w:t>
      </w:r>
    </w:p>
    <w:p>
      <w:pPr>
        <w:pStyle w:val="ListParagraph"/>
        <w:numPr>
          <w:ilvl w:val="0"/>
          <w:numId w:val="2"/>
        </w:numPr>
        <w:spacing w:after="100" w:line="360"/>
      </w:pPr>
      <w:r>
        <w:rPr>
          <w:rFonts w:ascii="Arial" w:cs="Arial" w:eastAsia="Arial" w:hAnsi="Arial"/>
          <w:sz w:val="24"/>
          <w:szCs w:val="24"/>
        </w:rPr>
        <w:t xml:space="preserve">Which compounds show off-target kinase or channel effects that could complicate clinical safety?</w:t>
      </w:r>
    </w:p>
    <w:p>
      <w:pPr>
        <w:pStyle w:val="ListParagraph"/>
        <w:numPr>
          <w:ilvl w:val="0"/>
          <w:numId w:val="2"/>
        </w:numPr>
        <w:spacing w:after="100" w:line="360"/>
      </w:pPr>
      <w:r>
        <w:rPr>
          <w:rFonts w:ascii="Arial" w:cs="Arial" w:eastAsia="Arial" w:hAnsi="Arial"/>
          <w:sz w:val="24"/>
          <w:szCs w:val="24"/>
        </w:rPr>
        <w:t xml:space="preserve">What is the optimal regulatory strategy (505(b)(2), gerontology-focused pathway, healthy aging indication) for adaptation-restoring aging therapy?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Safety validation confirming potassium channel enhancement without paradoxical hyperexcitability or seizure induction</w:t>
      </w:r>
    </w:p>
    <w:p>
      <w:pPr>
        <w:pStyle w:val="ListParagraph"/>
        <w:numPr>
          <w:ilvl w:val="0"/>
          <w:numId w:val="2"/>
        </w:numPr>
        <w:spacing w:after="100" w:line="360"/>
      </w:pPr>
      <w:r>
        <w:rPr>
          <w:rFonts w:ascii="Arial" w:cs="Arial" w:eastAsia="Arial" w:hAnsi="Arial"/>
          <w:sz w:val="24"/>
          <w:szCs w:val="24"/>
        </w:rPr>
        <w:t xml:space="preserve">Senescence marker reversal assessment (p16/p21 downregulation, SA-β-gal reduction, DNA damage foci decrease, telomere stability)</w:t>
      </w:r>
    </w:p>
    <w:p>
      <w:pPr>
        <w:pStyle w:val="ListParagraph"/>
        <w:numPr>
          <w:ilvl w:val="0"/>
          <w:numId w:val="2"/>
        </w:numPr>
        <w:spacing w:after="100" w:line="360"/>
      </w:pPr>
      <w:r>
        <w:rPr>
          <w:rFonts w:ascii="Arial" w:cs="Arial" w:eastAsia="Arial" w:hAnsi="Arial"/>
          <w:sz w:val="24"/>
          <w:szCs w:val="24"/>
        </w:rPr>
        <w:t xml:space="preserve">Calcium overload toxicity assessment (GECO peak calcium limits, caspase-3/7 activation under excitotoxic challenge)</w:t>
      </w:r>
    </w:p>
    <w:p>
      <w:pPr>
        <w:pStyle w:val="ListParagraph"/>
        <w:numPr>
          <w:ilvl w:val="0"/>
          <w:numId w:val="2"/>
        </w:numPr>
        <w:spacing w:after="100" w:line="360"/>
      </w:pPr>
      <w:r>
        <w:rPr>
          <w:rFonts w:ascii="Arial" w:cs="Arial" w:eastAsia="Arial" w:hAnsi="Arial"/>
          <w:sz w:val="24"/>
          <w:szCs w:val="24"/>
        </w:rPr>
        <w:t xml:space="preserve">Multi-neurotype and multi-age safety summary (dopaminergic, GABAergic, glutamatergic neuron safety across age groups)</w:t>
      </w:r>
    </w:p>
    <w:p>
      <w:pPr>
        <w:pStyle w:val="ListParagraph"/>
        <w:numPr>
          <w:ilvl w:val="0"/>
          <w:numId w:val="2"/>
        </w:numPr>
        <w:spacing w:after="100" w:line="360"/>
      </w:pPr>
      <w:r>
        <w:rPr>
          <w:rFonts w:ascii="Arial" w:cs="Arial" w:eastAsia="Arial" w:hAnsi="Arial"/>
          <w:sz w:val="24"/>
          <w:szCs w:val="24"/>
        </w:rPr>
        <w:t xml:space="preserve">Off-target liability profile (kinase selectivity, ion channel specificity, hepatic/renal safety)</w:t>
      </w:r>
    </w:p>
    <w:p>
      <w:pPr>
        <w:pStyle w:val="ListParagraph"/>
        <w:numPr>
          <w:ilvl w:val="0"/>
          <w:numId w:val="2"/>
        </w:numPr>
        <w:spacing w:after="100" w:line="360"/>
      </w:pPr>
      <w:r>
        <w:rPr>
          <w:rFonts w:ascii="Arial" w:cs="Arial" w:eastAsia="Arial" w:hAnsi="Arial"/>
          <w:sz w:val="24"/>
          <w:szCs w:val="24"/>
        </w:rPr>
        <w:t xml:space="preserve">Recommended regulatory pathway for aging-targeted adaptation-restoring therapy and post-marketing surveillance/biomarker tracking strategy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aging-reversal safety and development dossier with senescence marker reversal evidence, seizure safety validation, off-target liability assessment, and regulatory pathway recommendations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Whole-cell patch-clamp with automated stimulus protocols measuring frequency-current relationships and adaptation indices</w:t>
      </w:r>
    </w:p>
    <w:p>
      <w:pPr>
        <w:pStyle w:val="ListParagraph"/>
        <w:numPr>
          <w:ilvl w:val="0"/>
          <w:numId w:val="2"/>
        </w:numPr>
        <w:spacing w:after="100" w:line="360"/>
      </w:pPr>
      <w:r>
        <w:rPr>
          <w:rFonts w:ascii="Arial" w:cs="Arial" w:eastAsia="Arial" w:hAnsi="Arial"/>
          <w:sz w:val="24"/>
          <w:szCs w:val="24"/>
        </w:rPr>
        <w:t xml:space="preserve">Adaptation index calculation: (last ISI - first ISI) / first ISI (interspike interval measurement automation)</w:t>
      </w:r>
    </w:p>
    <w:p>
      <w:pPr>
        <w:pStyle w:val="ListParagraph"/>
        <w:numPr>
          <w:ilvl w:val="0"/>
          <w:numId w:val="2"/>
        </w:numPr>
        <w:spacing w:after="100" w:line="360"/>
      </w:pPr>
      <w:r>
        <w:rPr>
          <w:rFonts w:ascii="Arial" w:cs="Arial" w:eastAsia="Arial" w:hAnsi="Arial"/>
          <w:sz w:val="24"/>
          <w:szCs w:val="24"/>
        </w:rPr>
        <w:t xml:space="preserve">Calcium imaging with Fluo-4 or Fura-2 for calcium dynamics quantification (peak amplitude, decay kinetics, saturation assessment)</w:t>
      </w:r>
    </w:p>
    <w:p>
      <w:pPr>
        <w:pStyle w:val="ListParagraph"/>
        <w:numPr>
          <w:ilvl w:val="0"/>
          <w:numId w:val="2"/>
        </w:numPr>
        <w:spacing w:after="100" w:line="360"/>
      </w:pPr>
      <w:r>
        <w:rPr>
          <w:rFonts w:ascii="Arial" w:cs="Arial" w:eastAsia="Arial" w:hAnsi="Arial"/>
          <w:sz w:val="24"/>
          <w:szCs w:val="24"/>
        </w:rPr>
        <w:t xml:space="preserve">Two-photon microscopy for dendritic spine density and morphological aging markers assessment</w:t>
      </w:r>
    </w:p>
    <w:p>
      <w:pPr>
        <w:pStyle w:val="ListParagraph"/>
        <w:numPr>
          <w:ilvl w:val="0"/>
          <w:numId w:val="2"/>
        </w:numPr>
        <w:spacing w:after="100" w:line="360"/>
      </w:pPr>
      <w:r>
        <w:rPr>
          <w:rFonts w:ascii="Arial" w:cs="Arial" w:eastAsia="Arial" w:hAnsi="Arial"/>
          <w:sz w:val="24"/>
          <w:szCs w:val="24"/>
        </w:rPr>
        <w:t xml:space="preserve">Multi-channel potassium current recording (voltage clamp isolation of SK, A-type, delayed rectifier currents)</w:t>
      </w:r>
    </w:p>
    <w:p>
      <w:pPr>
        <w:pStyle w:val="ListParagraph"/>
        <w:numPr>
          <w:ilvl w:val="0"/>
          <w:numId w:val="2"/>
        </w:numPr>
        <w:spacing w:after="100" w:line="360"/>
      </w:pPr>
      <w:r>
        <w:rPr>
          <w:rFonts w:ascii="Arial" w:cs="Arial" w:eastAsia="Arial" w:hAnsi="Arial"/>
          <w:sz w:val="24"/>
          <w:szCs w:val="24"/>
        </w:rPr>
        <w:t xml:space="preserve">Machine learning classifier for aging severity stratification (mild age changes vs. severe senescence phenotypes)</w:t>
      </w:r>
    </w:p>
    <w:p>
      <w:pPr>
        <w:pStyle w:val="ListParagraph"/>
        <w:numPr>
          <w:ilvl w:val="0"/>
          <w:numId w:val="2"/>
        </w:numPr>
        <w:spacing w:after="100" w:line="360"/>
      </w:pPr>
      <w:r>
        <w:rPr>
          <w:rFonts w:ascii="Arial" w:cs="Arial" w:eastAsia="Arial" w:hAnsi="Arial"/>
          <w:sz w:val="24"/>
          <w:szCs w:val="24"/>
        </w:rPr>
        <w:t xml:space="preserve">Automated patch-clamp platform for rapid SK and A-type channel current quantification in aged neurons</w:t>
      </w:r>
    </w:p>
    <w:p>
      <w:pPr>
        <w:pStyle w:val="ListParagraph"/>
        <w:numPr>
          <w:ilvl w:val="0"/>
          <w:numId w:val="2"/>
        </w:numPr>
        <w:spacing w:after="100" w:line="360"/>
      </w:pPr>
      <w:r>
        <w:rPr>
          <w:rFonts w:ascii="Arial" w:cs="Arial" w:eastAsia="Arial" w:hAnsi="Arial"/>
          <w:sz w:val="24"/>
          <w:szCs w:val="24"/>
        </w:rPr>
        <w:t xml:space="preserve">Two-electrode voltage clamp in Xenopus oocytes expressing aged vs. young potassium channel isoforms</w:t>
      </w:r>
    </w:p>
    <w:p>
      <w:pPr>
        <w:pStyle w:val="ListParagraph"/>
        <w:numPr>
          <w:ilvl w:val="0"/>
          <w:numId w:val="2"/>
        </w:numPr>
        <w:spacing w:after="100" w:line="360"/>
      </w:pPr>
      <w:r>
        <w:rPr>
          <w:rFonts w:ascii="Arial" w:cs="Arial" w:eastAsia="Arial" w:hAnsi="Arial"/>
          <w:sz w:val="24"/>
          <w:szCs w:val="24"/>
        </w:rPr>
        <w:t xml:space="preserve">High-throughput calcium imaging for compound effects on calcium transient magnitude and decay kinetics</w:t>
      </w:r>
    </w:p>
    <w:p>
      <w:pPr>
        <w:pStyle w:val="ListParagraph"/>
        <w:numPr>
          <w:ilvl w:val="0"/>
          <w:numId w:val="2"/>
        </w:numPr>
        <w:spacing w:after="100" w:line="360"/>
      </w:pPr>
      <w:r>
        <w:rPr>
          <w:rFonts w:ascii="Arial" w:cs="Arial" w:eastAsia="Arial" w:hAnsi="Arial"/>
          <w:sz w:val="24"/>
          <w:szCs w:val="24"/>
        </w:rPr>
        <w:t xml:space="preserve">Quantitative PCR and Western blotting for calcium-buffering protein upregulation screening</w:t>
      </w:r>
    </w:p>
    <w:p>
      <w:pPr>
        <w:pStyle w:val="ListParagraph"/>
        <w:numPr>
          <w:ilvl w:val="0"/>
          <w:numId w:val="2"/>
        </w:numPr>
        <w:spacing w:after="100" w:line="360"/>
      </w:pPr>
      <w:r>
        <w:rPr>
          <w:rFonts w:ascii="Arial" w:cs="Arial" w:eastAsia="Arial" w:hAnsi="Arial"/>
          <w:sz w:val="24"/>
          <w:szCs w:val="24"/>
        </w:rPr>
        <w:t xml:space="preserve">Machine learning potassium channel enhancer ranking engine (SK activation magnitude, A-type current restoration, adaptation index improvement)</w:t>
      </w:r>
    </w:p>
    <w:p>
      <w:pPr>
        <w:pStyle w:val="ListParagraph"/>
        <w:numPr>
          <w:ilvl w:val="0"/>
          <w:numId w:val="2"/>
        </w:numPr>
        <w:spacing w:after="100" w:line="360"/>
      </w:pPr>
      <w:r>
        <w:rPr>
          <w:rFonts w:ascii="Arial" w:cs="Arial" w:eastAsia="Arial" w:hAnsi="Arial"/>
          <w:sz w:val="24"/>
          <w:szCs w:val="24"/>
        </w:rPr>
        <w:t xml:space="preserve">Network medicine approach identifying optimal potassium channel vs. calcium-buffering protein combination targets</w:t>
      </w:r>
    </w:p>
    <w:p>
      <w:pPr>
        <w:pStyle w:val="ListParagraph"/>
        <w:numPr>
          <w:ilvl w:val="0"/>
          <w:numId w:val="2"/>
        </w:numPr>
        <w:spacing w:after="100" w:line="360"/>
      </w:pPr>
      <w:r>
        <w:rPr>
          <w:rFonts w:ascii="Arial" w:cs="Arial" w:eastAsia="Arial" w:hAnsi="Arial"/>
          <w:sz w:val="24"/>
          <w:szCs w:val="24"/>
        </w:rPr>
        <w:t xml:space="preserve">Multi-electrode array with burst detection algorithms optimized for aged networks with prolonged interburst intervals</w:t>
      </w:r>
    </w:p>
    <w:p>
      <w:pPr>
        <w:pStyle w:val="ListParagraph"/>
        <w:numPr>
          <w:ilvl w:val="0"/>
          <w:numId w:val="2"/>
        </w:numPr>
        <w:spacing w:after="100" w:line="360"/>
      </w:pPr>
      <w:r>
        <w:rPr>
          <w:rFonts w:ascii="Arial" w:cs="Arial" w:eastAsia="Arial" w:hAnsi="Arial"/>
          <w:sz w:val="24"/>
          <w:szCs w:val="24"/>
        </w:rPr>
        <w:t xml:space="preserve">Information theory metrics (entropy, complexity) for network stability quantification</w:t>
      </w:r>
    </w:p>
    <w:p>
      <w:pPr>
        <w:pStyle w:val="ListParagraph"/>
        <w:numPr>
          <w:ilvl w:val="0"/>
          <w:numId w:val="2"/>
        </w:numPr>
        <w:spacing w:after="100" w:line="360"/>
      </w:pPr>
      <w:r>
        <w:rPr>
          <w:rFonts w:ascii="Arial" w:cs="Arial" w:eastAsia="Arial" w:hAnsi="Arial"/>
          <w:sz w:val="24"/>
          <w:szCs w:val="24"/>
        </w:rPr>
        <w:t xml:space="preserve">BDNF activity-dependent release assays (BDNF ELISA, fluorescent BDNF reporter) under network stimulation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2026-03-04T01:49:03.296Z</dcterms:created>
  <dcterms:modified xsi:type="dcterms:W3CDTF">2026-03-04T01:49:03.296Z</dcterms:modified>
</cp:coreProperties>
</file>

<file path=docProps/custom.xml><?xml version="1.0" encoding="utf-8"?>
<Properties xmlns="http://schemas.openxmlformats.org/officeDocument/2006/custom-properties" xmlns:vt="http://schemas.openxmlformats.org/officeDocument/2006/docPropsVTypes"/>
</file>