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rPr>
          <w:rFonts w:ascii="Arial" w:cs="Arial" w:eastAsia="Arial" w:hAnsi="Arial"/>
          <w:b/>
          <w:bCs/>
          <w:sz w:val="32"/>
          <w:szCs w:val="32"/>
        </w:rPr>
        <w:t xml:space="preserve">Sapphire Pipeline Workflow: FDA-Approved Drug Repurposing for Early AD</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Rank top 5 FDA-approved drugs for repurposing in early AD.</w:t>
      </w:r>
    </w:p>
    <w:p>
      <w:pPr>
        <w:spacing w:after="200" w:line="360"/>
      </w:pPr>
      <w:r>
        <w:rPr>
          <w:rFonts w:ascii="Arial" w:cs="Arial" w:eastAsia="Arial" w:hAnsi="Arial"/>
          <w:sz w:val="24"/>
          <w:szCs w:val="24"/>
        </w:rPr>
        <w:t xml:space="preserve">This Sapphire Pipeline workflow systematically identifies and ranks FDA-approved drugs with potential efficacy in early-stage Alzheimer's disease (AD) based on electrophysiology (EP) CRISPR atlas data from Quiver Bioscience. The pipeline leverages ~18,000 gene perturbations and ~3,500 compound perturbations across 500+ neuronal features to predict repurposing candidates that restore amyloid-beta and tau-responsive neural function.</w:t>
      </w:r>
    </w:p>
    <w:p>
      <w:pPr>
        <w:spacing w:after="200" w:line="360"/>
      </w:pPr>
      <w:r>
        <w:rPr>
          <w:rFonts w:ascii="Arial" w:cs="Arial" w:eastAsia="Arial" w:hAnsi="Arial"/>
          <w:sz w:val="24"/>
          <w:szCs w:val="24"/>
        </w:rPr>
        <w:t xml:space="preserve">By integrating blood-brain barrier (BBB) penetration models, clinical safety databases, and EP-based efficacy ranking against amyloid/tau rescue signatures, this workflow accelerates the discovery of fast-track repurposing candidates with existing manufacturing, regulatory pathways, and Phase I safety data.</w:t>
      </w:r>
    </w:p>
    <w:p>
      <w:pPr>
        <w:pStyle w:val="Heading2"/>
        <w:spacing w:after="200"/>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The FDA-Approved Drug Repurposing for Early AD pipeline integrates quantitative electrophysiology (EP) phenotyping with CRISPR perturbation analysis to establish mechanistic understanding of disease pathophysiology. By leveraging Quiver Bioscience's comprehensive atlas of gene and compound perturbations across 500+ neuronal features, the pipeline enables systematic identification of therapeutic candidates through phenotype-level signature matching and validation.</w:t>
      </w:r>
    </w:p>
    <w:p>
      <w:pPr>
        <w:spacing w:after="200" w:line="360"/>
      </w:pPr>
      <w:r>
        <w:rPr>
          <w:rFonts w:ascii="Arial" w:cs="Arial" w:eastAsia="Arial" w:hAnsi="Arial"/>
          <w:sz w:val="24"/>
          <w:szCs w:val="24"/>
        </w:rPr>
        <w:t xml:space="preserve">This workflow emphasizes mechanistic validation through orthogonal approaches: CRISPR perturbations confirm proposed drug targets, translational biomarkers bridge EP signatures to human disease progression, and longitudinal trajectory analysis distinguishes disease-modifying from symptomatic interventions. The six-stage process transforms raw discovery data into clinical-stage candidates with validated mechanisms and de-risked development pathways.</w:t>
      </w:r>
    </w:p>
    <w:p>
      <w:pPr>
        <w:pStyle w:val="Heading2"/>
        <w:spacing w:after="200" w:before="200"/>
      </w:pPr>
      <w:r>
        <w:rPr>
          <w:rFonts w:ascii="Arial" w:cs="Arial" w:eastAsia="Arial" w:hAnsi="Arial"/>
          <w:b/>
          <w:bCs/>
          <w:sz w:val="28"/>
          <w:szCs w:val="28"/>
        </w:rPr>
        <w:t xml:space="preserve">Stage 1: Disease Signature Mining from EP CRISPR Atlas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Extract amyloid-beta (Aβ)- and tau-dependent neuronal dysfunction signatures from the Quiver EP CRISPR atlas (18k gene perturbations) to establish quantitative molecular phenotypes of early AD pathophysiology.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Quiver EP CRISPR Atlas (18k gene perturbations, 500+ neural features)</w:t>
      </w:r>
    </w:p>
    <w:p>
      <w:pPr>
        <w:pStyle w:val="ListParagraph"/>
        <w:numPr>
          <w:ilvl w:val="0"/>
          <w:numId w:val="2"/>
        </w:numPr>
        <w:spacing w:after="100" w:line="360"/>
      </w:pPr>
      <w:r>
        <w:rPr>
          <w:rFonts w:ascii="Arial" w:cs="Arial" w:eastAsia="Arial" w:hAnsi="Arial"/>
          <w:sz w:val="24"/>
          <w:szCs w:val="24"/>
        </w:rPr>
        <w:t xml:space="preserve">AD-associated genetic risk loci (APOE, APP, PSEN1/2, BIN1, CLU, ABCA7)</w:t>
      </w:r>
    </w:p>
    <w:p>
      <w:pPr>
        <w:pStyle w:val="ListParagraph"/>
        <w:numPr>
          <w:ilvl w:val="0"/>
          <w:numId w:val="2"/>
        </w:numPr>
        <w:spacing w:after="100" w:line="360"/>
      </w:pPr>
      <w:r>
        <w:rPr>
          <w:rFonts w:ascii="Arial" w:cs="Arial" w:eastAsia="Arial" w:hAnsi="Arial"/>
          <w:sz w:val="24"/>
          <w:szCs w:val="24"/>
        </w:rPr>
        <w:t xml:space="preserve">Aβ oligomer aggregation state and tau phosphorylation datasets</w:t>
      </w:r>
    </w:p>
    <w:p>
      <w:pPr>
        <w:pStyle w:val="ListParagraph"/>
        <w:numPr>
          <w:ilvl w:val="0"/>
          <w:numId w:val="2"/>
        </w:numPr>
        <w:spacing w:after="100" w:line="360"/>
      </w:pPr>
      <w:r>
        <w:rPr>
          <w:rFonts w:ascii="Arial" w:cs="Arial" w:eastAsia="Arial" w:hAnsi="Arial"/>
          <w:sz w:val="24"/>
          <w:szCs w:val="24"/>
        </w:rPr>
        <w:t xml:space="preserve">Neuronal electrophysiology phenotypes (AP kinetics, synaptic transmission, network bursting)</w:t>
      </w:r>
    </w:p>
    <w:p>
      <w:pPr>
        <w:pStyle w:val="ListParagraph"/>
        <w:numPr>
          <w:ilvl w:val="0"/>
          <w:numId w:val="2"/>
        </w:numPr>
        <w:spacing w:after="100" w:line="360"/>
      </w:pPr>
      <w:r>
        <w:rPr>
          <w:rFonts w:ascii="Arial" w:cs="Arial" w:eastAsia="Arial" w:hAnsi="Arial"/>
          <w:sz w:val="24"/>
          <w:szCs w:val="24"/>
        </w:rPr>
        <w:t xml:space="preserve">Age-stratified neuropathology datasets from AD progression cohorts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Bioscience EP CRISPR Atlas (primary data source)</w:t>
      </w:r>
    </w:p>
    <w:p>
      <w:pPr>
        <w:pStyle w:val="ListParagraph"/>
        <w:numPr>
          <w:ilvl w:val="0"/>
          <w:numId w:val="2"/>
        </w:numPr>
        <w:spacing w:after="100" w:line="360"/>
      </w:pPr>
      <w:r>
        <w:rPr>
          <w:rFonts w:ascii="Arial" w:cs="Arial" w:eastAsia="Arial" w:hAnsi="Arial"/>
          <w:sz w:val="24"/>
          <w:szCs w:val="24"/>
        </w:rPr>
        <w:t xml:space="preserve">KEGG/Reactome pathway analysis (Aβ and tau processing pathways)</w:t>
      </w:r>
    </w:p>
    <w:p>
      <w:pPr>
        <w:pStyle w:val="ListParagraph"/>
        <w:numPr>
          <w:ilvl w:val="0"/>
          <w:numId w:val="2"/>
        </w:numPr>
        <w:spacing w:after="100" w:line="360"/>
      </w:pPr>
      <w:r>
        <w:rPr>
          <w:rFonts w:ascii="Arial" w:cs="Arial" w:eastAsia="Arial" w:hAnsi="Arial"/>
          <w:sz w:val="24"/>
          <w:szCs w:val="24"/>
        </w:rPr>
        <w:t xml:space="preserve">AlzPathy database (AD molecular subtypes and phenotypic features)</w:t>
      </w:r>
    </w:p>
    <w:p>
      <w:pPr>
        <w:pStyle w:val="ListParagraph"/>
        <w:numPr>
          <w:ilvl w:val="0"/>
          <w:numId w:val="2"/>
        </w:numPr>
        <w:spacing w:after="100" w:line="360"/>
      </w:pPr>
      <w:r>
        <w:rPr>
          <w:rFonts w:ascii="Arial" w:cs="Arial" w:eastAsia="Arial" w:hAnsi="Arial"/>
          <w:sz w:val="24"/>
          <w:szCs w:val="24"/>
        </w:rPr>
        <w:t xml:space="preserve">CellProfiler morphological profiling (neuronal compartment analysis)</w:t>
      </w:r>
    </w:p>
    <w:p>
      <w:pPr>
        <w:pStyle w:val="ListParagraph"/>
        <w:numPr>
          <w:ilvl w:val="0"/>
          <w:numId w:val="2"/>
        </w:numPr>
        <w:spacing w:after="100" w:line="360"/>
      </w:pPr>
      <w:r>
        <w:rPr>
          <w:rFonts w:ascii="Arial" w:cs="Arial" w:eastAsia="Arial" w:hAnsi="Arial"/>
          <w:sz w:val="24"/>
          <w:szCs w:val="24"/>
        </w:rPr>
        <w:t xml:space="preserve">Seurat/Harmony single-cell integration (cell type-specific signatures)</w:t>
      </w:r>
    </w:p>
    <w:p>
      <w:pPr>
        <w:pStyle w:val="ListParagraph"/>
        <w:numPr>
          <w:ilvl w:val="0"/>
          <w:numId w:val="2"/>
        </w:numPr>
        <w:spacing w:after="100" w:line="360"/>
      </w:pPr>
      <w:r>
        <w:rPr>
          <w:rFonts w:ascii="Arial" w:cs="Arial" w:eastAsia="Arial" w:hAnsi="Arial"/>
          <w:sz w:val="24"/>
          <w:szCs w:val="24"/>
        </w:rPr>
        <w:t xml:space="preserve">Custom R/Python pipeline for EP feature correlation with pathogenic variants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gene perturbations in the Quiver atlas phenocopy Aβ toxicity across AP width, synaptic input resistance, and network synchrony?</w:t>
      </w:r>
    </w:p>
    <w:p>
      <w:pPr>
        <w:pStyle w:val="ListParagraph"/>
        <w:numPr>
          <w:ilvl w:val="0"/>
          <w:numId w:val="2"/>
        </w:numPr>
        <w:spacing w:after="100" w:line="360"/>
      </w:pPr>
      <w:r>
        <w:rPr>
          <w:rFonts w:ascii="Arial" w:cs="Arial" w:eastAsia="Arial" w:hAnsi="Arial"/>
          <w:sz w:val="24"/>
          <w:szCs w:val="24"/>
        </w:rPr>
        <w:t xml:space="preserve">How do tau kinase perturbations (GSK3β, CDK5, MARK4) alter the trajectory of synaptic vesicle clustering and mitochondrial trafficking in cultured neurons?</w:t>
      </w:r>
    </w:p>
    <w:p>
      <w:pPr>
        <w:pStyle w:val="ListParagraph"/>
        <w:numPr>
          <w:ilvl w:val="0"/>
          <w:numId w:val="2"/>
        </w:numPr>
        <w:spacing w:after="100" w:line="360"/>
      </w:pPr>
      <w:r>
        <w:rPr>
          <w:rFonts w:ascii="Arial" w:cs="Arial" w:eastAsia="Arial" w:hAnsi="Arial"/>
          <w:sz w:val="24"/>
          <w:szCs w:val="24"/>
        </w:rPr>
        <w:t xml:space="preserve">Identify the 50 genes whose knockout/knockdown produces the strongest early AD-like EP phenotype across multiple feature domains.</w:t>
      </w:r>
    </w:p>
    <w:p>
      <w:pPr>
        <w:pStyle w:val="ListParagraph"/>
        <w:numPr>
          <w:ilvl w:val="0"/>
          <w:numId w:val="2"/>
        </w:numPr>
        <w:spacing w:after="100" w:line="360"/>
      </w:pPr>
      <w:r>
        <w:rPr>
          <w:rFonts w:ascii="Arial" w:cs="Arial" w:eastAsia="Arial" w:hAnsi="Arial"/>
          <w:sz w:val="24"/>
          <w:szCs w:val="24"/>
        </w:rPr>
        <w:t xml:space="preserve">What is the correlation between APOE genotype and differential responses to Aβ oligomer challenge in EP-profiled neurons?</w:t>
      </w:r>
    </w:p>
    <w:p>
      <w:pPr>
        <w:pStyle w:val="ListParagraph"/>
        <w:numPr>
          <w:ilvl w:val="0"/>
          <w:numId w:val="2"/>
        </w:numPr>
        <w:spacing w:after="100" w:line="360"/>
      </w:pPr>
      <w:r>
        <w:rPr>
          <w:rFonts w:ascii="Arial" w:cs="Arial" w:eastAsia="Arial" w:hAnsi="Arial"/>
          <w:sz w:val="24"/>
          <w:szCs w:val="24"/>
        </w:rPr>
        <w:t xml:space="preserve">Which synaptic transmission features (release probability, quantal size, paired-pulse facilitation/depression) are most predictive of AD progression risk?</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Ranked list of 100 AD-associated gene perturbations with quantitative EP phenotype scores (Z-scores, effect sizes)</w:t>
      </w:r>
    </w:p>
    <w:p>
      <w:pPr>
        <w:pStyle w:val="ListParagraph"/>
        <w:numPr>
          <w:ilvl w:val="0"/>
          <w:numId w:val="2"/>
        </w:numPr>
        <w:spacing w:after="100" w:line="360"/>
      </w:pPr>
      <w:r>
        <w:rPr>
          <w:rFonts w:ascii="Arial" w:cs="Arial" w:eastAsia="Arial" w:hAnsi="Arial"/>
          <w:sz w:val="24"/>
          <w:szCs w:val="24"/>
        </w:rPr>
        <w:t xml:space="preserve">Multi-feature EP signature matrix (APD, input resistance, spontaneous firing rate, network bursting, synaptic transmission metrics) for early AD state</w:t>
      </w:r>
    </w:p>
    <w:p>
      <w:pPr>
        <w:pStyle w:val="ListParagraph"/>
        <w:numPr>
          <w:ilvl w:val="0"/>
          <w:numId w:val="2"/>
        </w:numPr>
        <w:spacing w:after="100" w:line="360"/>
      </w:pPr>
      <w:r>
        <w:rPr>
          <w:rFonts w:ascii="Arial" w:cs="Arial" w:eastAsia="Arial" w:hAnsi="Arial"/>
          <w:sz w:val="24"/>
          <w:szCs w:val="24"/>
        </w:rPr>
        <w:t xml:space="preserve">Pathway enrichment analysis linking top dysregulated genes to amyloid/tau cascades</w:t>
      </w:r>
    </w:p>
    <w:p>
      <w:pPr>
        <w:pStyle w:val="ListParagraph"/>
        <w:numPr>
          <w:ilvl w:val="0"/>
          <w:numId w:val="2"/>
        </w:numPr>
        <w:spacing w:after="100" w:line="360"/>
      </w:pPr>
      <w:r>
        <w:rPr>
          <w:rFonts w:ascii="Arial" w:cs="Arial" w:eastAsia="Arial" w:hAnsi="Arial"/>
          <w:sz w:val="24"/>
          <w:szCs w:val="24"/>
        </w:rPr>
        <w:t xml:space="preserve">Cell type-stratified AD phenotypes (pyramidal neurons, GABAergic interneurons, astrocytes)</w:t>
      </w:r>
    </w:p>
    <w:p>
      <w:pPr>
        <w:pStyle w:val="ListParagraph"/>
        <w:numPr>
          <w:ilvl w:val="0"/>
          <w:numId w:val="2"/>
        </w:numPr>
        <w:spacing w:after="100" w:line="360"/>
      </w:pPr>
      <w:r>
        <w:rPr>
          <w:rFonts w:ascii="Arial" w:cs="Arial" w:eastAsia="Arial" w:hAnsi="Arial"/>
          <w:sz w:val="24"/>
          <w:szCs w:val="24"/>
        </w:rPr>
        <w:t xml:space="preserve">Longitudinal EP trajectory models predicting disease progression from baseline features</w:t>
      </w:r>
    </w:p>
    <w:p>
      <w:pPr>
        <w:pStyle w:val="ListParagraph"/>
        <w:numPr>
          <w:ilvl w:val="0"/>
          <w:numId w:val="2"/>
        </w:numPr>
        <w:spacing w:after="100" w:line="360"/>
      </w:pPr>
      <w:r>
        <w:rPr>
          <w:rFonts w:ascii="Arial" w:cs="Arial" w:eastAsia="Arial" w:hAnsi="Arial"/>
          <w:sz w:val="24"/>
          <w:szCs w:val="24"/>
        </w:rPr>
        <w:t xml:space="preserve">Validated early AD molecular subtype definitions based on EP phenotypic clustering</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Structured JSON/CSV with gene names, effect sizes, pathway annotations, and cell-type-specific phenotype vectors</w:t>
      </w:r>
    </w:p>
    <w:p>
      <w:pPr>
        <w:pStyle w:val="Heading2"/>
        <w:spacing w:after="200" w:before="200"/>
      </w:pPr>
      <w:r>
        <w:rPr>
          <w:rFonts w:ascii="Arial" w:cs="Arial" w:eastAsia="Arial" w:hAnsi="Arial"/>
          <w:b/>
          <w:bCs/>
          <w:sz w:val="28"/>
          <w:szCs w:val="28"/>
        </w:rPr>
        <w:t xml:space="preserve">Stage 2: Candidate Drug Screening Against AD Signature</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Screen ~3,500 FDA-approved compounds from the Quiver atlas compound library against the established early AD EP signature to identify candidates that reverse pathogenic phenotypes.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Quiver EP CRISPR compound library (3,500+ perturbations, 500+ features per compound)</w:t>
      </w:r>
    </w:p>
    <w:p>
      <w:pPr>
        <w:pStyle w:val="ListParagraph"/>
        <w:numPr>
          <w:ilvl w:val="0"/>
          <w:numId w:val="2"/>
        </w:numPr>
        <w:spacing w:after="100" w:line="360"/>
      </w:pPr>
      <w:r>
        <w:rPr>
          <w:rFonts w:ascii="Arial" w:cs="Arial" w:eastAsia="Arial" w:hAnsi="Arial"/>
          <w:sz w:val="24"/>
          <w:szCs w:val="24"/>
        </w:rPr>
        <w:t xml:space="preserve">Established early AD EP signature from Stage 1 (100 gene targets, multi-feature phenotype)</w:t>
      </w:r>
    </w:p>
    <w:p>
      <w:pPr>
        <w:pStyle w:val="ListParagraph"/>
        <w:numPr>
          <w:ilvl w:val="0"/>
          <w:numId w:val="2"/>
        </w:numPr>
        <w:spacing w:after="100" w:line="360"/>
      </w:pPr>
      <w:r>
        <w:rPr>
          <w:rFonts w:ascii="Arial" w:cs="Arial" w:eastAsia="Arial" w:hAnsi="Arial"/>
          <w:sz w:val="24"/>
          <w:szCs w:val="24"/>
        </w:rPr>
        <w:t xml:space="preserve">Chemical structure and ADMET property databases (ChEMBL, PubChem)</w:t>
      </w:r>
    </w:p>
    <w:p>
      <w:pPr>
        <w:pStyle w:val="ListParagraph"/>
        <w:numPr>
          <w:ilvl w:val="0"/>
          <w:numId w:val="2"/>
        </w:numPr>
        <w:spacing w:after="100" w:line="360"/>
      </w:pPr>
      <w:r>
        <w:rPr>
          <w:rFonts w:ascii="Arial" w:cs="Arial" w:eastAsia="Arial" w:hAnsi="Arial"/>
          <w:sz w:val="24"/>
          <w:szCs w:val="24"/>
        </w:rPr>
        <w:t xml:space="preserve">FDA approved drug list with mechanism-of-action annotations (DrugBank, CHEMBL)</w:t>
      </w:r>
    </w:p>
    <w:p>
      <w:pPr>
        <w:pStyle w:val="ListParagraph"/>
        <w:numPr>
          <w:ilvl w:val="0"/>
          <w:numId w:val="2"/>
        </w:numPr>
        <w:spacing w:after="100" w:line="360"/>
      </w:pPr>
      <w:r>
        <w:rPr>
          <w:rFonts w:ascii="Arial" w:cs="Arial" w:eastAsia="Arial" w:hAnsi="Arial"/>
          <w:sz w:val="24"/>
          <w:szCs w:val="24"/>
        </w:rPr>
        <w:t xml:space="preserve">Published clinical efficacy data for neurodegenerative disease indications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Bioscience EP Compound Profiling Database (compound-phenotype relationships)</w:t>
      </w:r>
    </w:p>
    <w:p>
      <w:pPr>
        <w:pStyle w:val="ListParagraph"/>
        <w:numPr>
          <w:ilvl w:val="0"/>
          <w:numId w:val="2"/>
        </w:numPr>
        <w:spacing w:after="100" w:line="360"/>
      </w:pPr>
      <w:r>
        <w:rPr>
          <w:rFonts w:ascii="Arial" w:cs="Arial" w:eastAsia="Arial" w:hAnsi="Arial"/>
          <w:sz w:val="24"/>
          <w:szCs w:val="24"/>
        </w:rPr>
        <w:t xml:space="preserve">REVERSE plugin (signature similarity scoring against EP compound data)</w:t>
      </w:r>
    </w:p>
    <w:p>
      <w:pPr>
        <w:pStyle w:val="ListParagraph"/>
        <w:numPr>
          <w:ilvl w:val="0"/>
          <w:numId w:val="2"/>
        </w:numPr>
        <w:spacing w:after="100" w:line="360"/>
      </w:pPr>
      <w:r>
        <w:rPr>
          <w:rFonts w:ascii="Arial" w:cs="Arial" w:eastAsia="Arial" w:hAnsi="Arial"/>
          <w:sz w:val="24"/>
          <w:szCs w:val="24"/>
        </w:rPr>
        <w:t xml:space="preserve">ChEMBL and CHEMBL databases (chemical structures, molecular targets)</w:t>
      </w:r>
    </w:p>
    <w:p>
      <w:pPr>
        <w:pStyle w:val="ListParagraph"/>
        <w:numPr>
          <w:ilvl w:val="0"/>
          <w:numId w:val="2"/>
        </w:numPr>
        <w:spacing w:after="100" w:line="360"/>
      </w:pPr>
      <w:r>
        <w:rPr>
          <w:rFonts w:ascii="Arial" w:cs="Arial" w:eastAsia="Arial" w:hAnsi="Arial"/>
          <w:sz w:val="24"/>
          <w:szCs w:val="24"/>
        </w:rPr>
        <w:t xml:space="preserve">DrugBank (FDA approval status, clinical indication, mechanism of action)</w:t>
      </w:r>
    </w:p>
    <w:p>
      <w:pPr>
        <w:pStyle w:val="ListParagraph"/>
        <w:numPr>
          <w:ilvl w:val="0"/>
          <w:numId w:val="2"/>
        </w:numPr>
        <w:spacing w:after="100" w:line="360"/>
      </w:pPr>
      <w:r>
        <w:rPr>
          <w:rFonts w:ascii="Arial" w:cs="Arial" w:eastAsia="Arial" w:hAnsi="Arial"/>
          <w:sz w:val="24"/>
          <w:szCs w:val="24"/>
        </w:rPr>
        <w:t xml:space="preserve">Custom statistical pipeline for EP signature reversal scoring (cosine similarity, Kolmogorov-Smirnov test)</w:t>
      </w:r>
    </w:p>
    <w:p>
      <w:pPr>
        <w:pStyle w:val="ListParagraph"/>
        <w:numPr>
          <w:ilvl w:val="0"/>
          <w:numId w:val="2"/>
        </w:numPr>
        <w:spacing w:after="100" w:line="360"/>
      </w:pPr>
      <w:r>
        <w:rPr>
          <w:rFonts w:ascii="Arial" w:cs="Arial" w:eastAsia="Arial" w:hAnsi="Arial"/>
          <w:sz w:val="24"/>
          <w:szCs w:val="24"/>
        </w:rPr>
        <w:t xml:space="preserve">Machine learning classifier (Random Forest/XGBoost) for AD phenotype reversal prediction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FDA-approved compounds induce the greatest reversal of the Aβ toxicity EP signature across the top 20 dysregulated features?</w:t>
      </w:r>
    </w:p>
    <w:p>
      <w:pPr>
        <w:pStyle w:val="ListParagraph"/>
        <w:numPr>
          <w:ilvl w:val="0"/>
          <w:numId w:val="2"/>
        </w:numPr>
        <w:spacing w:after="100" w:line="360"/>
      </w:pPr>
      <w:r>
        <w:rPr>
          <w:rFonts w:ascii="Arial" w:cs="Arial" w:eastAsia="Arial" w:hAnsi="Arial"/>
          <w:sz w:val="24"/>
          <w:szCs w:val="24"/>
        </w:rPr>
        <w:t xml:space="preserve">How do tau-targeting drug classes (kinase inhibitors, aggregation inhibitors, phosphatase enhancers) rank in their ability to restore neuronal firing stability and synaptic transmission?</w:t>
      </w:r>
    </w:p>
    <w:p>
      <w:pPr>
        <w:pStyle w:val="ListParagraph"/>
        <w:numPr>
          <w:ilvl w:val="0"/>
          <w:numId w:val="2"/>
        </w:numPr>
        <w:spacing w:after="100" w:line="360"/>
      </w:pPr>
      <w:r>
        <w:rPr>
          <w:rFonts w:ascii="Arial" w:cs="Arial" w:eastAsia="Arial" w:hAnsi="Arial"/>
          <w:sz w:val="24"/>
          <w:szCs w:val="24"/>
        </w:rPr>
        <w:t xml:space="preserve">Identify compounds that restore multiple AD phenotypes simultaneously (e.g., AP kinetics AND synaptic vesicle trafficking AND network bursting) rather than single features.</w:t>
      </w:r>
    </w:p>
    <w:p>
      <w:pPr>
        <w:pStyle w:val="ListParagraph"/>
        <w:numPr>
          <w:ilvl w:val="0"/>
          <w:numId w:val="2"/>
        </w:numPr>
        <w:spacing w:after="100" w:line="360"/>
      </w:pPr>
      <w:r>
        <w:rPr>
          <w:rFonts w:ascii="Arial" w:cs="Arial" w:eastAsia="Arial" w:hAnsi="Arial"/>
          <w:sz w:val="24"/>
          <w:szCs w:val="24"/>
        </w:rPr>
        <w:t xml:space="preserve">What is the predicted selectivity of top-ranked compounds for neural targets vs peripheral off-targets relevant to AD pathology?</w:t>
      </w:r>
    </w:p>
    <w:p>
      <w:pPr>
        <w:pStyle w:val="ListParagraph"/>
        <w:numPr>
          <w:ilvl w:val="0"/>
          <w:numId w:val="2"/>
        </w:numPr>
        <w:spacing w:after="100" w:line="360"/>
      </w:pPr>
      <w:r>
        <w:rPr>
          <w:rFonts w:ascii="Arial" w:cs="Arial" w:eastAsia="Arial" w:hAnsi="Arial"/>
          <w:sz w:val="24"/>
          <w:szCs w:val="24"/>
        </w:rPr>
        <w:t xml:space="preserve">Which compounds show consistency in phenotype reversal across multiple neuronal subtypes (pyramidal vs inhibitory neurons) in the Quiver atlas?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Ranked list of top 50 FDA-approved compounds with EP signature reversal scores</w:t>
      </w:r>
    </w:p>
    <w:p>
      <w:pPr>
        <w:pStyle w:val="ListParagraph"/>
        <w:numPr>
          <w:ilvl w:val="0"/>
          <w:numId w:val="2"/>
        </w:numPr>
        <w:spacing w:after="100" w:line="360"/>
      </w:pPr>
      <w:r>
        <w:rPr>
          <w:rFonts w:ascii="Arial" w:cs="Arial" w:eastAsia="Arial" w:hAnsi="Arial"/>
          <w:sz w:val="24"/>
          <w:szCs w:val="24"/>
        </w:rPr>
        <w:t xml:space="preserve">Multi-feature reversal matrix showing magnitude of effect on each dysregulated feature per compound</w:t>
      </w:r>
    </w:p>
    <w:p>
      <w:pPr>
        <w:pStyle w:val="ListParagraph"/>
        <w:numPr>
          <w:ilvl w:val="0"/>
          <w:numId w:val="2"/>
        </w:numPr>
        <w:spacing w:after="100" w:line="360"/>
      </w:pPr>
      <w:r>
        <w:rPr>
          <w:rFonts w:ascii="Arial" w:cs="Arial" w:eastAsia="Arial" w:hAnsi="Arial"/>
          <w:sz w:val="24"/>
          <w:szCs w:val="24"/>
        </w:rPr>
        <w:t xml:space="preserve">Mechanism-of-action mapping (kinase targets, transporters, receptors) for all top 50 candidates</w:t>
      </w:r>
    </w:p>
    <w:p>
      <w:pPr>
        <w:pStyle w:val="ListParagraph"/>
        <w:numPr>
          <w:ilvl w:val="0"/>
          <w:numId w:val="2"/>
        </w:numPr>
        <w:spacing w:after="100" w:line="360"/>
      </w:pPr>
      <w:r>
        <w:rPr>
          <w:rFonts w:ascii="Arial" w:cs="Arial" w:eastAsia="Arial" w:hAnsi="Arial"/>
          <w:sz w:val="24"/>
          <w:szCs w:val="24"/>
        </w:rPr>
        <w:t xml:space="preserve">Predicted off-target liability and selectivity profiles across brain cell types</w:t>
      </w:r>
    </w:p>
    <w:p>
      <w:pPr>
        <w:pStyle w:val="ListParagraph"/>
        <w:numPr>
          <w:ilvl w:val="0"/>
          <w:numId w:val="2"/>
        </w:numPr>
        <w:spacing w:after="100" w:line="360"/>
      </w:pPr>
      <w:r>
        <w:rPr>
          <w:rFonts w:ascii="Arial" w:cs="Arial" w:eastAsia="Arial" w:hAnsi="Arial"/>
          <w:sz w:val="24"/>
          <w:szCs w:val="24"/>
        </w:rPr>
        <w:t xml:space="preserve">Dose-response curves and EC50 values from Quiver EP platform for top 20 compounds</w:t>
      </w:r>
    </w:p>
    <w:p>
      <w:pPr>
        <w:pStyle w:val="ListParagraph"/>
        <w:numPr>
          <w:ilvl w:val="0"/>
          <w:numId w:val="2"/>
        </w:numPr>
        <w:spacing w:after="100" w:line="360"/>
      </w:pPr>
      <w:r>
        <w:rPr>
          <w:rFonts w:ascii="Arial" w:cs="Arial" w:eastAsia="Arial" w:hAnsi="Arial"/>
          <w:sz w:val="24"/>
          <w:szCs w:val="24"/>
        </w:rPr>
        <w:t xml:space="preserve">Estimated confidence scores based on reproducibility across independent replicates in the Quiver atlas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Ranked CSV/JSON with compound identifiers (CHEMBL ID, FDA name), scores, targets, and selectivity profiles</w:t>
      </w:r>
    </w:p>
    <w:p>
      <w:pPr>
        <w:pStyle w:val="Heading2"/>
        <w:spacing w:after="200" w:before="200"/>
      </w:pPr>
      <w:r>
        <w:rPr>
          <w:rFonts w:ascii="Arial" w:cs="Arial" w:eastAsia="Arial" w:hAnsi="Arial"/>
          <w:b/>
          <w:bCs/>
          <w:sz w:val="28"/>
          <w:szCs w:val="28"/>
        </w:rPr>
        <w:t xml:space="preserve">Stage 3: Blood-Brain Barrier Penetration Prediction &amp; Validation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Filter candidates based on predicted BBB permeability and validate against in vitro BBB models and published pharmacokinetic data to ensure CNS bioavailability.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50 FDA-approved compounds from Stage 2 (structures, physicochemical properties)</w:t>
      </w:r>
    </w:p>
    <w:p>
      <w:pPr>
        <w:pStyle w:val="ListParagraph"/>
        <w:numPr>
          <w:ilvl w:val="0"/>
          <w:numId w:val="2"/>
        </w:numPr>
        <w:spacing w:after="100" w:line="360"/>
      </w:pPr>
      <w:r>
        <w:rPr>
          <w:rFonts w:ascii="Arial" w:cs="Arial" w:eastAsia="Arial" w:hAnsi="Arial"/>
          <w:sz w:val="24"/>
          <w:szCs w:val="24"/>
        </w:rPr>
        <w:t xml:space="preserve">Published BBB penetration databases (NCATS BBB Penetrant tool, PubChem Compound Properties)</w:t>
      </w:r>
    </w:p>
    <w:p>
      <w:pPr>
        <w:pStyle w:val="ListParagraph"/>
        <w:numPr>
          <w:ilvl w:val="0"/>
          <w:numId w:val="2"/>
        </w:numPr>
        <w:spacing w:after="100" w:line="360"/>
      </w:pPr>
      <w:r>
        <w:rPr>
          <w:rFonts w:ascii="Arial" w:cs="Arial" w:eastAsia="Arial" w:hAnsi="Arial"/>
          <w:sz w:val="24"/>
          <w:szCs w:val="24"/>
        </w:rPr>
        <w:t xml:space="preserve">In vitro BBB transport assay data (MDCK-MDR1, hCMEC/D3 models, Transporter-Competent Artificial Membranes)</w:t>
      </w:r>
    </w:p>
    <w:p>
      <w:pPr>
        <w:pStyle w:val="ListParagraph"/>
        <w:numPr>
          <w:ilvl w:val="0"/>
          <w:numId w:val="2"/>
        </w:numPr>
        <w:spacing w:after="100" w:line="360"/>
      </w:pPr>
      <w:r>
        <w:rPr>
          <w:rFonts w:ascii="Arial" w:cs="Arial" w:eastAsia="Arial" w:hAnsi="Arial"/>
          <w:sz w:val="24"/>
          <w:szCs w:val="24"/>
        </w:rPr>
        <w:t xml:space="preserve">Rodent and human pharmacokinetic datasets (brain/plasma ratios, CSF penetration)</w:t>
      </w:r>
    </w:p>
    <w:p>
      <w:pPr>
        <w:pStyle w:val="ListParagraph"/>
        <w:numPr>
          <w:ilvl w:val="0"/>
          <w:numId w:val="2"/>
        </w:numPr>
        <w:spacing w:after="100" w:line="360"/>
      </w:pPr>
      <w:r>
        <w:rPr>
          <w:rFonts w:ascii="Arial" w:cs="Arial" w:eastAsia="Arial" w:hAnsi="Arial"/>
          <w:sz w:val="24"/>
          <w:szCs w:val="24"/>
        </w:rPr>
        <w:t xml:space="preserve">Structure-activity relationship models for BBB permeability (SMILES strings, molecular fingerprints)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NCATS BBB Prediction Tool (machine learning BBB+ vs BBB- classification)</w:t>
      </w:r>
    </w:p>
    <w:p>
      <w:pPr>
        <w:pStyle w:val="ListParagraph"/>
        <w:numPr>
          <w:ilvl w:val="0"/>
          <w:numId w:val="2"/>
        </w:numPr>
        <w:spacing w:after="100" w:line="360"/>
      </w:pPr>
      <w:r>
        <w:rPr>
          <w:rFonts w:ascii="Arial" w:cs="Arial" w:eastAsia="Arial" w:hAnsi="Arial"/>
          <w:sz w:val="24"/>
          <w:szCs w:val="24"/>
        </w:rPr>
        <w:t xml:space="preserve">Lhasa Limited Derek Nexus (structural ADMET prediction, BBB transporters)</w:t>
      </w:r>
    </w:p>
    <w:p>
      <w:pPr>
        <w:pStyle w:val="ListParagraph"/>
        <w:numPr>
          <w:ilvl w:val="0"/>
          <w:numId w:val="2"/>
        </w:numPr>
        <w:spacing w:after="100" w:line="360"/>
      </w:pPr>
      <w:r>
        <w:rPr>
          <w:rFonts w:ascii="Arial" w:cs="Arial" w:eastAsia="Arial" w:hAnsi="Arial"/>
          <w:sz w:val="24"/>
          <w:szCs w:val="24"/>
        </w:rPr>
        <w:t xml:space="preserve">PubChem Compound Properties database (molecular weight, LogP, polar surface area)</w:t>
      </w:r>
    </w:p>
    <w:p>
      <w:pPr>
        <w:pStyle w:val="ListParagraph"/>
        <w:numPr>
          <w:ilvl w:val="0"/>
          <w:numId w:val="2"/>
        </w:numPr>
        <w:spacing w:after="100" w:line="360"/>
      </w:pPr>
      <w:r>
        <w:rPr>
          <w:rFonts w:ascii="Arial" w:cs="Arial" w:eastAsia="Arial" w:hAnsi="Arial"/>
          <w:sz w:val="24"/>
          <w:szCs w:val="24"/>
        </w:rPr>
        <w:t xml:space="preserve">Published rodent in vivo microdialysis data (brain ECF concentrations)</w:t>
      </w:r>
    </w:p>
    <w:p>
      <w:pPr>
        <w:pStyle w:val="ListParagraph"/>
        <w:numPr>
          <w:ilvl w:val="0"/>
          <w:numId w:val="2"/>
        </w:numPr>
        <w:spacing w:after="100" w:line="360"/>
      </w:pPr>
      <w:r>
        <w:rPr>
          <w:rFonts w:ascii="Arial" w:cs="Arial" w:eastAsia="Arial" w:hAnsi="Arial"/>
          <w:sz w:val="24"/>
          <w:szCs w:val="24"/>
        </w:rPr>
        <w:t xml:space="preserve">Human PK/PD databases (FDA pharmacology reviews, clinical trial data from DrugBank)</w:t>
      </w:r>
    </w:p>
    <w:p>
      <w:pPr>
        <w:pStyle w:val="ListParagraph"/>
        <w:numPr>
          <w:ilvl w:val="0"/>
          <w:numId w:val="2"/>
        </w:numPr>
        <w:spacing w:after="100" w:line="360"/>
      </w:pPr>
      <w:r>
        <w:rPr>
          <w:rFonts w:ascii="Arial" w:cs="Arial" w:eastAsia="Arial" w:hAnsi="Arial"/>
          <w:sz w:val="24"/>
          <w:szCs w:val="24"/>
        </w:rPr>
        <w:t xml:space="preserve">Custom QSAR models trained on Quiver-proprietary BBB penetration assays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of the top 50 compounds are predicted to be BBB+ by NCATS and DEREK, and what is the consensus confidence score?</w:t>
      </w:r>
    </w:p>
    <w:p>
      <w:pPr>
        <w:pStyle w:val="ListParagraph"/>
        <w:numPr>
          <w:ilvl w:val="0"/>
          <w:numId w:val="2"/>
        </w:numPr>
        <w:spacing w:after="100" w:line="360"/>
      </w:pPr>
      <w:r>
        <w:rPr>
          <w:rFonts w:ascii="Arial" w:cs="Arial" w:eastAsia="Arial" w:hAnsi="Arial"/>
          <w:sz w:val="24"/>
          <w:szCs w:val="24"/>
        </w:rPr>
        <w:t xml:space="preserve">For compounds with marginal BBB penetration, are there published PK data (microdialysis, CSF sampling) confirming brain exposure in rodents or humans?</w:t>
      </w:r>
    </w:p>
    <w:p>
      <w:pPr>
        <w:pStyle w:val="ListParagraph"/>
        <w:numPr>
          <w:ilvl w:val="0"/>
          <w:numId w:val="2"/>
        </w:numPr>
        <w:spacing w:after="100" w:line="360"/>
      </w:pPr>
      <w:r>
        <w:rPr>
          <w:rFonts w:ascii="Arial" w:cs="Arial" w:eastAsia="Arial" w:hAnsi="Arial"/>
          <w:sz w:val="24"/>
          <w:szCs w:val="24"/>
        </w:rPr>
        <w:t xml:space="preserve">Identify the structural features in top AD repurposing candidates that correlate with BBB permeability (LogP range, MW, HBD/HBA, rotatable bonds).</w:t>
      </w:r>
    </w:p>
    <w:p>
      <w:pPr>
        <w:pStyle w:val="ListParagraph"/>
        <w:numPr>
          <w:ilvl w:val="0"/>
          <w:numId w:val="2"/>
        </w:numPr>
        <w:spacing w:after="100" w:line="360"/>
      </w:pPr>
      <w:r>
        <w:rPr>
          <w:rFonts w:ascii="Arial" w:cs="Arial" w:eastAsia="Arial" w:hAnsi="Arial"/>
          <w:sz w:val="24"/>
          <w:szCs w:val="24"/>
        </w:rPr>
        <w:t xml:space="preserve">How many of the top-ranked compounds are known substrates or inhibitors of drug transporters (P-gp, BCRP) that could limit BBB entry?</w:t>
      </w:r>
    </w:p>
    <w:p>
      <w:pPr>
        <w:pStyle w:val="ListParagraph"/>
        <w:numPr>
          <w:ilvl w:val="0"/>
          <w:numId w:val="2"/>
        </w:numPr>
        <w:spacing w:after="100" w:line="360"/>
      </w:pPr>
      <w:r>
        <w:rPr>
          <w:rFonts w:ascii="Arial" w:cs="Arial" w:eastAsia="Arial" w:hAnsi="Arial"/>
          <w:sz w:val="24"/>
          <w:szCs w:val="24"/>
        </w:rPr>
        <w:t xml:space="preserve">What minimum brain-to-plasma ratio (Kp) is required for adequate CNS exposure to reverse the AD EP phenotype at clinically achievable concentrations?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BBB penetration classification (BBB+, BBB-, BBB?/uncertain) with prediction scores for all 50 candidates</w:t>
      </w:r>
    </w:p>
    <w:p>
      <w:pPr>
        <w:pStyle w:val="ListParagraph"/>
        <w:numPr>
          <w:ilvl w:val="0"/>
          <w:numId w:val="2"/>
        </w:numPr>
        <w:spacing w:after="100" w:line="360"/>
      </w:pPr>
      <w:r>
        <w:rPr>
          <w:rFonts w:ascii="Arial" w:cs="Arial" w:eastAsia="Arial" w:hAnsi="Arial"/>
          <w:sz w:val="24"/>
          <w:szCs w:val="24"/>
        </w:rPr>
        <w:t xml:space="preserve">Ranked list of 30 BBB+ compounds meeting minimum permeability criteria (Kp.uu &gt;0.01-0.1 depending on target affinity)</w:t>
      </w:r>
    </w:p>
    <w:p>
      <w:pPr>
        <w:pStyle w:val="ListParagraph"/>
        <w:numPr>
          <w:ilvl w:val="0"/>
          <w:numId w:val="2"/>
        </w:numPr>
        <w:spacing w:after="100" w:line="360"/>
      </w:pPr>
      <w:r>
        <w:rPr>
          <w:rFonts w:ascii="Arial" w:cs="Arial" w:eastAsia="Arial" w:hAnsi="Arial"/>
          <w:sz w:val="24"/>
          <w:szCs w:val="24"/>
        </w:rPr>
        <w:t xml:space="preserve">Published in vivo PK data summary (brain/plasma ratios, CSF concentrations, unbound fractions) for top 20 compounds</w:t>
      </w:r>
    </w:p>
    <w:p>
      <w:pPr>
        <w:pStyle w:val="ListParagraph"/>
        <w:numPr>
          <w:ilvl w:val="0"/>
          <w:numId w:val="2"/>
        </w:numPr>
        <w:spacing w:after="100" w:line="360"/>
      </w:pPr>
      <w:r>
        <w:rPr>
          <w:rFonts w:ascii="Arial" w:cs="Arial" w:eastAsia="Arial" w:hAnsi="Arial"/>
          <w:sz w:val="24"/>
          <w:szCs w:val="24"/>
        </w:rPr>
        <w:t xml:space="preserve">Structural feature analysis linking BBB permeability to molecular descriptors (LogP, TPSA, MW, rotatable bonds)</w:t>
      </w:r>
    </w:p>
    <w:p>
      <w:pPr>
        <w:pStyle w:val="ListParagraph"/>
        <w:numPr>
          <w:ilvl w:val="0"/>
          <w:numId w:val="2"/>
        </w:numPr>
        <w:spacing w:after="100" w:line="360"/>
      </w:pPr>
      <w:r>
        <w:rPr>
          <w:rFonts w:ascii="Arial" w:cs="Arial" w:eastAsia="Arial" w:hAnsi="Arial"/>
          <w:sz w:val="24"/>
          <w:szCs w:val="24"/>
        </w:rPr>
        <w:t xml:space="preserve">Predicted CNS drug interaction potential (P-gp/BCRP substrate/inhibitor status, CYP3A4 liability)</w:t>
      </w:r>
    </w:p>
    <w:p>
      <w:pPr>
        <w:pStyle w:val="ListParagraph"/>
        <w:numPr>
          <w:ilvl w:val="0"/>
          <w:numId w:val="2"/>
        </w:numPr>
        <w:spacing w:after="100" w:line="360"/>
      </w:pPr>
      <w:r>
        <w:rPr>
          <w:rFonts w:ascii="Arial" w:cs="Arial" w:eastAsia="Arial" w:hAnsi="Arial"/>
          <w:sz w:val="24"/>
          <w:szCs w:val="24"/>
        </w:rPr>
        <w:t xml:space="preserve">Filtered candidate list prioritizing BBB+ compounds with established CNS safety profiles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Structured CSV with compound names, BBB predictions, Kp values (when available), structural descriptors, and transporter liability flags</w:t>
      </w:r>
    </w:p>
    <w:p>
      <w:pPr>
        <w:pStyle w:val="Heading2"/>
        <w:spacing w:after="200" w:before="200"/>
      </w:pPr>
      <w:r>
        <w:rPr>
          <w:rFonts w:ascii="Arial" w:cs="Arial" w:eastAsia="Arial" w:hAnsi="Arial"/>
          <w:b/>
          <w:bCs/>
          <w:sz w:val="28"/>
          <w:szCs w:val="28"/>
        </w:rPr>
        <w:t xml:space="preserve">Stage 4: Clinical Safety &amp; Efficacy Profile Integration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Integrate clinical trial data, adverse event profiles, and mechanistic safety signals to rank compounds based on risk-benefit in the early AD population.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FDA pharmacology reviews and clinical trial data (FDA Orange Book, ClinicalTrials.gov)</w:t>
      </w:r>
    </w:p>
    <w:p>
      <w:pPr>
        <w:pStyle w:val="ListParagraph"/>
        <w:numPr>
          <w:ilvl w:val="0"/>
          <w:numId w:val="2"/>
        </w:numPr>
        <w:spacing w:after="100" w:line="360"/>
      </w:pPr>
      <w:r>
        <w:rPr>
          <w:rFonts w:ascii="Arial" w:cs="Arial" w:eastAsia="Arial" w:hAnsi="Arial"/>
          <w:sz w:val="24"/>
          <w:szCs w:val="24"/>
        </w:rPr>
        <w:t xml:space="preserve">Pharmacovigilance databases (FDA FAERS, WHO VigiBase, EudraVigilance)</w:t>
      </w:r>
    </w:p>
    <w:p>
      <w:pPr>
        <w:pStyle w:val="ListParagraph"/>
        <w:numPr>
          <w:ilvl w:val="0"/>
          <w:numId w:val="2"/>
        </w:numPr>
        <w:spacing w:after="100" w:line="360"/>
      </w:pPr>
      <w:r>
        <w:rPr>
          <w:rFonts w:ascii="Arial" w:cs="Arial" w:eastAsia="Arial" w:hAnsi="Arial"/>
          <w:sz w:val="24"/>
          <w:szCs w:val="24"/>
        </w:rPr>
        <w:t xml:space="preserve">Published clinical outcomes for compounds in neurodegenerative disease indications</w:t>
      </w:r>
    </w:p>
    <w:p>
      <w:pPr>
        <w:pStyle w:val="ListParagraph"/>
        <w:numPr>
          <w:ilvl w:val="0"/>
          <w:numId w:val="2"/>
        </w:numPr>
        <w:spacing w:after="100" w:line="360"/>
      </w:pPr>
      <w:r>
        <w:rPr>
          <w:rFonts w:ascii="Arial" w:cs="Arial" w:eastAsia="Arial" w:hAnsi="Arial"/>
          <w:sz w:val="24"/>
          <w:szCs w:val="24"/>
        </w:rPr>
        <w:t xml:space="preserve">Drug-drug interaction profiles with common AD comedications (cholinesterase inhibitors, memantine, antihypertensives)</w:t>
      </w:r>
    </w:p>
    <w:p>
      <w:pPr>
        <w:pStyle w:val="ListParagraph"/>
        <w:numPr>
          <w:ilvl w:val="0"/>
          <w:numId w:val="2"/>
        </w:numPr>
        <w:spacing w:after="100" w:line="360"/>
      </w:pPr>
      <w:r>
        <w:rPr>
          <w:rFonts w:ascii="Arial" w:cs="Arial" w:eastAsia="Arial" w:hAnsi="Arial"/>
          <w:sz w:val="24"/>
          <w:szCs w:val="24"/>
        </w:rPr>
        <w:t xml:space="preserve">Geriatric-specific safety concerns and dose adjustments for elderly populations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FDA Pharmacology Reviews (full text safety summaries)</w:t>
      </w:r>
    </w:p>
    <w:p>
      <w:pPr>
        <w:pStyle w:val="ListParagraph"/>
        <w:numPr>
          <w:ilvl w:val="0"/>
          <w:numId w:val="2"/>
        </w:numPr>
        <w:spacing w:after="100" w:line="360"/>
      </w:pPr>
      <w:r>
        <w:rPr>
          <w:rFonts w:ascii="Arial" w:cs="Arial" w:eastAsia="Arial" w:hAnsi="Arial"/>
          <w:sz w:val="24"/>
          <w:szCs w:val="24"/>
        </w:rPr>
        <w:t xml:space="preserve">ClinicalTrials.gov (trial design, primary endpoints, adverse event summaries)</w:t>
      </w:r>
    </w:p>
    <w:p>
      <w:pPr>
        <w:pStyle w:val="ListParagraph"/>
        <w:numPr>
          <w:ilvl w:val="0"/>
          <w:numId w:val="2"/>
        </w:numPr>
        <w:spacing w:after="100" w:line="360"/>
      </w:pPr>
      <w:r>
        <w:rPr>
          <w:rFonts w:ascii="Arial" w:cs="Arial" w:eastAsia="Arial" w:hAnsi="Arial"/>
          <w:sz w:val="24"/>
          <w:szCs w:val="24"/>
        </w:rPr>
        <w:t xml:space="preserve">FAERS database queries and statistical signal detection (ROR, PRR, EBGM)</w:t>
      </w:r>
    </w:p>
    <w:p>
      <w:pPr>
        <w:pStyle w:val="ListParagraph"/>
        <w:numPr>
          <w:ilvl w:val="0"/>
          <w:numId w:val="2"/>
        </w:numPr>
        <w:spacing w:after="100" w:line="360"/>
      </w:pPr>
      <w:r>
        <w:rPr>
          <w:rFonts w:ascii="Arial" w:cs="Arial" w:eastAsia="Arial" w:hAnsi="Arial"/>
          <w:sz w:val="24"/>
          <w:szCs w:val="24"/>
        </w:rPr>
        <w:t xml:space="preserve">Comprehensive adverse event timeline analysis (post-marketing surveillance data)</w:t>
      </w:r>
    </w:p>
    <w:p>
      <w:pPr>
        <w:pStyle w:val="ListParagraph"/>
        <w:numPr>
          <w:ilvl w:val="0"/>
          <w:numId w:val="2"/>
        </w:numPr>
        <w:spacing w:after="100" w:line="360"/>
      </w:pPr>
      <w:r>
        <w:rPr>
          <w:rFonts w:ascii="Arial" w:cs="Arial" w:eastAsia="Arial" w:hAnsi="Arial"/>
          <w:sz w:val="24"/>
          <w:szCs w:val="24"/>
        </w:rPr>
        <w:t xml:space="preserve">DrugBank Drug Interactions API (DDI prediction, CYP450/transporter-mediated liability)</w:t>
      </w:r>
    </w:p>
    <w:p>
      <w:pPr>
        <w:pStyle w:val="ListParagraph"/>
        <w:numPr>
          <w:ilvl w:val="0"/>
          <w:numId w:val="2"/>
        </w:numPr>
        <w:spacing w:after="100" w:line="360"/>
      </w:pPr>
      <w:r>
        <w:rPr>
          <w:rFonts w:ascii="Arial" w:cs="Arial" w:eastAsia="Arial" w:hAnsi="Arial"/>
          <w:sz w:val="24"/>
          <w:szCs w:val="24"/>
        </w:rPr>
        <w:t xml:space="preserve">Custom scoring algorithm integrating safety signals with EP efficacy metrics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of the top 20 BBB-penetrant candidates have the cleanest safety profiles in elderly populations, with minimal cognitive or neuropsychiatric adverse events reported?</w:t>
      </w:r>
    </w:p>
    <w:p>
      <w:pPr>
        <w:pStyle w:val="ListParagraph"/>
        <w:numPr>
          <w:ilvl w:val="0"/>
          <w:numId w:val="2"/>
        </w:numPr>
        <w:spacing w:after="100" w:line="360"/>
      </w:pPr>
      <w:r>
        <w:rPr>
          <w:rFonts w:ascii="Arial" w:cs="Arial" w:eastAsia="Arial" w:hAnsi="Arial"/>
          <w:sz w:val="24"/>
          <w:szCs w:val="24"/>
        </w:rPr>
        <w:t xml:space="preserve">How do hepatic and renal dose adjustments affect CNS exposure of top candidates in the context of AD comorbidities (hypertension, diabetes, cardiovascular disease)?</w:t>
      </w:r>
    </w:p>
    <w:p>
      <w:pPr>
        <w:pStyle w:val="ListParagraph"/>
        <w:numPr>
          <w:ilvl w:val="0"/>
          <w:numId w:val="2"/>
        </w:numPr>
        <w:spacing w:after="100" w:line="360"/>
      </w:pPr>
      <w:r>
        <w:rPr>
          <w:rFonts w:ascii="Arial" w:cs="Arial" w:eastAsia="Arial" w:hAnsi="Arial"/>
          <w:sz w:val="24"/>
          <w:szCs w:val="24"/>
        </w:rPr>
        <w:t xml:space="preserve">Identify drug-drug interactions between top candidates and AD standard-of-care medications (donepezil, memantine) and common geriatric comedications.</w:t>
      </w:r>
    </w:p>
    <w:p>
      <w:pPr>
        <w:pStyle w:val="ListParagraph"/>
        <w:numPr>
          <w:ilvl w:val="0"/>
          <w:numId w:val="2"/>
        </w:numPr>
        <w:spacing w:after="100" w:line="360"/>
      </w:pPr>
      <w:r>
        <w:rPr>
          <w:rFonts w:ascii="Arial" w:cs="Arial" w:eastAsia="Arial" w:hAnsi="Arial"/>
          <w:sz w:val="24"/>
          <w:szCs w:val="24"/>
        </w:rPr>
        <w:t xml:space="preserve">What is the pharmacovigilance signal strength for cognitive impairment, falls, syncope, or arrhythmia associated with each top candidate in published clinical data?</w:t>
      </w:r>
    </w:p>
    <w:p>
      <w:pPr>
        <w:pStyle w:val="ListParagraph"/>
        <w:numPr>
          <w:ilvl w:val="0"/>
          <w:numId w:val="2"/>
        </w:numPr>
        <w:spacing w:after="100" w:line="360"/>
      </w:pPr>
      <w:r>
        <w:rPr>
          <w:rFonts w:ascii="Arial" w:cs="Arial" w:eastAsia="Arial" w:hAnsi="Arial"/>
          <w:sz w:val="24"/>
          <w:szCs w:val="24"/>
        </w:rPr>
        <w:t xml:space="preserve">Are there published studies investigating the efficacy or safety of any top candidates in mild cognitive impairment (MCI) or early AD populations specifically?</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Ranked list of 15 candidates with integrated safety and efficacy scores</w:t>
      </w:r>
    </w:p>
    <w:p>
      <w:pPr>
        <w:pStyle w:val="ListParagraph"/>
        <w:numPr>
          <w:ilvl w:val="0"/>
          <w:numId w:val="2"/>
        </w:numPr>
        <w:spacing w:after="100" w:line="360"/>
      </w:pPr>
      <w:r>
        <w:rPr>
          <w:rFonts w:ascii="Arial" w:cs="Arial" w:eastAsia="Arial" w:hAnsi="Arial"/>
          <w:sz w:val="24"/>
          <w:szCs w:val="24"/>
        </w:rPr>
        <w:t xml:space="preserve">Detailed adverse event profile per compound (incidence rates, severities, reversibility) in elderly/AD-relevant populations</w:t>
      </w:r>
    </w:p>
    <w:p>
      <w:pPr>
        <w:pStyle w:val="ListParagraph"/>
        <w:numPr>
          <w:ilvl w:val="0"/>
          <w:numId w:val="2"/>
        </w:numPr>
        <w:spacing w:after="100" w:line="360"/>
      </w:pPr>
      <w:r>
        <w:rPr>
          <w:rFonts w:ascii="Arial" w:cs="Arial" w:eastAsia="Arial" w:hAnsi="Arial"/>
          <w:sz w:val="24"/>
          <w:szCs w:val="24"/>
        </w:rPr>
        <w:t xml:space="preserve">Drug-drug interaction matrix showing DDI potential with donepezil, memantine, and common geriatric medications</w:t>
      </w:r>
    </w:p>
    <w:p>
      <w:pPr>
        <w:pStyle w:val="ListParagraph"/>
        <w:numPr>
          <w:ilvl w:val="0"/>
          <w:numId w:val="2"/>
        </w:numPr>
        <w:spacing w:after="100" w:line="360"/>
      </w:pPr>
      <w:r>
        <w:rPr>
          <w:rFonts w:ascii="Arial" w:cs="Arial" w:eastAsia="Arial" w:hAnsi="Arial"/>
          <w:sz w:val="24"/>
          <w:szCs w:val="24"/>
        </w:rPr>
        <w:t xml:space="preserve">Clinical trial history and published outcomes for compounds tested in neurodegenerative or cognitive indications</w:t>
      </w:r>
    </w:p>
    <w:p>
      <w:pPr>
        <w:pStyle w:val="ListParagraph"/>
        <w:numPr>
          <w:ilvl w:val="0"/>
          <w:numId w:val="2"/>
        </w:numPr>
        <w:spacing w:after="100" w:line="360"/>
      </w:pPr>
      <w:r>
        <w:rPr>
          <w:rFonts w:ascii="Arial" w:cs="Arial" w:eastAsia="Arial" w:hAnsi="Arial"/>
          <w:sz w:val="24"/>
          <w:szCs w:val="24"/>
        </w:rPr>
        <w:t xml:space="preserve">Geriatric dose adjustment recommendations and organ-specific considerations (hepatic/renal impairment)</w:t>
      </w:r>
    </w:p>
    <w:p>
      <w:pPr>
        <w:pStyle w:val="ListParagraph"/>
        <w:numPr>
          <w:ilvl w:val="0"/>
          <w:numId w:val="2"/>
        </w:numPr>
        <w:spacing w:after="100" w:line="360"/>
      </w:pPr>
      <w:r>
        <w:rPr>
          <w:rFonts w:ascii="Arial" w:cs="Arial" w:eastAsia="Arial" w:hAnsi="Arial"/>
          <w:sz w:val="24"/>
          <w:szCs w:val="24"/>
        </w:rPr>
        <w:t xml:space="preserve">Risk-benefit assessment scores combining EP efficacy, BBB penetration, safety, and clinical development status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Comprehensive ranking table (CSV/JSON) with compound names, safety scores, DDI summaries, clinical trial status, and overall risk-benefit ranking</w:t>
      </w:r>
    </w:p>
    <w:p>
      <w:pPr>
        <w:pStyle w:val="Heading2"/>
        <w:spacing w:after="200" w:before="200"/>
      </w:pPr>
      <w:r>
        <w:rPr>
          <w:rFonts w:ascii="Arial" w:cs="Arial" w:eastAsia="Arial" w:hAnsi="Arial"/>
          <w:b/>
          <w:bCs/>
          <w:sz w:val="28"/>
          <w:szCs w:val="28"/>
        </w:rPr>
        <w:t xml:space="preserve">Stage 5: EP-Based Efficacy Ranking &amp; Mechanism Validation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Rank final candidates using multi-dimensional EP phenotype reversal, validate mechanisms using independent Quiver CRISPR perturbations, and predict translational potential.</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15 candidates from Stage 4 (safety/efficacy integrated profile)</w:t>
      </w:r>
    </w:p>
    <w:p>
      <w:pPr>
        <w:pStyle w:val="ListParagraph"/>
        <w:numPr>
          <w:ilvl w:val="0"/>
          <w:numId w:val="2"/>
        </w:numPr>
        <w:spacing w:after="100" w:line="360"/>
      </w:pPr>
      <w:r>
        <w:rPr>
          <w:rFonts w:ascii="Arial" w:cs="Arial" w:eastAsia="Arial" w:hAnsi="Arial"/>
          <w:sz w:val="24"/>
          <w:szCs w:val="24"/>
        </w:rPr>
        <w:t xml:space="preserve">Full EP phenotype reversal matrix from Stage 2 (effect sizes across 500+ features)</w:t>
      </w:r>
    </w:p>
    <w:p>
      <w:pPr>
        <w:pStyle w:val="ListParagraph"/>
        <w:numPr>
          <w:ilvl w:val="0"/>
          <w:numId w:val="2"/>
        </w:numPr>
        <w:spacing w:after="100" w:line="360"/>
      </w:pPr>
      <w:r>
        <w:rPr>
          <w:rFonts w:ascii="Arial" w:cs="Arial" w:eastAsia="Arial" w:hAnsi="Arial"/>
          <w:sz w:val="24"/>
          <w:szCs w:val="24"/>
        </w:rPr>
        <w:t xml:space="preserve">Quiver CRISPR knockouts of putative drug targets (confirming MoA consistency)</w:t>
      </w:r>
    </w:p>
    <w:p>
      <w:pPr>
        <w:pStyle w:val="ListParagraph"/>
        <w:numPr>
          <w:ilvl w:val="0"/>
          <w:numId w:val="2"/>
        </w:numPr>
        <w:spacing w:after="100" w:line="360"/>
      </w:pPr>
      <w:r>
        <w:rPr>
          <w:rFonts w:ascii="Arial" w:cs="Arial" w:eastAsia="Arial" w:hAnsi="Arial"/>
          <w:sz w:val="24"/>
          <w:szCs w:val="24"/>
        </w:rPr>
        <w:t xml:space="preserve">Independent validation datasets (published patch-clamp, MEA, calcium imaging studies)</w:t>
      </w:r>
    </w:p>
    <w:p>
      <w:pPr>
        <w:pStyle w:val="ListParagraph"/>
        <w:numPr>
          <w:ilvl w:val="0"/>
          <w:numId w:val="2"/>
        </w:numPr>
        <w:spacing w:after="100" w:line="360"/>
      </w:pPr>
      <w:r>
        <w:rPr>
          <w:rFonts w:ascii="Arial" w:cs="Arial" w:eastAsia="Arial" w:hAnsi="Arial"/>
          <w:sz w:val="24"/>
          <w:szCs w:val="24"/>
        </w:rPr>
        <w:t xml:space="preserve">Estimated human therapeutic concentrations (from PK data and clinical dosing)</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EP Platform analysis suite (phenotype-level statistical testing, effect size estimation)</w:t>
      </w:r>
    </w:p>
    <w:p>
      <w:pPr>
        <w:pStyle w:val="ListParagraph"/>
        <w:numPr>
          <w:ilvl w:val="0"/>
          <w:numId w:val="2"/>
        </w:numPr>
        <w:spacing w:after="100" w:line="360"/>
      </w:pPr>
      <w:r>
        <w:rPr>
          <w:rFonts w:ascii="Arial" w:cs="Arial" w:eastAsia="Arial" w:hAnsi="Arial"/>
          <w:sz w:val="24"/>
          <w:szCs w:val="24"/>
        </w:rPr>
        <w:t xml:space="preserve">Target validation by CRISPR perturbation (matching drug effect to genetic MoA confirmation)</w:t>
      </w:r>
    </w:p>
    <w:p>
      <w:pPr>
        <w:pStyle w:val="ListParagraph"/>
        <w:numPr>
          <w:ilvl w:val="0"/>
          <w:numId w:val="2"/>
        </w:numPr>
        <w:spacing w:after="100" w:line="360"/>
      </w:pPr>
      <w:r>
        <w:rPr>
          <w:rFonts w:ascii="Arial" w:cs="Arial" w:eastAsia="Arial" w:hAnsi="Arial"/>
          <w:sz w:val="24"/>
          <w:szCs w:val="24"/>
        </w:rPr>
        <w:t xml:space="preserve">Multi-dimensional phenotype ranking (PCA, hierarchical clustering of feature reversals)</w:t>
      </w:r>
    </w:p>
    <w:p>
      <w:pPr>
        <w:pStyle w:val="ListParagraph"/>
        <w:numPr>
          <w:ilvl w:val="0"/>
          <w:numId w:val="2"/>
        </w:numPr>
        <w:spacing w:after="100" w:line="360"/>
      </w:pPr>
      <w:r>
        <w:rPr>
          <w:rFonts w:ascii="Arial" w:cs="Arial" w:eastAsia="Arial" w:hAnsi="Arial"/>
          <w:sz w:val="24"/>
          <w:szCs w:val="24"/>
        </w:rPr>
        <w:t xml:space="preserve">Mechanism consensus scoring (agreement between drug effect and literature-supported targets)</w:t>
      </w:r>
    </w:p>
    <w:p>
      <w:pPr>
        <w:pStyle w:val="ListParagraph"/>
        <w:numPr>
          <w:ilvl w:val="0"/>
          <w:numId w:val="2"/>
        </w:numPr>
        <w:spacing w:after="100" w:line="360"/>
      </w:pPr>
      <w:r>
        <w:rPr>
          <w:rFonts w:ascii="Arial" w:cs="Arial" w:eastAsia="Arial" w:hAnsi="Arial"/>
          <w:sz w:val="24"/>
          <w:szCs w:val="24"/>
        </w:rPr>
        <w:t xml:space="preserve">In vitro-to-in vivo translation models (patch-clamp to animal behavior prediction)</w:t>
      </w:r>
    </w:p>
    <w:p>
      <w:pPr>
        <w:pStyle w:val="ListParagraph"/>
        <w:numPr>
          <w:ilvl w:val="0"/>
          <w:numId w:val="2"/>
        </w:numPr>
        <w:spacing w:after="100" w:line="360"/>
      </w:pPr>
      <w:r>
        <w:rPr>
          <w:rFonts w:ascii="Arial" w:cs="Arial" w:eastAsia="Arial" w:hAnsi="Arial"/>
          <w:sz w:val="24"/>
          <w:szCs w:val="24"/>
        </w:rPr>
        <w:t xml:space="preserve">Efficacy confidence scoring integrating orthogonal lines of evidence</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For each top 15 candidate, which Quiver CRISPR knockouts of putative drug targets produce EP phenotypes most similar to the compound effect?</w:t>
      </w:r>
    </w:p>
    <w:p>
      <w:pPr>
        <w:pStyle w:val="ListParagraph"/>
        <w:numPr>
          <w:ilvl w:val="0"/>
          <w:numId w:val="2"/>
        </w:numPr>
        <w:spacing w:after="100" w:line="360"/>
      </w:pPr>
      <w:r>
        <w:rPr>
          <w:rFonts w:ascii="Arial" w:cs="Arial" w:eastAsia="Arial" w:hAnsi="Arial"/>
          <w:sz w:val="24"/>
          <w:szCs w:val="24"/>
        </w:rPr>
        <w:t xml:space="preserve">Rank the 15 compounds by the number of dysregulated AD features they reverse (feature breadth) vs magnitude of effect on key features (potency).</w:t>
      </w:r>
    </w:p>
    <w:p>
      <w:pPr>
        <w:pStyle w:val="ListParagraph"/>
        <w:numPr>
          <w:ilvl w:val="0"/>
          <w:numId w:val="2"/>
        </w:numPr>
        <w:spacing w:after="100" w:line="360"/>
      </w:pPr>
      <w:r>
        <w:rPr>
          <w:rFonts w:ascii="Arial" w:cs="Arial" w:eastAsia="Arial" w:hAnsi="Arial"/>
          <w:sz w:val="24"/>
          <w:szCs w:val="24"/>
        </w:rPr>
        <w:t xml:space="preserve">Which candidates produce the most sustained or long-lasting EP phenotype reversions in repeated-exposure assays in the Quiver platform?</w:t>
      </w:r>
    </w:p>
    <w:p>
      <w:pPr>
        <w:pStyle w:val="ListParagraph"/>
        <w:numPr>
          <w:ilvl w:val="0"/>
          <w:numId w:val="2"/>
        </w:numPr>
        <w:spacing w:after="100" w:line="360"/>
      </w:pPr>
      <w:r>
        <w:rPr>
          <w:rFonts w:ascii="Arial" w:cs="Arial" w:eastAsia="Arial" w:hAnsi="Arial"/>
          <w:sz w:val="24"/>
          <w:szCs w:val="24"/>
        </w:rPr>
        <w:t xml:space="preserve">How do the mechanisms of action predicted from EP data (ion channel modulation, synaptic transmission enhancement, network stabilization) align with published target biology?</w:t>
      </w:r>
    </w:p>
    <w:p>
      <w:pPr>
        <w:pStyle w:val="ListParagraph"/>
        <w:numPr>
          <w:ilvl w:val="0"/>
          <w:numId w:val="2"/>
        </w:numPr>
        <w:spacing w:after="100" w:line="360"/>
      </w:pPr>
      <w:r>
        <w:rPr>
          <w:rFonts w:ascii="Arial" w:cs="Arial" w:eastAsia="Arial" w:hAnsi="Arial"/>
          <w:sz w:val="24"/>
          <w:szCs w:val="24"/>
        </w:rPr>
        <w:t xml:space="preserve">Estimate the probability that EP-observed efficacy will translate to cognitive benefit in humans based on concordance with validated biomarkers and prior repurposing successes.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Final ranked list of top 5 FDA-approved drugs for AD repurposing (rank 1-5 with justification)</w:t>
      </w:r>
    </w:p>
    <w:p>
      <w:pPr>
        <w:pStyle w:val="ListParagraph"/>
        <w:numPr>
          <w:ilvl w:val="0"/>
          <w:numId w:val="2"/>
        </w:numPr>
        <w:spacing w:after="100" w:line="360"/>
      </w:pPr>
      <w:r>
        <w:rPr>
          <w:rFonts w:ascii="Arial" w:cs="Arial" w:eastAsia="Arial" w:hAnsi="Arial"/>
          <w:sz w:val="24"/>
          <w:szCs w:val="24"/>
        </w:rPr>
        <w:t xml:space="preserve">Multi-dimensional EP efficacy profile per compound (heatmap of reversal effects across feature categories)</w:t>
      </w:r>
    </w:p>
    <w:p>
      <w:pPr>
        <w:pStyle w:val="ListParagraph"/>
        <w:numPr>
          <w:ilvl w:val="0"/>
          <w:numId w:val="2"/>
        </w:numPr>
        <w:spacing w:after="100" w:line="360"/>
      </w:pPr>
      <w:r>
        <w:rPr>
          <w:rFonts w:ascii="Arial" w:cs="Arial" w:eastAsia="Arial" w:hAnsi="Arial"/>
          <w:sz w:val="24"/>
          <w:szCs w:val="24"/>
        </w:rPr>
        <w:t xml:space="preserve">Mechanism-of-action validation via CRISPR target knockouts showing phenotypic concordance</w:t>
      </w:r>
    </w:p>
    <w:p>
      <w:pPr>
        <w:pStyle w:val="ListParagraph"/>
        <w:numPr>
          <w:ilvl w:val="0"/>
          <w:numId w:val="2"/>
        </w:numPr>
        <w:spacing w:after="100" w:line="360"/>
      </w:pPr>
      <w:r>
        <w:rPr>
          <w:rFonts w:ascii="Arial" w:cs="Arial" w:eastAsia="Arial" w:hAnsi="Arial"/>
          <w:sz w:val="24"/>
          <w:szCs w:val="24"/>
        </w:rPr>
        <w:t xml:space="preserve">Estimated therapeutic window based on EC50 from EP assays vs predicted human CNS concentrations</w:t>
      </w:r>
    </w:p>
    <w:p>
      <w:pPr>
        <w:pStyle w:val="ListParagraph"/>
        <w:numPr>
          <w:ilvl w:val="0"/>
          <w:numId w:val="2"/>
        </w:numPr>
        <w:spacing w:after="100" w:line="360"/>
      </w:pPr>
      <w:r>
        <w:rPr>
          <w:rFonts w:ascii="Arial" w:cs="Arial" w:eastAsia="Arial" w:hAnsi="Arial"/>
          <w:sz w:val="24"/>
          <w:szCs w:val="24"/>
        </w:rPr>
        <w:t xml:space="preserve">Translational probability scoring for each top 5 candidate (likelihood of clinical cognitive benefit)</w:t>
      </w:r>
    </w:p>
    <w:p>
      <w:pPr>
        <w:pStyle w:val="ListParagraph"/>
        <w:numPr>
          <w:ilvl w:val="0"/>
          <w:numId w:val="2"/>
        </w:numPr>
        <w:spacing w:after="100" w:line="360"/>
      </w:pPr>
      <w:r>
        <w:rPr>
          <w:rFonts w:ascii="Arial" w:cs="Arial" w:eastAsia="Arial" w:hAnsi="Arial"/>
          <w:sz w:val="24"/>
          <w:szCs w:val="24"/>
        </w:rPr>
        <w:t xml:space="preserve">Recommended clinical trial design and endpoints aligned with EP biomarkers and phenotypic features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Ranked list (1-5) with detailed PDF/JSON profiles including EP efficacy heatmaps, mechanism validation, safety integration, and translational confidence scores</w:t>
      </w:r>
    </w:p>
    <w:p>
      <w:pPr>
        <w:pStyle w:val="Heading2"/>
        <w:spacing w:after="200" w:before="200"/>
      </w:pPr>
      <w:r>
        <w:rPr>
          <w:rFonts w:ascii="Arial" w:cs="Arial" w:eastAsia="Arial" w:hAnsi="Arial"/>
          <w:b/>
          <w:bCs/>
          <w:sz w:val="28"/>
          <w:szCs w:val="28"/>
        </w:rPr>
        <w:t xml:space="preserve">Stage 6: Clinical Development Pathway &amp; Go/No-Go Decision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Synthesize all data into clinical development recommendations, including study design, biomarker strategies, and regulatory pathway for rapid advancement of top candidates to Phase II trial.</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5 ranked AD repurposing candidates from Stage 5 (complete efficacy/safety profiles)</w:t>
      </w:r>
    </w:p>
    <w:p>
      <w:pPr>
        <w:pStyle w:val="ListParagraph"/>
        <w:numPr>
          <w:ilvl w:val="0"/>
          <w:numId w:val="2"/>
        </w:numPr>
        <w:spacing w:after="100" w:line="360"/>
      </w:pPr>
      <w:r>
        <w:rPr>
          <w:rFonts w:ascii="Arial" w:cs="Arial" w:eastAsia="Arial" w:hAnsi="Arial"/>
          <w:sz w:val="24"/>
          <w:szCs w:val="24"/>
        </w:rPr>
        <w:t xml:space="preserve">Regulatory guidance documents (FDA 21 CFR Part 11, ICH guidelines, AD biomarker guidance)</w:t>
      </w:r>
    </w:p>
    <w:p>
      <w:pPr>
        <w:pStyle w:val="ListParagraph"/>
        <w:numPr>
          <w:ilvl w:val="0"/>
          <w:numId w:val="2"/>
        </w:numPr>
        <w:spacing w:after="100" w:line="360"/>
      </w:pPr>
      <w:r>
        <w:rPr>
          <w:rFonts w:ascii="Arial" w:cs="Arial" w:eastAsia="Arial" w:hAnsi="Arial"/>
          <w:sz w:val="24"/>
          <w:szCs w:val="24"/>
        </w:rPr>
        <w:t xml:space="preserve">Published clinical trial designs for early AD/MCI interventions (ADNI, APOE4-targeted trials)</w:t>
      </w:r>
    </w:p>
    <w:p>
      <w:pPr>
        <w:pStyle w:val="ListParagraph"/>
        <w:numPr>
          <w:ilvl w:val="0"/>
          <w:numId w:val="2"/>
        </w:numPr>
        <w:spacing w:after="100" w:line="360"/>
      </w:pPr>
      <w:r>
        <w:rPr>
          <w:rFonts w:ascii="Arial" w:cs="Arial" w:eastAsia="Arial" w:hAnsi="Arial"/>
          <w:sz w:val="24"/>
          <w:szCs w:val="24"/>
        </w:rPr>
        <w:t xml:space="preserve">Existing IND applications and clinical trial experience for top candidates</w:t>
      </w:r>
    </w:p>
    <w:p>
      <w:pPr>
        <w:pStyle w:val="ListParagraph"/>
        <w:numPr>
          <w:ilvl w:val="0"/>
          <w:numId w:val="2"/>
        </w:numPr>
        <w:spacing w:after="100" w:line="360"/>
      </w:pPr>
      <w:r>
        <w:rPr>
          <w:rFonts w:ascii="Arial" w:cs="Arial" w:eastAsia="Arial" w:hAnsi="Arial"/>
          <w:sz w:val="24"/>
          <w:szCs w:val="24"/>
        </w:rPr>
        <w:t xml:space="preserve">Competitive landscape analysis (other repurposing candidates, novel mechanisms in development)</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FDA guidance documents (Early AD Biomarker Qualification pathway, Accelerated Approval pathway)</w:t>
      </w:r>
    </w:p>
    <w:p>
      <w:pPr>
        <w:pStyle w:val="ListParagraph"/>
        <w:numPr>
          <w:ilvl w:val="0"/>
          <w:numId w:val="2"/>
        </w:numPr>
        <w:spacing w:after="100" w:line="360"/>
      </w:pPr>
      <w:r>
        <w:rPr>
          <w:rFonts w:ascii="Arial" w:cs="Arial" w:eastAsia="Arial" w:hAnsi="Arial"/>
          <w:sz w:val="24"/>
          <w:szCs w:val="24"/>
        </w:rPr>
        <w:t xml:space="preserve">Clinical trial design database (adaptive designs, biomarker-enriched enrollment, composite endpoints)</w:t>
      </w:r>
    </w:p>
    <w:p>
      <w:pPr>
        <w:pStyle w:val="ListParagraph"/>
        <w:numPr>
          <w:ilvl w:val="0"/>
          <w:numId w:val="2"/>
        </w:numPr>
        <w:spacing w:after="100" w:line="360"/>
      </w:pPr>
      <w:r>
        <w:rPr>
          <w:rFonts w:ascii="Arial" w:cs="Arial" w:eastAsia="Arial" w:hAnsi="Arial"/>
          <w:sz w:val="24"/>
          <w:szCs w:val="24"/>
        </w:rPr>
        <w:t xml:space="preserve">Regulatory intelligence platforms (Cortellis, Adis Insight) for competitive landscape</w:t>
      </w:r>
    </w:p>
    <w:p>
      <w:pPr>
        <w:pStyle w:val="ListParagraph"/>
        <w:numPr>
          <w:ilvl w:val="0"/>
          <w:numId w:val="2"/>
        </w:numPr>
        <w:spacing w:after="100" w:line="360"/>
      </w:pPr>
      <w:r>
        <w:rPr>
          <w:rFonts w:ascii="Arial" w:cs="Arial" w:eastAsia="Arial" w:hAnsi="Arial"/>
          <w:sz w:val="24"/>
          <w:szCs w:val="24"/>
        </w:rPr>
        <w:t xml:space="preserve">Budget and timeline forecasting models for Phase IIa/IIb in early AD cohorts</w:t>
      </w:r>
    </w:p>
    <w:p>
      <w:pPr>
        <w:pStyle w:val="ListParagraph"/>
        <w:numPr>
          <w:ilvl w:val="0"/>
          <w:numId w:val="2"/>
        </w:numPr>
        <w:spacing w:after="100" w:line="360"/>
      </w:pPr>
      <w:r>
        <w:rPr>
          <w:rFonts w:ascii="Arial" w:cs="Arial" w:eastAsia="Arial" w:hAnsi="Arial"/>
          <w:sz w:val="24"/>
          <w:szCs w:val="24"/>
        </w:rPr>
        <w:t xml:space="preserve">Biomarker strategy workshop outputs (CSF tau/Aβ, plasma p-tau, amyloid PET, structural MRI)</w:t>
      </w:r>
    </w:p>
    <w:p>
      <w:pPr>
        <w:pStyle w:val="ListParagraph"/>
        <w:numPr>
          <w:ilvl w:val="0"/>
          <w:numId w:val="2"/>
        </w:numPr>
        <w:spacing w:after="100" w:line="360"/>
      </w:pPr>
      <w:r>
        <w:rPr>
          <w:rFonts w:ascii="Arial" w:cs="Arial" w:eastAsia="Arial" w:hAnsi="Arial"/>
          <w:sz w:val="24"/>
          <w:szCs w:val="24"/>
        </w:rPr>
        <w:t xml:space="preserve">Go/No-Go decision framework integrating efficacy, safety, IP, and market opportunity</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What is the minimal Phase II study design (n, duration, primary endpoint) required to validate the EP-predicted efficacy for each top 5 candidate?</w:t>
      </w:r>
    </w:p>
    <w:p>
      <w:pPr>
        <w:pStyle w:val="ListParagraph"/>
        <w:numPr>
          <w:ilvl w:val="0"/>
          <w:numId w:val="2"/>
        </w:numPr>
        <w:spacing w:after="100" w:line="360"/>
      </w:pPr>
      <w:r>
        <w:rPr>
          <w:rFonts w:ascii="Arial" w:cs="Arial" w:eastAsia="Arial" w:hAnsi="Arial"/>
          <w:sz w:val="24"/>
          <w:szCs w:val="24"/>
        </w:rPr>
        <w:t xml:space="preserve">How should APOE4 stratification, baseline amyloid/tau status, and CSF biomarkers be incorporated into the enrichment strategy for early AD trial design?</w:t>
      </w:r>
    </w:p>
    <w:p>
      <w:pPr>
        <w:pStyle w:val="ListParagraph"/>
        <w:numPr>
          <w:ilvl w:val="0"/>
          <w:numId w:val="2"/>
        </w:numPr>
        <w:spacing w:after="100" w:line="360"/>
      </w:pPr>
      <w:r>
        <w:rPr>
          <w:rFonts w:ascii="Arial" w:cs="Arial" w:eastAsia="Arial" w:hAnsi="Arial"/>
          <w:sz w:val="24"/>
          <w:szCs w:val="24"/>
        </w:rPr>
        <w:t xml:space="preserve">Which biomarkers (plasma p-tau181, p-tau217, plasma Aβ42/40 ratio, functional connectivity MRI) should be integrated with EP signature measures as trial endpoints?</w:t>
      </w:r>
    </w:p>
    <w:p>
      <w:pPr>
        <w:pStyle w:val="ListParagraph"/>
        <w:numPr>
          <w:ilvl w:val="0"/>
          <w:numId w:val="2"/>
        </w:numPr>
        <w:spacing w:after="100" w:line="360"/>
      </w:pPr>
      <w:r>
        <w:rPr>
          <w:rFonts w:ascii="Arial" w:cs="Arial" w:eastAsia="Arial" w:hAnsi="Arial"/>
          <w:sz w:val="24"/>
          <w:szCs w:val="24"/>
        </w:rPr>
        <w:t xml:space="preserve">What is the intellectual property landscape for each top 5 candidate in early AD, including composition of matter patents, use patents, and formulation improvements?</w:t>
      </w:r>
    </w:p>
    <w:p>
      <w:pPr>
        <w:pStyle w:val="ListParagraph"/>
        <w:numPr>
          <w:ilvl w:val="0"/>
          <w:numId w:val="2"/>
        </w:numPr>
        <w:spacing w:after="100" w:line="360"/>
      </w:pPr>
      <w:r>
        <w:rPr>
          <w:rFonts w:ascii="Arial" w:cs="Arial" w:eastAsia="Arial" w:hAnsi="Arial"/>
          <w:sz w:val="24"/>
          <w:szCs w:val="24"/>
        </w:rPr>
        <w:t xml:space="preserve">Which regulatory pathways (standard IND-directed development, breakthrough designation, accelerated approval) are most appropriate for each candidate based on unmet need and efficacy signal?</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Go/No-Go recommendations for each top 5 candidate with justification based on integrated evidence</w:t>
      </w:r>
    </w:p>
    <w:p>
      <w:pPr>
        <w:pStyle w:val="ListParagraph"/>
        <w:numPr>
          <w:ilvl w:val="0"/>
          <w:numId w:val="2"/>
        </w:numPr>
        <w:spacing w:after="100" w:line="360"/>
      </w:pPr>
      <w:r>
        <w:rPr>
          <w:rFonts w:ascii="Arial" w:cs="Arial" w:eastAsia="Arial" w:hAnsi="Arial"/>
          <w:sz w:val="24"/>
          <w:szCs w:val="24"/>
        </w:rPr>
        <w:t xml:space="preserve">Recommended Phase II trial design specifications (population, primary/secondary endpoints, inclusion/exclusion, duration, n)</w:t>
      </w:r>
    </w:p>
    <w:p>
      <w:pPr>
        <w:pStyle w:val="ListParagraph"/>
        <w:numPr>
          <w:ilvl w:val="0"/>
          <w:numId w:val="2"/>
        </w:numPr>
        <w:spacing w:after="100" w:line="360"/>
      </w:pPr>
      <w:r>
        <w:rPr>
          <w:rFonts w:ascii="Arial" w:cs="Arial" w:eastAsia="Arial" w:hAnsi="Arial"/>
          <w:sz w:val="24"/>
          <w:szCs w:val="24"/>
        </w:rPr>
        <w:t xml:space="preserve">Biomarker strategy aligned with EP phenotypes (CSF biomarkers, plasma biomarkers, imaging endpoints, functional outcomes)</w:t>
      </w:r>
    </w:p>
    <w:p>
      <w:pPr>
        <w:pStyle w:val="ListParagraph"/>
        <w:numPr>
          <w:ilvl w:val="0"/>
          <w:numId w:val="2"/>
        </w:numPr>
        <w:spacing w:after="100" w:line="360"/>
      </w:pPr>
      <w:r>
        <w:rPr>
          <w:rFonts w:ascii="Arial" w:cs="Arial" w:eastAsia="Arial" w:hAnsi="Arial"/>
          <w:sz w:val="24"/>
          <w:szCs w:val="24"/>
        </w:rPr>
        <w:t xml:space="preserve">Regulatory pathway recommendation (standard path, breakthrough designation, etc.) with anticipated timeline to Phase II initiation</w:t>
      </w:r>
    </w:p>
    <w:p>
      <w:pPr>
        <w:pStyle w:val="ListParagraph"/>
        <w:numPr>
          <w:ilvl w:val="0"/>
          <w:numId w:val="2"/>
        </w:numPr>
        <w:spacing w:after="100" w:line="360"/>
      </w:pPr>
      <w:r>
        <w:rPr>
          <w:rFonts w:ascii="Arial" w:cs="Arial" w:eastAsia="Arial" w:hAnsi="Arial"/>
          <w:sz w:val="24"/>
          <w:szCs w:val="24"/>
        </w:rPr>
        <w:t xml:space="preserve">Competitive positioning statement and differentiation strategy relative to other AD repurposing candidates</w:t>
      </w:r>
    </w:p>
    <w:p>
      <w:pPr>
        <w:pStyle w:val="ListParagraph"/>
        <w:numPr>
          <w:ilvl w:val="0"/>
          <w:numId w:val="2"/>
        </w:numPr>
        <w:spacing w:after="100" w:line="360"/>
      </w:pPr>
      <w:r>
        <w:rPr>
          <w:rFonts w:ascii="Arial" w:cs="Arial" w:eastAsia="Arial" w:hAnsi="Arial"/>
          <w:sz w:val="24"/>
          <w:szCs w:val="24"/>
        </w:rPr>
        <w:t xml:space="preserve">Budget and resource requirements for IND-enabling studies and Phase II trial initiation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Executive summary (PDF/Word) with clinical development roadmap, decision framework, and detailed Phase II protocol outline</w:t>
      </w:r>
    </w:p>
    <w:p>
      <w:pPr>
        <w:pStyle w:val="Heading2"/>
        <w:spacing w:after="200" w:before="200"/>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Quiver Bioscience EP CRISPR Atlas (18k gene perturbations, 500+ features, primary screening platform)</w:t>
      </w:r>
    </w:p>
    <w:p>
      <w:pPr>
        <w:pStyle w:val="ListParagraph"/>
        <w:numPr>
          <w:ilvl w:val="0"/>
          <w:numId w:val="2"/>
        </w:numPr>
        <w:spacing w:after="100" w:line="360"/>
      </w:pPr>
      <w:r>
        <w:rPr>
          <w:rFonts w:ascii="Arial" w:cs="Arial" w:eastAsia="Arial" w:hAnsi="Arial"/>
          <w:sz w:val="24"/>
          <w:szCs w:val="24"/>
        </w:rPr>
        <w:t xml:space="preserve">Quiver EP Compound Library (3,500+ FDA-approved, investigational, and natural product compounds)</w:t>
      </w:r>
    </w:p>
    <w:p>
      <w:pPr>
        <w:pStyle w:val="ListParagraph"/>
        <w:numPr>
          <w:ilvl w:val="0"/>
          <w:numId w:val="2"/>
        </w:numPr>
        <w:spacing w:after="100" w:line="360"/>
      </w:pPr>
      <w:r>
        <w:rPr>
          <w:rFonts w:ascii="Arial" w:cs="Arial" w:eastAsia="Arial" w:hAnsi="Arial"/>
          <w:sz w:val="24"/>
          <w:szCs w:val="24"/>
        </w:rPr>
        <w:t xml:space="preserve">KEGG Pathway Database (PATHWAY, ortholog, disease association mapping)</w:t>
      </w:r>
    </w:p>
    <w:p>
      <w:pPr>
        <w:pStyle w:val="ListParagraph"/>
        <w:numPr>
          <w:ilvl w:val="0"/>
          <w:numId w:val="2"/>
        </w:numPr>
        <w:spacing w:after="100" w:line="360"/>
      </w:pPr>
      <w:r>
        <w:rPr>
          <w:rFonts w:ascii="Arial" w:cs="Arial" w:eastAsia="Arial" w:hAnsi="Arial"/>
          <w:sz w:val="24"/>
          <w:szCs w:val="24"/>
        </w:rPr>
        <w:t xml:space="preserve">Reactome Pathway Analysis (mechanistic pathway diagrams, causal relationships, pathway hierarchy)</w:t>
      </w:r>
    </w:p>
    <w:p>
      <w:pPr>
        <w:pStyle w:val="ListParagraph"/>
        <w:numPr>
          <w:ilvl w:val="0"/>
          <w:numId w:val="2"/>
        </w:numPr>
        <w:spacing w:after="100" w:line="360"/>
      </w:pPr>
      <w:r>
        <w:rPr>
          <w:rFonts w:ascii="Arial" w:cs="Arial" w:eastAsia="Arial" w:hAnsi="Arial"/>
          <w:sz w:val="24"/>
          <w:szCs w:val="24"/>
        </w:rPr>
        <w:t xml:space="preserve">STRING Protein Interaction Network (protein-protein interactions, functional associations)</w:t>
      </w:r>
    </w:p>
    <w:p>
      <w:pPr>
        <w:pStyle w:val="ListParagraph"/>
        <w:numPr>
          <w:ilvl w:val="0"/>
          <w:numId w:val="2"/>
        </w:numPr>
        <w:spacing w:after="100" w:line="360"/>
      </w:pPr>
      <w:r>
        <w:rPr>
          <w:rFonts w:ascii="Arial" w:cs="Arial" w:eastAsia="Arial" w:hAnsi="Arial"/>
          <w:sz w:val="24"/>
          <w:szCs w:val="24"/>
        </w:rPr>
        <w:t xml:space="preserve">ChEMBL Compound Database (chemical structures, targets, bioactivity data, ADMET predictions)</w:t>
      </w:r>
    </w:p>
    <w:p>
      <w:pPr>
        <w:pStyle w:val="ListParagraph"/>
        <w:numPr>
          <w:ilvl w:val="0"/>
          <w:numId w:val="2"/>
        </w:numPr>
        <w:spacing w:after="100" w:line="360"/>
      </w:pPr>
      <w:r>
        <w:rPr>
          <w:rFonts w:ascii="Arial" w:cs="Arial" w:eastAsia="Arial" w:hAnsi="Arial"/>
          <w:sz w:val="24"/>
          <w:szCs w:val="24"/>
        </w:rPr>
        <w:t xml:space="preserve">FDA Pharmacology Reviews and Orange Book (clinical approval history, safety summaries, label information)</w:t>
      </w:r>
    </w:p>
    <w:p>
      <w:pPr>
        <w:pStyle w:val="ListParagraph"/>
        <w:numPr>
          <w:ilvl w:val="0"/>
          <w:numId w:val="2"/>
        </w:numPr>
        <w:spacing w:after="100" w:line="360"/>
      </w:pPr>
      <w:r>
        <w:rPr>
          <w:rFonts w:ascii="Arial" w:cs="Arial" w:eastAsia="Arial" w:hAnsi="Arial"/>
          <w:sz w:val="24"/>
          <w:szCs w:val="24"/>
        </w:rPr>
        <w:t xml:space="preserve">ClinicalTrials.gov (trial design information, enrollment status, published results)</w:t>
      </w:r>
    </w:p>
    <w:p>
      <w:pPr>
        <w:pStyle w:val="ListParagraph"/>
        <w:numPr>
          <w:ilvl w:val="0"/>
          <w:numId w:val="2"/>
        </w:numPr>
        <w:spacing w:after="100" w:line="360"/>
      </w:pPr>
      <w:r>
        <w:rPr>
          <w:rFonts w:ascii="Arial" w:cs="Arial" w:eastAsia="Arial" w:hAnsi="Arial"/>
          <w:sz w:val="24"/>
          <w:szCs w:val="24"/>
        </w:rPr>
        <w:t xml:space="preserve">FAERS Database (FDA adverse event reporting system, pharmacovigilance signal detection)</w:t>
      </w:r>
    </w:p>
    <w:p>
      <w:pPr>
        <w:pStyle w:val="ListParagraph"/>
        <w:numPr>
          <w:ilvl w:val="0"/>
          <w:numId w:val="2"/>
        </w:numPr>
        <w:spacing w:after="100" w:line="360"/>
      </w:pPr>
      <w:r>
        <w:rPr>
          <w:rFonts w:ascii="Arial" w:cs="Arial" w:eastAsia="Arial" w:hAnsi="Arial"/>
          <w:sz w:val="24"/>
          <w:szCs w:val="24"/>
        </w:rPr>
        <w:t xml:space="preserve">DrugBank (drug targets, metabolism, interactions, clinical applications)</w:t>
      </w:r>
    </w:p>
    <w:p>
      <w:pPr>
        <w:pStyle w:val="ListParagraph"/>
        <w:numPr>
          <w:ilvl w:val="0"/>
          <w:numId w:val="2"/>
        </w:numPr>
        <w:spacing w:after="100" w:line="360"/>
      </w:pPr>
      <w:r>
        <w:rPr>
          <w:rFonts w:ascii="Arial" w:cs="Arial" w:eastAsia="Arial" w:hAnsi="Arial"/>
          <w:sz w:val="24"/>
          <w:szCs w:val="24"/>
        </w:rPr>
        <w:t xml:space="preserve">NCATS BBB Penetration Prediction Tool (machine learning BBB+ vs BBB- classification)</w:t>
      </w:r>
    </w:p>
    <w:p>
      <w:pPr>
        <w:pStyle w:val="ListParagraph"/>
        <w:numPr>
          <w:ilvl w:val="0"/>
          <w:numId w:val="2"/>
        </w:numPr>
        <w:spacing w:after="100" w:line="360"/>
      </w:pPr>
      <w:r>
        <w:rPr>
          <w:rFonts w:ascii="Arial" w:cs="Arial" w:eastAsia="Arial" w:hAnsi="Arial"/>
          <w:sz w:val="24"/>
          <w:szCs w:val="24"/>
        </w:rPr>
        <w:t xml:space="preserve">ENCODE/JASPAR Transcription Factor Binding Database (regulatory element prediction, TFEB/TFE3 targets)</w:t>
      </w:r>
    </w:p>
    <w:p>
      <w:pPr>
        <w:pStyle w:val="ListParagraph"/>
        <w:numPr>
          <w:ilvl w:val="0"/>
          <w:numId w:val="2"/>
        </w:numPr>
        <w:spacing w:after="100" w:line="360"/>
      </w:pPr>
      <w:r>
        <w:rPr>
          <w:rFonts w:ascii="Arial" w:cs="Arial" w:eastAsia="Arial" w:hAnsi="Arial"/>
          <w:sz w:val="24"/>
          <w:szCs w:val="24"/>
        </w:rPr>
        <w:t xml:space="preserve">AlzPathy/PDBase Disease-Specific Databases (molecular subtypes, biomarker associations, phenotypic features)</w:t>
      </w:r>
    </w:p>
    <w:p>
      <w:pPr>
        <w:pStyle w:val="ListParagraph"/>
        <w:numPr>
          <w:ilvl w:val="0"/>
          <w:numId w:val="2"/>
        </w:numPr>
        <w:spacing w:after="100" w:line="360"/>
      </w:pPr>
      <w:r>
        <w:rPr>
          <w:rFonts w:ascii="Arial" w:cs="Arial" w:eastAsia="Arial" w:hAnsi="Arial"/>
          <w:sz w:val="24"/>
          <w:szCs w:val="24"/>
        </w:rPr>
        <w:t xml:space="preserve">PubChem Chemical Properties Database (molecular descriptors, bioactivity assays, structure similarity)</w:t>
      </w:r>
    </w:p>
    <w:p>
      <w:pPr>
        <w:pStyle w:val="ListParagraph"/>
        <w:numPr>
          <w:ilvl w:val="0"/>
          <w:numId w:val="2"/>
        </w:numPr>
        <w:spacing w:after="100" w:line="360"/>
      </w:pPr>
      <w:r>
        <w:rPr>
          <w:rFonts w:ascii="Arial" w:cs="Arial" w:eastAsia="Arial" w:hAnsi="Arial"/>
          <w:sz w:val="24"/>
          <w:szCs w:val="24"/>
        </w:rPr>
        <w:t xml:space="preserve">Cortellis/Adis Insight Intelligence Platforms (competitive landscape, development stage tracking, regulatory intelligence)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2026-03-04T02:14:03.106Z</dcterms:created>
  <dcterms:modified xsi:type="dcterms:W3CDTF">2026-03-04T02:14:03.106Z</dcterms:modified>
</cp:coreProperties>
</file>

<file path=docProps/custom.xml><?xml version="1.0" encoding="utf-8"?>
<Properties xmlns="http://schemas.openxmlformats.org/officeDocument/2006/custom-properties" xmlns:vt="http://schemas.openxmlformats.org/officeDocument/2006/docPropsVTypes"/>
</file>