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sz w:val="32"/>
          <w:szCs w:val="32"/>
        </w:rPr>
        <w:t xml:space="preserve">Sapphire Pipeline Workflow: BBB-Penetrant Autophagy Enhancers for Neurodegeneration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BBB-penetrant autophagy enhancers with human safety data.</w:t>
      </w:r>
    </w:p>
    <w:p>
      <w:pPr>
        <w:spacing w:after="200" w:line="360"/>
      </w:pPr>
      <w:r>
        <w:rPr>
          <w:rFonts w:ascii="Arial" w:cs="Arial" w:eastAsia="Arial" w:hAnsi="Arial"/>
          <w:sz w:val="24"/>
          <w:szCs w:val="24"/>
        </w:rPr>
        <w:t xml:space="preserve">This Sapphire Pipeline systematically identifies and characterizes blood-brain barrier (BBB)-penetrant compounds that enhance neuronal autophagy and lysosomal biogenesis as disease-modifying therapies for protein aggregation disorders. The workflow leverages Quiver Bioscience's EP CRISPR atlas to map autophagy pathway perturbations, validate functional outcomes in neuronal phenotypes, and prioritize candidates with BBB permeability and established human safety profiles.</w:t>
      </w:r>
    </w:p>
    <w:p>
      <w:pPr>
        <w:spacing w:after="200" w:line="360"/>
      </w:pPr>
      <w:r>
        <w:rPr>
          <w:rFonts w:ascii="Arial" w:cs="Arial" w:eastAsia="Arial" w:hAnsi="Arial"/>
          <w:sz w:val="24"/>
          <w:szCs w:val="24"/>
        </w:rPr>
        <w:t xml:space="preserve">By integrating TFEB/TFE3 activators, Beclin-1 enhancers, and ULK1 modulators with electrophysiology-based measures of protein trafficking, synaptic transmission recovery, and neuronal network health, this pipeline accelerates identification of BBB-penetrant autophagy therapeutics with clinical translational potential.</w:t>
      </w:r>
    </w:p>
    <w:p>
      <w:pPr>
        <w:pStyle w:val="Heading2"/>
        <w:spacing w:after="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BBB-Penetrant Autophagy Enhancers for Neurodegeneration pipeline integrates quantitative electrophysiology (EP) phenotyping with CRISPR perturbation analysis to establish mechanistic understanding of disease pathophysiology. By leveraging Quiver Bioscience's comprehensive atlas of gene and compound perturbations across 500+ neuronal features, the pipeline enables systematic identification of therapeutic candidates through phenotype-level signature matching and validation.</w:t>
      </w:r>
    </w:p>
    <w:p>
      <w:pPr>
        <w:spacing w:after="200" w:line="360"/>
      </w:pPr>
      <w:r>
        <w:rPr>
          <w:rFonts w:ascii="Arial" w:cs="Arial" w:eastAsia="Arial" w:hAnsi="Arial"/>
          <w:sz w:val="24"/>
          <w:szCs w:val="24"/>
        </w:rPr>
        <w:t xml:space="preserve">This workflow emphasizes mechanistic validation through orthogonal approaches: CRISPR perturbations confirm proposed drug targets, translational biomarkers bridge EP signatures to human disease progression, and longitudinal trajectory analysis distinguishes disease-modifying from symptomatic interventions. The six-stage process transforms raw discovery data into clinical-stage candidates with validated mechanisms and de-risked development pathways.</w:t>
      </w:r>
    </w:p>
    <w:p>
      <w:pPr>
        <w:pStyle w:val="Heading2"/>
        <w:spacing w:after="200" w:before="200"/>
      </w:pPr>
      <w:r>
        <w:rPr>
          <w:rFonts w:ascii="Arial" w:cs="Arial" w:eastAsia="Arial" w:hAnsi="Arial"/>
          <w:b/>
          <w:bCs/>
          <w:sz w:val="28"/>
          <w:szCs w:val="28"/>
        </w:rPr>
        <w:t xml:space="preserve">Stage 1: Autophagy Pathway Mapping &amp; CRISPR Perturbation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the complete autophagy-lysosomal pathway and identify key nodes (TFEB, TFE3, ULK1, ATG genes, Beclin-1 complex, LAMP proteins) using Quiver CRISPR perturbations to establish functional EP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Atlas (18k gene perturbations covering autophagy/lysosomal genes)</w:t>
      </w:r>
    </w:p>
    <w:p>
      <w:pPr>
        <w:pStyle w:val="ListParagraph"/>
        <w:numPr>
          <w:ilvl w:val="0"/>
          <w:numId w:val="2"/>
        </w:numPr>
        <w:spacing w:after="100" w:line="360"/>
      </w:pPr>
      <w:r>
        <w:rPr>
          <w:rFonts w:ascii="Arial" w:cs="Arial" w:eastAsia="Arial" w:hAnsi="Arial"/>
          <w:sz w:val="24"/>
          <w:szCs w:val="24"/>
        </w:rPr>
        <w:t xml:space="preserve">Autophagy-lysosomal pathway map (KEGG hsa04140, Reactome R-HSA-5205677)</w:t>
      </w:r>
    </w:p>
    <w:p>
      <w:pPr>
        <w:pStyle w:val="ListParagraph"/>
        <w:numPr>
          <w:ilvl w:val="0"/>
          <w:numId w:val="2"/>
        </w:numPr>
        <w:spacing w:after="100" w:line="360"/>
      </w:pPr>
      <w:r>
        <w:rPr>
          <w:rFonts w:ascii="Arial" w:cs="Arial" w:eastAsia="Arial" w:hAnsi="Arial"/>
          <w:sz w:val="24"/>
          <w:szCs w:val="24"/>
        </w:rPr>
        <w:t xml:space="preserve">TFEB target gene list (CLEAR elements, lysosomal biogenesis gene set)</w:t>
      </w:r>
    </w:p>
    <w:p>
      <w:pPr>
        <w:pStyle w:val="ListParagraph"/>
        <w:numPr>
          <w:ilvl w:val="0"/>
          <w:numId w:val="2"/>
        </w:numPr>
        <w:spacing w:after="100" w:line="360"/>
      </w:pPr>
      <w:r>
        <w:rPr>
          <w:rFonts w:ascii="Arial" w:cs="Arial" w:eastAsia="Arial" w:hAnsi="Arial"/>
          <w:sz w:val="24"/>
          <w:szCs w:val="24"/>
        </w:rPr>
        <w:t xml:space="preserve">Neurodegeneration-associated autophagy genes (VCP, OPTN, p62/SQSTM1, TBK1)</w:t>
      </w:r>
    </w:p>
    <w:p>
      <w:pPr>
        <w:pStyle w:val="ListParagraph"/>
        <w:numPr>
          <w:ilvl w:val="0"/>
          <w:numId w:val="2"/>
        </w:numPr>
        <w:spacing w:after="100" w:line="360"/>
      </w:pPr>
      <w:r>
        <w:rPr>
          <w:rFonts w:ascii="Arial" w:cs="Arial" w:eastAsia="Arial" w:hAnsi="Arial"/>
          <w:sz w:val="24"/>
          <w:szCs w:val="24"/>
        </w:rPr>
        <w:t xml:space="preserve">EP phenotype data for autophagy-related protein knockouts in published literature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Bioscience EP CRISPR Atlas (primary autophagy gene perturbations)</w:t>
      </w:r>
    </w:p>
    <w:p>
      <w:pPr>
        <w:pStyle w:val="ListParagraph"/>
        <w:numPr>
          <w:ilvl w:val="0"/>
          <w:numId w:val="2"/>
        </w:numPr>
        <w:spacing w:after="100" w:line="360"/>
      </w:pPr>
      <w:r>
        <w:rPr>
          <w:rFonts w:ascii="Arial" w:cs="Arial" w:eastAsia="Arial" w:hAnsi="Arial"/>
          <w:sz w:val="24"/>
          <w:szCs w:val="24"/>
        </w:rPr>
        <w:t xml:space="preserve">Reactome Pathway Analysis (autophagy-lysosomal cascade visualization)</w:t>
      </w:r>
    </w:p>
    <w:p>
      <w:pPr>
        <w:pStyle w:val="ListParagraph"/>
        <w:numPr>
          <w:ilvl w:val="0"/>
          <w:numId w:val="2"/>
        </w:numPr>
        <w:spacing w:after="100" w:line="360"/>
      </w:pPr>
      <w:r>
        <w:rPr>
          <w:rFonts w:ascii="Arial" w:cs="Arial" w:eastAsia="Arial" w:hAnsi="Arial"/>
          <w:sz w:val="24"/>
          <w:szCs w:val="24"/>
        </w:rPr>
        <w:t xml:space="preserve">KEGG autophagy pathway database (pathway diagram and gene annotations)</w:t>
      </w:r>
    </w:p>
    <w:p>
      <w:pPr>
        <w:pStyle w:val="ListParagraph"/>
        <w:numPr>
          <w:ilvl w:val="0"/>
          <w:numId w:val="2"/>
        </w:numPr>
        <w:spacing w:after="100" w:line="360"/>
      </w:pPr>
      <w:r>
        <w:rPr>
          <w:rFonts w:ascii="Arial" w:cs="Arial" w:eastAsia="Arial" w:hAnsi="Arial"/>
          <w:sz w:val="24"/>
          <w:szCs w:val="24"/>
        </w:rPr>
        <w:t xml:space="preserve">ENCODE/JASPAR transcription factor binding databases (TFEB/TFE3 target identification)</w:t>
      </w:r>
    </w:p>
    <w:p>
      <w:pPr>
        <w:pStyle w:val="ListParagraph"/>
        <w:numPr>
          <w:ilvl w:val="0"/>
          <w:numId w:val="2"/>
        </w:numPr>
        <w:spacing w:after="100" w:line="360"/>
      </w:pPr>
      <w:r>
        <w:rPr>
          <w:rFonts w:ascii="Arial" w:cs="Arial" w:eastAsia="Arial" w:hAnsi="Arial"/>
          <w:sz w:val="24"/>
          <w:szCs w:val="24"/>
        </w:rPr>
        <w:t xml:space="preserve">MoTrPAC database (autophagy gene expression in neurons)</w:t>
      </w:r>
    </w:p>
    <w:p>
      <w:pPr>
        <w:pStyle w:val="ListParagraph"/>
        <w:numPr>
          <w:ilvl w:val="0"/>
          <w:numId w:val="2"/>
        </w:numPr>
        <w:spacing w:after="100" w:line="360"/>
      </w:pPr>
      <w:r>
        <w:rPr>
          <w:rFonts w:ascii="Arial" w:cs="Arial" w:eastAsia="Arial" w:hAnsi="Arial"/>
          <w:sz w:val="24"/>
          <w:szCs w:val="24"/>
        </w:rPr>
        <w:t xml:space="preserve">Custom Python/R pipeline for phenotype clustering of autophagy-related perturbations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perturbations of core autophagy genes (ULK1, ATG genes, FIP200) in the Quiver atlas produce the strongest improvement in protein aggregation clearance and synaptic transmission recovery?</w:t>
      </w:r>
    </w:p>
    <w:p>
      <w:pPr>
        <w:pStyle w:val="ListParagraph"/>
        <w:numPr>
          <w:ilvl w:val="0"/>
          <w:numId w:val="2"/>
        </w:numPr>
        <w:spacing w:after="100" w:line="360"/>
      </w:pPr>
      <w:r>
        <w:rPr>
          <w:rFonts w:ascii="Arial" w:cs="Arial" w:eastAsia="Arial" w:hAnsi="Arial"/>
          <w:sz w:val="24"/>
          <w:szCs w:val="24"/>
        </w:rPr>
        <w:t xml:space="preserve">How do TFEB and TFE3 manipulations (activation vs inhibition) alter the EP signature across lysosomal genes (LAMP1, CTSD, ACP2, HEXA)?</w:t>
      </w:r>
    </w:p>
    <w:p>
      <w:pPr>
        <w:pStyle w:val="ListParagraph"/>
        <w:numPr>
          <w:ilvl w:val="0"/>
          <w:numId w:val="2"/>
        </w:numPr>
        <w:spacing w:after="100" w:line="360"/>
      </w:pPr>
      <w:r>
        <w:rPr>
          <w:rFonts w:ascii="Arial" w:cs="Arial" w:eastAsia="Arial" w:hAnsi="Arial"/>
          <w:sz w:val="24"/>
          <w:szCs w:val="24"/>
        </w:rPr>
        <w:t xml:space="preserve">Identify the 30 genes whose perturbation most robustly enhances neuronal autophagy flux as measured by LC3-II turnover, p62 clearance, and downstream EP phenotypes (synaptic strength, firing stability).</w:t>
      </w:r>
    </w:p>
    <w:p>
      <w:pPr>
        <w:pStyle w:val="ListParagraph"/>
        <w:numPr>
          <w:ilvl w:val="0"/>
          <w:numId w:val="2"/>
        </w:numPr>
        <w:spacing w:after="100" w:line="360"/>
      </w:pPr>
      <w:r>
        <w:rPr>
          <w:rFonts w:ascii="Arial" w:cs="Arial" w:eastAsia="Arial" w:hAnsi="Arial"/>
          <w:sz w:val="24"/>
          <w:szCs w:val="24"/>
        </w:rPr>
        <w:t xml:space="preserve">What is the correlation between autophagy pathway activation state (TFEB nuclear translocation, ULK1 kinase activity) and restoration of synaptic transmission in neurons challenged with protein aggregates (alpha-synuclein, tau)?</w:t>
      </w:r>
    </w:p>
    <w:p>
      <w:pPr>
        <w:pStyle w:val="ListParagraph"/>
        <w:numPr>
          <w:ilvl w:val="0"/>
          <w:numId w:val="2"/>
        </w:numPr>
        <w:spacing w:after="100" w:line="360"/>
      </w:pPr>
      <w:r>
        <w:rPr>
          <w:rFonts w:ascii="Arial" w:cs="Arial" w:eastAsia="Arial" w:hAnsi="Arial"/>
          <w:sz w:val="24"/>
          <w:szCs w:val="24"/>
        </w:rPr>
        <w:t xml:space="preserve">Which autophagy genes show neuronal cell-type specificity in the Quiver atlas (distinct perturbation phenotypes in pyramidal neurons vs GABAergic interneurons vs glia)?</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100 autophagy-related gene perturbations with quantitative EP phenotypes (protein clearance efficiency, synaptic recovery, network stability scores)</w:t>
      </w:r>
    </w:p>
    <w:p>
      <w:pPr>
        <w:pStyle w:val="ListParagraph"/>
        <w:numPr>
          <w:ilvl w:val="0"/>
          <w:numId w:val="2"/>
        </w:numPr>
        <w:spacing w:after="100" w:line="360"/>
      </w:pPr>
      <w:r>
        <w:rPr>
          <w:rFonts w:ascii="Arial" w:cs="Arial" w:eastAsia="Arial" w:hAnsi="Arial"/>
          <w:sz w:val="24"/>
          <w:szCs w:val="24"/>
        </w:rPr>
        <w:t xml:space="preserve">Master pathway map linking TFEB/TFE3 nodes to effector genes and downstream EP phenotypes</w:t>
      </w:r>
    </w:p>
    <w:p>
      <w:pPr>
        <w:pStyle w:val="ListParagraph"/>
        <w:numPr>
          <w:ilvl w:val="0"/>
          <w:numId w:val="2"/>
        </w:numPr>
        <w:spacing w:after="100" w:line="360"/>
      </w:pPr>
      <w:r>
        <w:rPr>
          <w:rFonts w:ascii="Arial" w:cs="Arial" w:eastAsia="Arial" w:hAnsi="Arial"/>
          <w:sz w:val="24"/>
          <w:szCs w:val="24"/>
        </w:rPr>
        <w:t xml:space="preserve">TFEB/TFE3 transcriptional target signature (list of 50+ lysosomal biogenesis genes with expression changes per perturbation)</w:t>
      </w:r>
    </w:p>
    <w:p>
      <w:pPr>
        <w:pStyle w:val="ListParagraph"/>
        <w:numPr>
          <w:ilvl w:val="0"/>
          <w:numId w:val="2"/>
        </w:numPr>
        <w:spacing w:after="100" w:line="360"/>
      </w:pPr>
      <w:r>
        <w:rPr>
          <w:rFonts w:ascii="Arial" w:cs="Arial" w:eastAsia="Arial" w:hAnsi="Arial"/>
          <w:sz w:val="24"/>
          <w:szCs w:val="24"/>
        </w:rPr>
        <w:t xml:space="preserve">Functional clustering of autophagy genes by mechanism (initiation, nucleation, elongation, closure, fusion/degradation, lysosomal biogenesis)</w:t>
      </w:r>
    </w:p>
    <w:p>
      <w:pPr>
        <w:pStyle w:val="ListParagraph"/>
        <w:numPr>
          <w:ilvl w:val="0"/>
          <w:numId w:val="2"/>
        </w:numPr>
        <w:spacing w:after="100" w:line="360"/>
      </w:pPr>
      <w:r>
        <w:rPr>
          <w:rFonts w:ascii="Arial" w:cs="Arial" w:eastAsia="Arial" w:hAnsi="Arial"/>
          <w:sz w:val="24"/>
          <w:szCs w:val="24"/>
        </w:rPr>
        <w:t xml:space="preserve">Cell-type-stratified autophagy phenotypes showing differential regulation across neuronal subtypes</w:t>
      </w:r>
    </w:p>
    <w:p>
      <w:pPr>
        <w:pStyle w:val="ListParagraph"/>
        <w:numPr>
          <w:ilvl w:val="0"/>
          <w:numId w:val="2"/>
        </w:numPr>
        <w:spacing w:after="100" w:line="360"/>
      </w:pPr>
      <w:r>
        <w:rPr>
          <w:rFonts w:ascii="Arial" w:cs="Arial" w:eastAsia="Arial" w:hAnsi="Arial"/>
          <w:sz w:val="24"/>
          <w:szCs w:val="24"/>
        </w:rPr>
        <w:t xml:space="preserve">Validated autophagy hyperactivation signatures (LP phenotype set) for compound screening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JSON/CSV with gene names, autophagy pathway node assignments, EP phenotype vectors, and pathway annotations</w:t>
      </w:r>
    </w:p>
    <w:p>
      <w:pPr>
        <w:pStyle w:val="Heading2"/>
        <w:spacing w:after="200" w:before="200"/>
      </w:pPr>
      <w:r>
        <w:rPr>
          <w:rFonts w:ascii="Arial" w:cs="Arial" w:eastAsia="Arial" w:hAnsi="Arial"/>
          <w:b/>
          <w:bCs/>
          <w:sz w:val="28"/>
          <w:szCs w:val="28"/>
        </w:rPr>
        <w:t xml:space="preserve">Stage 2: TFEB/TFE3 Activator Compound Screening &amp; Mechanism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Quiver compound library (~3,500 FDA/investigational drugs) and natural products for TFEB/TFE3 activation capability and validate mechanisms using CRISPR perturbations.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Compound Library (3,500+ compounds, 500+ neural features per compound)</w:t>
      </w:r>
    </w:p>
    <w:p>
      <w:pPr>
        <w:pStyle w:val="ListParagraph"/>
        <w:numPr>
          <w:ilvl w:val="0"/>
          <w:numId w:val="2"/>
        </w:numPr>
        <w:spacing w:after="100" w:line="360"/>
      </w:pPr>
      <w:r>
        <w:rPr>
          <w:rFonts w:ascii="Arial" w:cs="Arial" w:eastAsia="Arial" w:hAnsi="Arial"/>
          <w:sz w:val="24"/>
          <w:szCs w:val="24"/>
        </w:rPr>
        <w:t xml:space="preserve">Established TFEB/TFE3 activation signature from Stage 1 (lysosomal biogenesis phenotype)</w:t>
      </w:r>
    </w:p>
    <w:p>
      <w:pPr>
        <w:pStyle w:val="ListParagraph"/>
        <w:numPr>
          <w:ilvl w:val="0"/>
          <w:numId w:val="2"/>
        </w:numPr>
        <w:spacing w:after="100" w:line="360"/>
      </w:pPr>
      <w:r>
        <w:rPr>
          <w:rFonts w:ascii="Arial" w:cs="Arial" w:eastAsia="Arial" w:hAnsi="Arial"/>
          <w:sz w:val="24"/>
          <w:szCs w:val="24"/>
        </w:rPr>
        <w:t xml:space="preserve">Published TFEB/TFE3 activators literature (mTORC1 inhibitors, PKC modulators, novel small molecules)</w:t>
      </w:r>
    </w:p>
    <w:p>
      <w:pPr>
        <w:pStyle w:val="ListParagraph"/>
        <w:numPr>
          <w:ilvl w:val="0"/>
          <w:numId w:val="2"/>
        </w:numPr>
        <w:spacing w:after="100" w:line="360"/>
      </w:pPr>
      <w:r>
        <w:rPr>
          <w:rFonts w:ascii="Arial" w:cs="Arial" w:eastAsia="Arial" w:hAnsi="Arial"/>
          <w:sz w:val="24"/>
          <w:szCs w:val="24"/>
        </w:rPr>
        <w:t xml:space="preserve">Compound libraries: FDA-approved drugs, NIH/NCATS repurposing collection, natural products database</w:t>
      </w:r>
    </w:p>
    <w:p>
      <w:pPr>
        <w:pStyle w:val="ListParagraph"/>
        <w:numPr>
          <w:ilvl w:val="0"/>
          <w:numId w:val="2"/>
        </w:numPr>
        <w:spacing w:after="100" w:line="360"/>
      </w:pPr>
      <w:r>
        <w:rPr>
          <w:rFonts w:ascii="Arial" w:cs="Arial" w:eastAsia="Arial" w:hAnsi="Arial"/>
          <w:sz w:val="24"/>
          <w:szCs w:val="24"/>
        </w:rPr>
        <w:t xml:space="preserve">Validated TFEB reporter assay results (published TFEB-GFP translocation assays, CLEAR element luciferase assays)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Compound Profiling Platform (TFEB/TFE3 signature matching)</w:t>
      </w:r>
    </w:p>
    <w:p>
      <w:pPr>
        <w:pStyle w:val="ListParagraph"/>
        <w:numPr>
          <w:ilvl w:val="0"/>
          <w:numId w:val="2"/>
        </w:numPr>
        <w:spacing w:after="100" w:line="360"/>
      </w:pPr>
      <w:r>
        <w:rPr>
          <w:rFonts w:ascii="Arial" w:cs="Arial" w:eastAsia="Arial" w:hAnsi="Arial"/>
          <w:sz w:val="24"/>
          <w:szCs w:val="24"/>
        </w:rPr>
        <w:t xml:space="preserve">REVERSE plugin for signature similarity (comparing compound effects to TFEB activation EP phenotype)</w:t>
      </w:r>
    </w:p>
    <w:p>
      <w:pPr>
        <w:pStyle w:val="ListParagraph"/>
        <w:numPr>
          <w:ilvl w:val="0"/>
          <w:numId w:val="2"/>
        </w:numPr>
        <w:spacing w:after="100" w:line="360"/>
      </w:pPr>
      <w:r>
        <w:rPr>
          <w:rFonts w:ascii="Arial" w:cs="Arial" w:eastAsia="Arial" w:hAnsi="Arial"/>
          <w:sz w:val="24"/>
          <w:szCs w:val="24"/>
        </w:rPr>
        <w:t xml:space="preserve">mTORC1 inhibitor database (mTOR kinase inhibitors, GATOR1/2 modulators)</w:t>
      </w:r>
    </w:p>
    <w:p>
      <w:pPr>
        <w:pStyle w:val="ListParagraph"/>
        <w:numPr>
          <w:ilvl w:val="0"/>
          <w:numId w:val="2"/>
        </w:numPr>
        <w:spacing w:after="100" w:line="360"/>
      </w:pPr>
      <w:r>
        <w:rPr>
          <w:rFonts w:ascii="Arial" w:cs="Arial" w:eastAsia="Arial" w:hAnsi="Arial"/>
          <w:sz w:val="24"/>
          <w:szCs w:val="24"/>
        </w:rPr>
        <w:t xml:space="preserve">Natural products structure-activity database (polyphenols, flavonoids, terpenoids with autophagy activity)</w:t>
      </w:r>
    </w:p>
    <w:p>
      <w:pPr>
        <w:pStyle w:val="ListParagraph"/>
        <w:numPr>
          <w:ilvl w:val="0"/>
          <w:numId w:val="2"/>
        </w:numPr>
        <w:spacing w:after="100" w:line="360"/>
      </w:pPr>
      <w:r>
        <w:rPr>
          <w:rFonts w:ascii="Arial" w:cs="Arial" w:eastAsia="Arial" w:hAnsi="Arial"/>
          <w:sz w:val="24"/>
          <w:szCs w:val="24"/>
        </w:rPr>
        <w:t xml:space="preserve">Machine learning classifiers (XGBoost, random forest) for TFEB activator prediction</w:t>
      </w:r>
    </w:p>
    <w:p>
      <w:pPr>
        <w:pStyle w:val="ListParagraph"/>
        <w:numPr>
          <w:ilvl w:val="0"/>
          <w:numId w:val="2"/>
        </w:numPr>
        <w:spacing w:after="100" w:line="360"/>
      </w:pPr>
      <w:r>
        <w:rPr>
          <w:rFonts w:ascii="Arial" w:cs="Arial" w:eastAsia="Arial" w:hAnsi="Arial"/>
          <w:sz w:val="24"/>
          <w:szCs w:val="24"/>
        </w:rPr>
        <w:t xml:space="preserve">Transcriptomic database queries (GEO, TCGA) for TFEB/TFE3 target gene expression changes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in the Quiver library produce the strongest match to the validated TFEB/TFE3 activation phenotype across lysosomal biogenesis features?</w:t>
      </w:r>
    </w:p>
    <w:p>
      <w:pPr>
        <w:pStyle w:val="ListParagraph"/>
        <w:numPr>
          <w:ilvl w:val="0"/>
          <w:numId w:val="2"/>
        </w:numPr>
        <w:spacing w:after="100" w:line="360"/>
      </w:pPr>
      <w:r>
        <w:rPr>
          <w:rFonts w:ascii="Arial" w:cs="Arial" w:eastAsia="Arial" w:hAnsi="Arial"/>
          <w:sz w:val="24"/>
          <w:szCs w:val="24"/>
        </w:rPr>
        <w:t xml:space="preserve">How do known TFEB activators (rapamycin, FK506, trehalose, spermidine) rank in their EP phenotype similarity to genetic TFEB/TFE3 overexpression?</w:t>
      </w:r>
    </w:p>
    <w:p>
      <w:pPr>
        <w:pStyle w:val="ListParagraph"/>
        <w:numPr>
          <w:ilvl w:val="0"/>
          <w:numId w:val="2"/>
        </w:numPr>
        <w:spacing w:after="100" w:line="360"/>
      </w:pPr>
      <w:r>
        <w:rPr>
          <w:rFonts w:ascii="Arial" w:cs="Arial" w:eastAsia="Arial" w:hAnsi="Arial"/>
          <w:sz w:val="24"/>
          <w:szCs w:val="24"/>
        </w:rPr>
        <w:t xml:space="preserve">Identify novel compounds (non-canonical TFEB activators) that enhance the TFEB-dependent autophagy phenotype through mechanisms independent of mTORC1 inhibition.</w:t>
      </w:r>
    </w:p>
    <w:p>
      <w:pPr>
        <w:pStyle w:val="ListParagraph"/>
        <w:numPr>
          <w:ilvl w:val="0"/>
          <w:numId w:val="2"/>
        </w:numPr>
        <w:spacing w:after="100" w:line="360"/>
      </w:pPr>
      <w:r>
        <w:rPr>
          <w:rFonts w:ascii="Arial" w:cs="Arial" w:eastAsia="Arial" w:hAnsi="Arial"/>
          <w:sz w:val="24"/>
          <w:szCs w:val="24"/>
        </w:rPr>
        <w:t xml:space="preserve">Which compounds show the best concordance between predicted TFEB activation (from EP signature matching) and published TFEB reporter assay results?</w:t>
      </w:r>
    </w:p>
    <w:p>
      <w:pPr>
        <w:pStyle w:val="ListParagraph"/>
        <w:numPr>
          <w:ilvl w:val="0"/>
          <w:numId w:val="2"/>
        </w:numPr>
        <w:spacing w:after="100" w:line="360"/>
      </w:pPr>
      <w:r>
        <w:rPr>
          <w:rFonts w:ascii="Arial" w:cs="Arial" w:eastAsia="Arial" w:hAnsi="Arial"/>
          <w:sz w:val="24"/>
          <w:szCs w:val="24"/>
        </w:rPr>
        <w:t xml:space="preserve">Are there multi-target compounds that simultaneously activate TFEB AND enhance Beclin-1/PI3KC3 complex or ULK1 kinase activity?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40 TFEB/TFE3 activators with EP-based activation strength scores</w:t>
      </w:r>
    </w:p>
    <w:p>
      <w:pPr>
        <w:pStyle w:val="ListParagraph"/>
        <w:numPr>
          <w:ilvl w:val="0"/>
          <w:numId w:val="2"/>
        </w:numPr>
        <w:spacing w:after="100" w:line="360"/>
      </w:pPr>
      <w:r>
        <w:rPr>
          <w:rFonts w:ascii="Arial" w:cs="Arial" w:eastAsia="Arial" w:hAnsi="Arial"/>
          <w:sz w:val="24"/>
          <w:szCs w:val="24"/>
        </w:rPr>
        <w:t xml:space="preserve">Mechanism-of-action mapping for each activator (mTORC1 inhibition, PKC modulation, epigenetic modulation, etc.)</w:t>
      </w:r>
    </w:p>
    <w:p>
      <w:pPr>
        <w:pStyle w:val="ListParagraph"/>
        <w:numPr>
          <w:ilvl w:val="0"/>
          <w:numId w:val="2"/>
        </w:numPr>
        <w:spacing w:after="100" w:line="360"/>
      </w:pPr>
      <w:r>
        <w:rPr>
          <w:rFonts w:ascii="Arial" w:cs="Arial" w:eastAsia="Arial" w:hAnsi="Arial"/>
          <w:sz w:val="24"/>
          <w:szCs w:val="24"/>
        </w:rPr>
        <w:t xml:space="preserve">Confidence scores based on orthogonal evidence (published TFEB reporters, transcriptomic validation, phenotype consistency)</w:t>
      </w:r>
    </w:p>
    <w:p>
      <w:pPr>
        <w:pStyle w:val="ListParagraph"/>
        <w:numPr>
          <w:ilvl w:val="0"/>
          <w:numId w:val="2"/>
        </w:numPr>
        <w:spacing w:after="100" w:line="360"/>
      </w:pPr>
      <w:r>
        <w:rPr>
          <w:rFonts w:ascii="Arial" w:cs="Arial" w:eastAsia="Arial" w:hAnsi="Arial"/>
          <w:sz w:val="24"/>
          <w:szCs w:val="24"/>
        </w:rPr>
        <w:t xml:space="preserve">Natural products vs synthetic compounds stratified ranking</w:t>
      </w:r>
    </w:p>
    <w:p>
      <w:pPr>
        <w:pStyle w:val="ListParagraph"/>
        <w:numPr>
          <w:ilvl w:val="0"/>
          <w:numId w:val="2"/>
        </w:numPr>
        <w:spacing w:after="100" w:line="360"/>
      </w:pPr>
      <w:r>
        <w:rPr>
          <w:rFonts w:ascii="Arial" w:cs="Arial" w:eastAsia="Arial" w:hAnsi="Arial"/>
          <w:sz w:val="24"/>
          <w:szCs w:val="24"/>
        </w:rPr>
        <w:t xml:space="preserve">Dose-response curves for top 20 compounds from Quiver EP platform (EC50 for TFEB signature induction)</w:t>
      </w:r>
    </w:p>
    <w:p>
      <w:pPr>
        <w:pStyle w:val="ListParagraph"/>
        <w:numPr>
          <w:ilvl w:val="0"/>
          <w:numId w:val="2"/>
        </w:numPr>
        <w:spacing w:after="100" w:line="360"/>
      </w:pPr>
      <w:r>
        <w:rPr>
          <w:rFonts w:ascii="Arial" w:cs="Arial" w:eastAsia="Arial" w:hAnsi="Arial"/>
          <w:sz w:val="24"/>
          <w:szCs w:val="24"/>
        </w:rPr>
        <w:t xml:space="preserve">Validation matrix showing correlation between EP phenotype prediction and published TFEB translocation/reporter assays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CSV/JSON with compound identifiers, TFEB activation scores, mechanisms, dose-response data, and orthogonal validation results</w:t>
      </w:r>
    </w:p>
    <w:p>
      <w:pPr>
        <w:pStyle w:val="Heading2"/>
        <w:spacing w:after="200" w:before="200"/>
      </w:pPr>
      <w:r>
        <w:rPr>
          <w:rFonts w:ascii="Arial" w:cs="Arial" w:eastAsia="Arial" w:hAnsi="Arial"/>
          <w:b/>
          <w:bCs/>
          <w:sz w:val="28"/>
          <w:szCs w:val="28"/>
        </w:rPr>
        <w:t xml:space="preserve">Stage 3: Beclin-1/PI3KC3 &amp; ULK1 Modulator Identification &amp; Synergy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Beclin-1 complex enhancers and ULK1 kinase activators, assess synergistic effects with TFEB activators, and prioritize multi-target combinations.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40 TFEB activators from Stage 2 (mechanism profiles and EP phenotypes)</w:t>
      </w:r>
    </w:p>
    <w:p>
      <w:pPr>
        <w:pStyle w:val="ListParagraph"/>
        <w:numPr>
          <w:ilvl w:val="0"/>
          <w:numId w:val="2"/>
        </w:numPr>
        <w:spacing w:after="100" w:line="360"/>
      </w:pPr>
      <w:r>
        <w:rPr>
          <w:rFonts w:ascii="Arial" w:cs="Arial" w:eastAsia="Arial" w:hAnsi="Arial"/>
          <w:sz w:val="24"/>
          <w:szCs w:val="24"/>
        </w:rPr>
        <w:t xml:space="preserve">Quiver CRISPR knockouts of Beclin-1 (BECN1), VPS15, VPS34 (PIK3C3), and ATG14 (autophagy initiation)</w:t>
      </w:r>
    </w:p>
    <w:p>
      <w:pPr>
        <w:pStyle w:val="ListParagraph"/>
        <w:numPr>
          <w:ilvl w:val="0"/>
          <w:numId w:val="2"/>
        </w:numPr>
        <w:spacing w:after="100" w:line="360"/>
      </w:pPr>
      <w:r>
        <w:rPr>
          <w:rFonts w:ascii="Arial" w:cs="Arial" w:eastAsia="Arial" w:hAnsi="Arial"/>
          <w:sz w:val="24"/>
          <w:szCs w:val="24"/>
        </w:rPr>
        <w:t xml:space="preserve">ULK1 kinase substrate phosphorylation data and published ULK1 activators/inhibitors</w:t>
      </w:r>
    </w:p>
    <w:p>
      <w:pPr>
        <w:pStyle w:val="ListParagraph"/>
        <w:numPr>
          <w:ilvl w:val="0"/>
          <w:numId w:val="2"/>
        </w:numPr>
        <w:spacing w:after="100" w:line="360"/>
      </w:pPr>
      <w:r>
        <w:rPr>
          <w:rFonts w:ascii="Arial" w:cs="Arial" w:eastAsia="Arial" w:hAnsi="Arial"/>
          <w:sz w:val="24"/>
          <w:szCs w:val="24"/>
        </w:rPr>
        <w:t xml:space="preserve">Compound library filtered for Beclin-1 complex modulators and ULK1 kinase inhibitors/activators</w:t>
      </w:r>
    </w:p>
    <w:p>
      <w:pPr>
        <w:pStyle w:val="ListParagraph"/>
        <w:numPr>
          <w:ilvl w:val="0"/>
          <w:numId w:val="2"/>
        </w:numPr>
        <w:spacing w:after="100" w:line="360"/>
      </w:pPr>
      <w:r>
        <w:rPr>
          <w:rFonts w:ascii="Arial" w:cs="Arial" w:eastAsia="Arial" w:hAnsi="Arial"/>
          <w:sz w:val="24"/>
          <w:szCs w:val="24"/>
        </w:rPr>
        <w:t xml:space="preserve">Synergy datasets (Bliss, Loewe, Highest Single Agent models) for autophagy pathway combinations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Platform for synergy assessment (comparing single agents vs combinations)</w:t>
      </w:r>
    </w:p>
    <w:p>
      <w:pPr>
        <w:pStyle w:val="ListParagraph"/>
        <w:numPr>
          <w:ilvl w:val="0"/>
          <w:numId w:val="2"/>
        </w:numPr>
        <w:spacing w:after="100" w:line="360"/>
      </w:pPr>
      <w:r>
        <w:rPr>
          <w:rFonts w:ascii="Arial" w:cs="Arial" w:eastAsia="Arial" w:hAnsi="Arial"/>
          <w:sz w:val="24"/>
          <w:szCs w:val="24"/>
        </w:rPr>
        <w:t xml:space="preserve">Kinase inhibitor database (DiscoverX, HMS LINCS) for ULK1-targeting compounds</w:t>
      </w:r>
    </w:p>
    <w:p>
      <w:pPr>
        <w:pStyle w:val="ListParagraph"/>
        <w:numPr>
          <w:ilvl w:val="0"/>
          <w:numId w:val="2"/>
        </w:numPr>
        <w:spacing w:after="100" w:line="360"/>
      </w:pPr>
      <w:r>
        <w:rPr>
          <w:rFonts w:ascii="Arial" w:cs="Arial" w:eastAsia="Arial" w:hAnsi="Arial"/>
          <w:sz w:val="24"/>
          <w:szCs w:val="24"/>
        </w:rPr>
        <w:t xml:space="preserve">Beclin-1 protein interaction database (BioGrid, STRING) for complex modulators</w:t>
      </w:r>
    </w:p>
    <w:p>
      <w:pPr>
        <w:pStyle w:val="ListParagraph"/>
        <w:numPr>
          <w:ilvl w:val="0"/>
          <w:numId w:val="2"/>
        </w:numPr>
        <w:spacing w:after="100" w:line="360"/>
      </w:pPr>
      <w:r>
        <w:rPr>
          <w:rFonts w:ascii="Arial" w:cs="Arial" w:eastAsia="Arial" w:hAnsi="Arial"/>
          <w:sz w:val="24"/>
          <w:szCs w:val="24"/>
        </w:rPr>
        <w:t xml:space="preserve">Structure-activity relationship analysis for ULK1 kinase selectivity (kinase selectivity databases)</w:t>
      </w:r>
    </w:p>
    <w:p>
      <w:pPr>
        <w:pStyle w:val="ListParagraph"/>
        <w:numPr>
          <w:ilvl w:val="0"/>
          <w:numId w:val="2"/>
        </w:numPr>
        <w:spacing w:after="100" w:line="360"/>
      </w:pPr>
      <w:r>
        <w:rPr>
          <w:rFonts w:ascii="Arial" w:cs="Arial" w:eastAsia="Arial" w:hAnsi="Arial"/>
          <w:sz w:val="24"/>
          <w:szCs w:val="24"/>
        </w:rPr>
        <w:t xml:space="preserve">Synergy calculation tools (Combenefit, Tidyman packages in R)</w:t>
      </w:r>
    </w:p>
    <w:p>
      <w:pPr>
        <w:pStyle w:val="ListParagraph"/>
        <w:numPr>
          <w:ilvl w:val="0"/>
          <w:numId w:val="2"/>
        </w:numPr>
        <w:spacing w:after="100" w:line="360"/>
      </w:pPr>
      <w:r>
        <w:rPr>
          <w:rFonts w:ascii="Arial" w:cs="Arial" w:eastAsia="Arial" w:hAnsi="Arial"/>
          <w:sz w:val="24"/>
          <w:szCs w:val="24"/>
        </w:rPr>
        <w:t xml:space="preserve">Phenotype-level drug interaction modeling (multi-dimensional phenotype space)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Beclin-1 complex modulators in the Quiver library show EP phenotypes consistent with autophagy flux enhancement?</w:t>
      </w:r>
    </w:p>
    <w:p>
      <w:pPr>
        <w:pStyle w:val="ListParagraph"/>
        <w:numPr>
          <w:ilvl w:val="0"/>
          <w:numId w:val="2"/>
        </w:numPr>
        <w:spacing w:after="100" w:line="360"/>
      </w:pPr>
      <w:r>
        <w:rPr>
          <w:rFonts w:ascii="Arial" w:cs="Arial" w:eastAsia="Arial" w:hAnsi="Arial"/>
          <w:sz w:val="24"/>
          <w:szCs w:val="24"/>
        </w:rPr>
        <w:t xml:space="preserve">How do ULK1 kinase activators vs inhibitors differentially affect the autophagy phenotype, and which kinase activity state (basal, activated, inhibited) optimizes neuronal health?</w:t>
      </w:r>
    </w:p>
    <w:p>
      <w:pPr>
        <w:pStyle w:val="ListParagraph"/>
        <w:numPr>
          <w:ilvl w:val="0"/>
          <w:numId w:val="2"/>
        </w:numPr>
        <w:spacing w:after="100" w:line="360"/>
      </w:pPr>
      <w:r>
        <w:rPr>
          <w:rFonts w:ascii="Arial" w:cs="Arial" w:eastAsia="Arial" w:hAnsi="Arial"/>
          <w:sz w:val="24"/>
          <w:szCs w:val="24"/>
        </w:rPr>
        <w:t xml:space="preserve">For top 10 TFEB activators, identify the best Beclin-1 enhancer and ULK1 modulator partners for synergistic autophagy induction.</w:t>
      </w:r>
    </w:p>
    <w:p>
      <w:pPr>
        <w:pStyle w:val="ListParagraph"/>
        <w:numPr>
          <w:ilvl w:val="0"/>
          <w:numId w:val="2"/>
        </w:numPr>
        <w:spacing w:after="100" w:line="360"/>
      </w:pPr>
      <w:r>
        <w:rPr>
          <w:rFonts w:ascii="Arial" w:cs="Arial" w:eastAsia="Arial" w:hAnsi="Arial"/>
          <w:sz w:val="24"/>
          <w:szCs w:val="24"/>
        </w:rPr>
        <w:t xml:space="preserve">What is the predicted synergy score (Bliss, Loewe) for the top 5 two-drug and top 3 three-drug combinations targeting TFEB, Beclin-1, and ULK1?</w:t>
      </w:r>
    </w:p>
    <w:p>
      <w:pPr>
        <w:pStyle w:val="ListParagraph"/>
        <w:numPr>
          <w:ilvl w:val="0"/>
          <w:numId w:val="2"/>
        </w:numPr>
        <w:spacing w:after="100" w:line="360"/>
      </w:pPr>
      <w:r>
        <w:rPr>
          <w:rFonts w:ascii="Arial" w:cs="Arial" w:eastAsia="Arial" w:hAnsi="Arial"/>
          <w:sz w:val="24"/>
          <w:szCs w:val="24"/>
        </w:rPr>
        <w:t xml:space="preserve">Are there compounds that independently enhance both TFEB signaling AND ULK1 kinase activity (polypharmacology for autophagy)?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20 Beclin-1/PI3KC3 complex enhancers with EP validation</w:t>
      </w:r>
    </w:p>
    <w:p>
      <w:pPr>
        <w:pStyle w:val="ListParagraph"/>
        <w:numPr>
          <w:ilvl w:val="0"/>
          <w:numId w:val="2"/>
        </w:numPr>
        <w:spacing w:after="100" w:line="360"/>
      </w:pPr>
      <w:r>
        <w:rPr>
          <w:rFonts w:ascii="Arial" w:cs="Arial" w:eastAsia="Arial" w:hAnsi="Arial"/>
          <w:sz w:val="24"/>
          <w:szCs w:val="24"/>
        </w:rPr>
        <w:t xml:space="preserve">Ranked list of 15 ULK1 modulators (activators/inhibitors) with mechanistic selectivity assessment</w:t>
      </w:r>
    </w:p>
    <w:p>
      <w:pPr>
        <w:pStyle w:val="ListParagraph"/>
        <w:numPr>
          <w:ilvl w:val="0"/>
          <w:numId w:val="2"/>
        </w:numPr>
        <w:spacing w:after="100" w:line="360"/>
      </w:pPr>
      <w:r>
        <w:rPr>
          <w:rFonts w:ascii="Arial" w:cs="Arial" w:eastAsia="Arial" w:hAnsi="Arial"/>
          <w:sz w:val="24"/>
          <w:szCs w:val="24"/>
        </w:rPr>
        <w:t xml:space="preserve">Synergy matrix comparing top TFEB + Beclin-1 + ULK1 combinations (Bliss/Loewe scores)</w:t>
      </w:r>
    </w:p>
    <w:p>
      <w:pPr>
        <w:pStyle w:val="ListParagraph"/>
        <w:numPr>
          <w:ilvl w:val="0"/>
          <w:numId w:val="2"/>
        </w:numPr>
        <w:spacing w:after="100" w:line="360"/>
      </w:pPr>
      <w:r>
        <w:rPr>
          <w:rFonts w:ascii="Arial" w:cs="Arial" w:eastAsia="Arial" w:hAnsi="Arial"/>
          <w:sz w:val="24"/>
          <w:szCs w:val="24"/>
        </w:rPr>
        <w:t xml:space="preserve">Recommended two-drug and three-drug combinations with predicted synergistic benefit</w:t>
      </w:r>
    </w:p>
    <w:p>
      <w:pPr>
        <w:pStyle w:val="ListParagraph"/>
        <w:numPr>
          <w:ilvl w:val="0"/>
          <w:numId w:val="2"/>
        </w:numPr>
        <w:spacing w:after="100" w:line="360"/>
      </w:pPr>
      <w:r>
        <w:rPr>
          <w:rFonts w:ascii="Arial" w:cs="Arial" w:eastAsia="Arial" w:hAnsi="Arial"/>
          <w:sz w:val="24"/>
          <w:szCs w:val="24"/>
        </w:rPr>
        <w:t xml:space="preserve">Dose optimization models for combination treatments (maintaining safety margins)</w:t>
      </w:r>
    </w:p>
    <w:p>
      <w:pPr>
        <w:pStyle w:val="ListParagraph"/>
        <w:numPr>
          <w:ilvl w:val="0"/>
          <w:numId w:val="2"/>
        </w:numPr>
        <w:spacing w:after="100" w:line="360"/>
      </w:pPr>
      <w:r>
        <w:rPr>
          <w:rFonts w:ascii="Arial" w:cs="Arial" w:eastAsia="Arial" w:hAnsi="Arial"/>
          <w:sz w:val="24"/>
          <w:szCs w:val="24"/>
        </w:rPr>
        <w:t xml:space="preserve">Polypharmacology profiles identifying single compounds with multi-target autophagy pathway activity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combination tables (CSV/JSON) with compound pairs/triplets, synergy scores, mechanism confirmations, and dose recommendations</w:t>
      </w:r>
    </w:p>
    <w:p>
      <w:pPr>
        <w:pStyle w:val="Heading2"/>
        <w:spacing w:after="200" w:before="200"/>
      </w:pPr>
      <w:r>
        <w:rPr>
          <w:rFonts w:ascii="Arial" w:cs="Arial" w:eastAsia="Arial" w:hAnsi="Arial"/>
          <w:b/>
          <w:bCs/>
          <w:sz w:val="28"/>
          <w:szCs w:val="28"/>
        </w:rPr>
        <w:t xml:space="preserve">Stage 4: Blood-Brain Barrier Penetration &amp; Pharmacokinetic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Filter candidates based on predicted BBB penetration, integrate published brain PK data, and identify formulation strategies for optimal CNS delivery.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75 compounds (TFEB activators, Beclin-1 enhancers, ULK1 modulators, combinations) from Stages 2-3</w:t>
      </w:r>
    </w:p>
    <w:p>
      <w:pPr>
        <w:pStyle w:val="ListParagraph"/>
        <w:numPr>
          <w:ilvl w:val="0"/>
          <w:numId w:val="2"/>
        </w:numPr>
        <w:spacing w:after="100" w:line="360"/>
      </w:pPr>
      <w:r>
        <w:rPr>
          <w:rFonts w:ascii="Arial" w:cs="Arial" w:eastAsia="Arial" w:hAnsi="Arial"/>
          <w:sz w:val="24"/>
          <w:szCs w:val="24"/>
        </w:rPr>
        <w:t xml:space="preserve">Molecular descriptors (SMILES, MW, LogP, TPSA, rotatable bonds, H-bond donors/acceptors)</w:t>
      </w:r>
    </w:p>
    <w:p>
      <w:pPr>
        <w:pStyle w:val="ListParagraph"/>
        <w:numPr>
          <w:ilvl w:val="0"/>
          <w:numId w:val="2"/>
        </w:numPr>
        <w:spacing w:after="100" w:line="360"/>
      </w:pPr>
      <w:r>
        <w:rPr>
          <w:rFonts w:ascii="Arial" w:cs="Arial" w:eastAsia="Arial" w:hAnsi="Arial"/>
          <w:sz w:val="24"/>
          <w:szCs w:val="24"/>
        </w:rPr>
        <w:t xml:space="preserve">Published rodent PK data (brain/plasma ratios, CSF concentrations, unbound fractions)</w:t>
      </w:r>
    </w:p>
    <w:p>
      <w:pPr>
        <w:pStyle w:val="ListParagraph"/>
        <w:numPr>
          <w:ilvl w:val="0"/>
          <w:numId w:val="2"/>
        </w:numPr>
        <w:spacing w:after="100" w:line="360"/>
      </w:pPr>
      <w:r>
        <w:rPr>
          <w:rFonts w:ascii="Arial" w:cs="Arial" w:eastAsia="Arial" w:hAnsi="Arial"/>
          <w:sz w:val="24"/>
          <w:szCs w:val="24"/>
        </w:rPr>
        <w:t xml:space="preserve">Human PK data from clinical trials (when available) for TFEB/autophagy-targeting compounds</w:t>
      </w:r>
    </w:p>
    <w:p>
      <w:pPr>
        <w:pStyle w:val="ListParagraph"/>
        <w:numPr>
          <w:ilvl w:val="0"/>
          <w:numId w:val="2"/>
        </w:numPr>
        <w:spacing w:after="100" w:line="360"/>
      </w:pPr>
      <w:r>
        <w:rPr>
          <w:rFonts w:ascii="Arial" w:cs="Arial" w:eastAsia="Arial" w:hAnsi="Arial"/>
          <w:sz w:val="24"/>
          <w:szCs w:val="24"/>
        </w:rPr>
        <w:t xml:space="preserve">BBB transporter substrate/inhibitor status (P-gp, BCRP, OATP) for all candidates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NCATS BBB Penetration Prediction tool (machine learning BBB+ classification)</w:t>
      </w:r>
    </w:p>
    <w:p>
      <w:pPr>
        <w:pStyle w:val="ListParagraph"/>
        <w:numPr>
          <w:ilvl w:val="0"/>
          <w:numId w:val="2"/>
        </w:numPr>
        <w:spacing w:after="100" w:line="360"/>
      </w:pPr>
      <w:r>
        <w:rPr>
          <w:rFonts w:ascii="Arial" w:cs="Arial" w:eastAsia="Arial" w:hAnsi="Arial"/>
          <w:sz w:val="24"/>
          <w:szCs w:val="24"/>
        </w:rPr>
        <w:t xml:space="preserve">Lhasa DEREK Nexus (ADMET and transporter substrate prediction)</w:t>
      </w:r>
    </w:p>
    <w:p>
      <w:pPr>
        <w:pStyle w:val="ListParagraph"/>
        <w:numPr>
          <w:ilvl w:val="0"/>
          <w:numId w:val="2"/>
        </w:numPr>
        <w:spacing w:after="100" w:line="360"/>
      </w:pPr>
      <w:r>
        <w:rPr>
          <w:rFonts w:ascii="Arial" w:cs="Arial" w:eastAsia="Arial" w:hAnsi="Arial"/>
          <w:sz w:val="24"/>
          <w:szCs w:val="24"/>
        </w:rPr>
        <w:t xml:space="preserve">PubChem Chemical Properties database (molecular descriptors, structural alerts)</w:t>
      </w:r>
    </w:p>
    <w:p>
      <w:pPr>
        <w:pStyle w:val="ListParagraph"/>
        <w:numPr>
          <w:ilvl w:val="0"/>
          <w:numId w:val="2"/>
        </w:numPr>
        <w:spacing w:after="100" w:line="360"/>
      </w:pPr>
      <w:r>
        <w:rPr>
          <w:rFonts w:ascii="Arial" w:cs="Arial" w:eastAsia="Arial" w:hAnsi="Arial"/>
          <w:sz w:val="24"/>
          <w:szCs w:val="24"/>
        </w:rPr>
        <w:t xml:space="preserve">Published microdialysis data mining (brain ECF concentration in rodents)</w:t>
      </w:r>
    </w:p>
    <w:p>
      <w:pPr>
        <w:pStyle w:val="ListParagraph"/>
        <w:numPr>
          <w:ilvl w:val="0"/>
          <w:numId w:val="2"/>
        </w:numPr>
        <w:spacing w:after="100" w:line="360"/>
      </w:pPr>
      <w:r>
        <w:rPr>
          <w:rFonts w:ascii="Arial" w:cs="Arial" w:eastAsia="Arial" w:hAnsi="Arial"/>
          <w:sz w:val="24"/>
          <w:szCs w:val="24"/>
        </w:rPr>
        <w:t xml:space="preserve">Human PK review from regulatory submissions (FDA pharmacology reviews, EMA assessment reports)</w:t>
      </w:r>
    </w:p>
    <w:p>
      <w:pPr>
        <w:pStyle w:val="ListParagraph"/>
        <w:numPr>
          <w:ilvl w:val="0"/>
          <w:numId w:val="2"/>
        </w:numPr>
        <w:spacing w:after="100" w:line="360"/>
      </w:pPr>
      <w:r>
        <w:rPr>
          <w:rFonts w:ascii="Arial" w:cs="Arial" w:eastAsia="Arial" w:hAnsi="Arial"/>
          <w:sz w:val="24"/>
          <w:szCs w:val="24"/>
        </w:rPr>
        <w:t xml:space="preserve">BBB clearance rate models and unbound brain concentration prediction tools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of the top 75 candidates are predicted BBB+ by consensus (NCATS + DEREK + published data)?</w:t>
      </w:r>
    </w:p>
    <w:p>
      <w:pPr>
        <w:pStyle w:val="ListParagraph"/>
        <w:numPr>
          <w:ilvl w:val="0"/>
          <w:numId w:val="2"/>
        </w:numPr>
        <w:spacing w:after="100" w:line="360"/>
      </w:pPr>
      <w:r>
        <w:rPr>
          <w:rFonts w:ascii="Arial" w:cs="Arial" w:eastAsia="Arial" w:hAnsi="Arial"/>
          <w:sz w:val="24"/>
          <w:szCs w:val="24"/>
        </w:rPr>
        <w:t xml:space="preserve">For compounds with suboptimal predicted BBB penetration, are there lipophilic pro-drugs or formulation strategies (nanoparticles, liposomes, blood-brain barrier disruption approaches) to improve CNS delivery?</w:t>
      </w:r>
    </w:p>
    <w:p>
      <w:pPr>
        <w:pStyle w:val="ListParagraph"/>
        <w:numPr>
          <w:ilvl w:val="0"/>
          <w:numId w:val="2"/>
        </w:numPr>
        <w:spacing w:after="100" w:line="360"/>
      </w:pPr>
      <w:r>
        <w:rPr>
          <w:rFonts w:ascii="Arial" w:cs="Arial" w:eastAsia="Arial" w:hAnsi="Arial"/>
          <w:sz w:val="24"/>
          <w:szCs w:val="24"/>
        </w:rPr>
        <w:t xml:space="preserve">What is the predicted steady-state unbound brain concentration (Cu,brain,ss) at clinically relevant doses for each top 20 candidate?</w:t>
      </w:r>
    </w:p>
    <w:p>
      <w:pPr>
        <w:pStyle w:val="ListParagraph"/>
        <w:numPr>
          <w:ilvl w:val="0"/>
          <w:numId w:val="2"/>
        </w:numPr>
        <w:spacing w:after="100" w:line="360"/>
      </w:pPr>
      <w:r>
        <w:rPr>
          <w:rFonts w:ascii="Arial" w:cs="Arial" w:eastAsia="Arial" w:hAnsi="Arial"/>
          <w:sz w:val="24"/>
          <w:szCs w:val="24"/>
        </w:rPr>
        <w:t xml:space="preserve">Which candidates have published human PK data confirming brain penetration (CSF sampling, PET imaging, microdialysis)?</w:t>
      </w:r>
    </w:p>
    <w:p>
      <w:pPr>
        <w:pStyle w:val="ListParagraph"/>
        <w:numPr>
          <w:ilvl w:val="0"/>
          <w:numId w:val="2"/>
        </w:numPr>
        <w:spacing w:after="100" w:line="360"/>
      </w:pPr>
      <w:r>
        <w:rPr>
          <w:rFonts w:ascii="Arial" w:cs="Arial" w:eastAsia="Arial" w:hAnsi="Arial"/>
          <w:sz w:val="24"/>
          <w:szCs w:val="24"/>
        </w:rPr>
        <w:t xml:space="preserve">How do BBB transporter interactions (P-gp substrate, BCRP inhibitor, OATP dependency) affect the drug's CNS penetration and potential drug-drug interactions in the brain?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BBB penetration classification (BBB+, BBB-, BBB?) for all 75 candidates with prediction confidence scores</w:t>
      </w:r>
    </w:p>
    <w:p>
      <w:pPr>
        <w:pStyle w:val="ListParagraph"/>
        <w:numPr>
          <w:ilvl w:val="0"/>
          <w:numId w:val="2"/>
        </w:numPr>
        <w:spacing w:after="100" w:line="360"/>
      </w:pPr>
      <w:r>
        <w:rPr>
          <w:rFonts w:ascii="Arial" w:cs="Arial" w:eastAsia="Arial" w:hAnsi="Arial"/>
          <w:sz w:val="24"/>
          <w:szCs w:val="24"/>
        </w:rPr>
        <w:t xml:space="preserve">Filtered list of 40 BBB+ compounds meeting minimum permeability criteria</w:t>
      </w:r>
    </w:p>
    <w:p>
      <w:pPr>
        <w:pStyle w:val="ListParagraph"/>
        <w:numPr>
          <w:ilvl w:val="0"/>
          <w:numId w:val="2"/>
        </w:numPr>
        <w:spacing w:after="100" w:line="360"/>
      </w:pPr>
      <w:r>
        <w:rPr>
          <w:rFonts w:ascii="Arial" w:cs="Arial" w:eastAsia="Arial" w:hAnsi="Arial"/>
          <w:sz w:val="24"/>
          <w:szCs w:val="24"/>
        </w:rPr>
        <w:t xml:space="preserve">Published brain PK data summary (Kp.uu, brain/plasma ratios, CSF concentrations) for top 25 compounds</w:t>
      </w:r>
    </w:p>
    <w:p>
      <w:pPr>
        <w:pStyle w:val="ListParagraph"/>
        <w:numPr>
          <w:ilvl w:val="0"/>
          <w:numId w:val="2"/>
        </w:numPr>
        <w:spacing w:after="100" w:line="360"/>
      </w:pPr>
      <w:r>
        <w:rPr>
          <w:rFonts w:ascii="Arial" w:cs="Arial" w:eastAsia="Arial" w:hAnsi="Arial"/>
          <w:sz w:val="24"/>
          <w:szCs w:val="24"/>
        </w:rPr>
        <w:t xml:space="preserve">Predicted unbound brain concentrations at clinically achievable doses</w:t>
      </w:r>
    </w:p>
    <w:p>
      <w:pPr>
        <w:pStyle w:val="ListParagraph"/>
        <w:numPr>
          <w:ilvl w:val="0"/>
          <w:numId w:val="2"/>
        </w:numPr>
        <w:spacing w:after="100" w:line="360"/>
      </w:pPr>
      <w:r>
        <w:rPr>
          <w:rFonts w:ascii="Arial" w:cs="Arial" w:eastAsia="Arial" w:hAnsi="Arial"/>
          <w:sz w:val="24"/>
          <w:szCs w:val="24"/>
        </w:rPr>
        <w:t xml:space="preserve">Transporter interaction matrix (P-gp/BCRP substrate/inhibitor status, OATP involvement)</w:t>
      </w:r>
    </w:p>
    <w:p>
      <w:pPr>
        <w:pStyle w:val="ListParagraph"/>
        <w:numPr>
          <w:ilvl w:val="0"/>
          <w:numId w:val="2"/>
        </w:numPr>
        <w:spacing w:after="100" w:line="360"/>
      </w:pPr>
      <w:r>
        <w:rPr>
          <w:rFonts w:ascii="Arial" w:cs="Arial" w:eastAsia="Arial" w:hAnsi="Arial"/>
          <w:sz w:val="24"/>
          <w:szCs w:val="24"/>
        </w:rPr>
        <w:t xml:space="preserve">Formulation optimization recommendations for suboptimal permeability compounds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CSV/JSON with compound names, BBB predictions, Kp values, brain PK data, transporter liabilities, and formulation notes</w:t>
      </w:r>
    </w:p>
    <w:p>
      <w:pPr>
        <w:pStyle w:val="Heading2"/>
        <w:spacing w:after="200" w:before="200"/>
      </w:pPr>
      <w:r>
        <w:rPr>
          <w:rFonts w:ascii="Arial" w:cs="Arial" w:eastAsia="Arial" w:hAnsi="Arial"/>
          <w:b/>
          <w:bCs/>
          <w:sz w:val="28"/>
          <w:szCs w:val="28"/>
        </w:rPr>
        <w:t xml:space="preserve">Stage 5: Clinical Safety Profile Integration &amp; Human Data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clinical trial data, pharmacovigilance records, and human safety studies to prioritize candidates with established safety in human populations.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40 BBB+ candidates from Stage 4 (structures, PK, mechanism of action)</w:t>
      </w:r>
    </w:p>
    <w:p>
      <w:pPr>
        <w:pStyle w:val="ListParagraph"/>
        <w:numPr>
          <w:ilvl w:val="0"/>
          <w:numId w:val="2"/>
        </w:numPr>
        <w:spacing w:after="100" w:line="360"/>
      </w:pPr>
      <w:r>
        <w:rPr>
          <w:rFonts w:ascii="Arial" w:cs="Arial" w:eastAsia="Arial" w:hAnsi="Arial"/>
          <w:sz w:val="24"/>
          <w:szCs w:val="24"/>
        </w:rPr>
        <w:t xml:space="preserve">FDA pharmacology reviews and clinical trial information (FDA Orange Book, ClinicalTrials.gov)</w:t>
      </w:r>
    </w:p>
    <w:p>
      <w:pPr>
        <w:pStyle w:val="ListParagraph"/>
        <w:numPr>
          <w:ilvl w:val="0"/>
          <w:numId w:val="2"/>
        </w:numPr>
        <w:spacing w:after="100" w:line="360"/>
      </w:pPr>
      <w:r>
        <w:rPr>
          <w:rFonts w:ascii="Arial" w:cs="Arial" w:eastAsia="Arial" w:hAnsi="Arial"/>
          <w:sz w:val="24"/>
          <w:szCs w:val="24"/>
        </w:rPr>
        <w:t xml:space="preserve">FAERS pharmacovigilance data (adverse event reports, signal detection)</w:t>
      </w:r>
    </w:p>
    <w:p>
      <w:pPr>
        <w:pStyle w:val="ListParagraph"/>
        <w:numPr>
          <w:ilvl w:val="0"/>
          <w:numId w:val="2"/>
        </w:numPr>
        <w:spacing w:after="100" w:line="360"/>
      </w:pPr>
      <w:r>
        <w:rPr>
          <w:rFonts w:ascii="Arial" w:cs="Arial" w:eastAsia="Arial" w:hAnsi="Arial"/>
          <w:sz w:val="24"/>
          <w:szCs w:val="24"/>
        </w:rPr>
        <w:t xml:space="preserve">Published clinical studies of candidate compounds in any neurodegenerative disease indication</w:t>
      </w:r>
    </w:p>
    <w:p>
      <w:pPr>
        <w:pStyle w:val="ListParagraph"/>
        <w:numPr>
          <w:ilvl w:val="0"/>
          <w:numId w:val="2"/>
        </w:numPr>
        <w:spacing w:after="100" w:line="360"/>
      </w:pPr>
      <w:r>
        <w:rPr>
          <w:rFonts w:ascii="Arial" w:cs="Arial" w:eastAsia="Arial" w:hAnsi="Arial"/>
          <w:sz w:val="24"/>
          <w:szCs w:val="24"/>
        </w:rPr>
        <w:t xml:space="preserve">Drug-drug interaction profiles with common neurodegenerative disease medications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FDA Pharmacology Reviews (full-text CDER documents)</w:t>
      </w:r>
    </w:p>
    <w:p>
      <w:pPr>
        <w:pStyle w:val="ListParagraph"/>
        <w:numPr>
          <w:ilvl w:val="0"/>
          <w:numId w:val="2"/>
        </w:numPr>
        <w:spacing w:after="100" w:line="360"/>
      </w:pPr>
      <w:r>
        <w:rPr>
          <w:rFonts w:ascii="Arial" w:cs="Arial" w:eastAsia="Arial" w:hAnsi="Arial"/>
          <w:sz w:val="24"/>
          <w:szCs w:val="24"/>
        </w:rPr>
        <w:t xml:space="preserve">ClinicalTrials.gov database queries (completed and ongoing trials)</w:t>
      </w:r>
    </w:p>
    <w:p>
      <w:pPr>
        <w:pStyle w:val="ListParagraph"/>
        <w:numPr>
          <w:ilvl w:val="0"/>
          <w:numId w:val="2"/>
        </w:numPr>
        <w:spacing w:after="100" w:line="360"/>
      </w:pPr>
      <w:r>
        <w:rPr>
          <w:rFonts w:ascii="Arial" w:cs="Arial" w:eastAsia="Arial" w:hAnsi="Arial"/>
          <w:sz w:val="24"/>
          <w:szCs w:val="24"/>
        </w:rPr>
        <w:t xml:space="preserve">FAERS RxNorm mapping and signal detection (ROR, EBGM, PRR statistics)</w:t>
      </w:r>
    </w:p>
    <w:p>
      <w:pPr>
        <w:pStyle w:val="ListParagraph"/>
        <w:numPr>
          <w:ilvl w:val="0"/>
          <w:numId w:val="2"/>
        </w:numPr>
        <w:spacing w:after="100" w:line="360"/>
      </w:pPr>
      <w:r>
        <w:rPr>
          <w:rFonts w:ascii="Arial" w:cs="Arial" w:eastAsia="Arial" w:hAnsi="Arial"/>
          <w:sz w:val="24"/>
          <w:szCs w:val="24"/>
        </w:rPr>
        <w:t xml:space="preserve">Published clinical outcomes literature (PubMed queries, systematic reviews)</w:t>
      </w:r>
    </w:p>
    <w:p>
      <w:pPr>
        <w:pStyle w:val="ListParagraph"/>
        <w:numPr>
          <w:ilvl w:val="0"/>
          <w:numId w:val="2"/>
        </w:numPr>
        <w:spacing w:after="100" w:line="360"/>
      </w:pPr>
      <w:r>
        <w:rPr>
          <w:rFonts w:ascii="Arial" w:cs="Arial" w:eastAsia="Arial" w:hAnsi="Arial"/>
          <w:sz w:val="24"/>
          <w:szCs w:val="24"/>
        </w:rPr>
        <w:t xml:space="preserve">DrugBank DDI database (CYP450 interactions, transporter-based DDIs)</w:t>
      </w:r>
    </w:p>
    <w:p>
      <w:pPr>
        <w:pStyle w:val="ListParagraph"/>
        <w:numPr>
          <w:ilvl w:val="0"/>
          <w:numId w:val="2"/>
        </w:numPr>
        <w:spacing w:after="100" w:line="360"/>
      </w:pPr>
      <w:r>
        <w:rPr>
          <w:rFonts w:ascii="Arial" w:cs="Arial" w:eastAsia="Arial" w:hAnsi="Arial"/>
          <w:sz w:val="24"/>
          <w:szCs w:val="24"/>
        </w:rPr>
        <w:t xml:space="preserve">Adverse event profile comparison across autophagy-targeting drug classes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of the 40 BBB+ candidates have been tested in human subjects, and what were the primary safety findings in clinical trials?</w:t>
      </w:r>
    </w:p>
    <w:p>
      <w:pPr>
        <w:pStyle w:val="ListParagraph"/>
        <w:numPr>
          <w:ilvl w:val="0"/>
          <w:numId w:val="2"/>
        </w:numPr>
        <w:spacing w:after="100" w:line="360"/>
      </w:pPr>
      <w:r>
        <w:rPr>
          <w:rFonts w:ascii="Arial" w:cs="Arial" w:eastAsia="Arial" w:hAnsi="Arial"/>
          <w:sz w:val="24"/>
          <w:szCs w:val="24"/>
        </w:rPr>
        <w:t xml:space="preserve">How do the autophagy activators rank in terms of CNS safety signals (cognitive impairment, seizures, neuropsychiatric effects) in FAERS data?</w:t>
      </w:r>
    </w:p>
    <w:p>
      <w:pPr>
        <w:pStyle w:val="ListParagraph"/>
        <w:numPr>
          <w:ilvl w:val="0"/>
          <w:numId w:val="2"/>
        </w:numPr>
        <w:spacing w:after="100" w:line="360"/>
      </w:pPr>
      <w:r>
        <w:rPr>
          <w:rFonts w:ascii="Arial" w:cs="Arial" w:eastAsia="Arial" w:hAnsi="Arial"/>
          <w:sz w:val="24"/>
          <w:szCs w:val="24"/>
        </w:rPr>
        <w:t xml:space="preserve">Are there compounds with published Phase II clinical data in neurodegenerative diseases (Parkinson's, Alzheimer's, ALS) demonstrating clinical efficacy or tolerability?</w:t>
      </w:r>
    </w:p>
    <w:p>
      <w:pPr>
        <w:pStyle w:val="ListParagraph"/>
        <w:numPr>
          <w:ilvl w:val="0"/>
          <w:numId w:val="2"/>
        </w:numPr>
        <w:spacing w:after="100" w:line="360"/>
      </w:pPr>
      <w:r>
        <w:rPr>
          <w:rFonts w:ascii="Arial" w:cs="Arial" w:eastAsia="Arial" w:hAnsi="Arial"/>
          <w:sz w:val="24"/>
          <w:szCs w:val="24"/>
        </w:rPr>
        <w:t xml:space="preserve">What are the drug-drug interaction concerns for top candidates with cholinesterase inhibitors, DOPA agonists, or L-DOPA therapies common in neurodegeneration?</w:t>
      </w:r>
    </w:p>
    <w:p>
      <w:pPr>
        <w:pStyle w:val="ListParagraph"/>
        <w:numPr>
          <w:ilvl w:val="0"/>
          <w:numId w:val="2"/>
        </w:numPr>
        <w:spacing w:after="100" w:line="360"/>
      </w:pPr>
      <w:r>
        <w:rPr>
          <w:rFonts w:ascii="Arial" w:cs="Arial" w:eastAsia="Arial" w:hAnsi="Arial"/>
          <w:sz w:val="24"/>
          <w:szCs w:val="24"/>
        </w:rPr>
        <w:t xml:space="preserve">Which candidates have been tested at doses sufficient to achieve target autophagy pathway engagement based on published pharmacodynamic (PD) biomarker data?</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20 candidates with established human safety data</w:t>
      </w:r>
    </w:p>
    <w:p>
      <w:pPr>
        <w:pStyle w:val="ListParagraph"/>
        <w:numPr>
          <w:ilvl w:val="0"/>
          <w:numId w:val="2"/>
        </w:numPr>
        <w:spacing w:after="100" w:line="360"/>
      </w:pPr>
      <w:r>
        <w:rPr>
          <w:rFonts w:ascii="Arial" w:cs="Arial" w:eastAsia="Arial" w:hAnsi="Arial"/>
          <w:sz w:val="24"/>
          <w:szCs w:val="24"/>
        </w:rPr>
        <w:t xml:space="preserve">Clinical trial history and published efficacy/safety summaries for each candidate</w:t>
      </w:r>
    </w:p>
    <w:p>
      <w:pPr>
        <w:pStyle w:val="ListParagraph"/>
        <w:numPr>
          <w:ilvl w:val="0"/>
          <w:numId w:val="2"/>
        </w:numPr>
        <w:spacing w:after="100" w:line="360"/>
      </w:pPr>
      <w:r>
        <w:rPr>
          <w:rFonts w:ascii="Arial" w:cs="Arial" w:eastAsia="Arial" w:hAnsi="Arial"/>
          <w:sz w:val="24"/>
          <w:szCs w:val="24"/>
        </w:rPr>
        <w:t xml:space="preserve">FAERS safety signal profile (adverse event frequencies, severity ratings, temporal patterns)</w:t>
      </w:r>
    </w:p>
    <w:p>
      <w:pPr>
        <w:pStyle w:val="ListParagraph"/>
        <w:numPr>
          <w:ilvl w:val="0"/>
          <w:numId w:val="2"/>
        </w:numPr>
        <w:spacing w:after="100" w:line="360"/>
      </w:pPr>
      <w:r>
        <w:rPr>
          <w:rFonts w:ascii="Arial" w:cs="Arial" w:eastAsia="Arial" w:hAnsi="Arial"/>
          <w:sz w:val="24"/>
          <w:szCs w:val="24"/>
        </w:rPr>
        <w:t xml:space="preserve">Drug-drug interaction matrix with neurodegenerative disease standard-of-care medications</w:t>
      </w:r>
    </w:p>
    <w:p>
      <w:pPr>
        <w:pStyle w:val="ListParagraph"/>
        <w:numPr>
          <w:ilvl w:val="0"/>
          <w:numId w:val="2"/>
        </w:numPr>
        <w:spacing w:after="100" w:line="360"/>
      </w:pPr>
      <w:r>
        <w:rPr>
          <w:rFonts w:ascii="Arial" w:cs="Arial" w:eastAsia="Arial" w:hAnsi="Arial"/>
          <w:sz w:val="24"/>
          <w:szCs w:val="24"/>
        </w:rPr>
        <w:t xml:space="preserve">Recommended maximum tolerated dose (MTD) and clinically relevant dose ranges from prior human studies</w:t>
      </w:r>
    </w:p>
    <w:p>
      <w:pPr>
        <w:pStyle w:val="ListParagraph"/>
        <w:numPr>
          <w:ilvl w:val="0"/>
          <w:numId w:val="2"/>
        </w:numPr>
        <w:spacing w:after="100" w:line="360"/>
      </w:pPr>
      <w:r>
        <w:rPr>
          <w:rFonts w:ascii="Arial" w:cs="Arial" w:eastAsia="Arial" w:hAnsi="Arial"/>
          <w:sz w:val="24"/>
          <w:szCs w:val="24"/>
        </w:rPr>
        <w:t xml:space="preserve">Risk-benefit assessment scores integrating EP efficacy, BBB penetration, safety, and clinical development status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ranking table (CSV/JSON/Word) with candidate names, clinical history, safety scores, DDI summaries, and overall risk-benefit ranking</w:t>
      </w:r>
    </w:p>
    <w:p>
      <w:pPr>
        <w:pStyle w:val="Heading2"/>
        <w:spacing w:after="200" w:before="200"/>
      </w:pPr>
      <w:r>
        <w:rPr>
          <w:rFonts w:ascii="Arial" w:cs="Arial" w:eastAsia="Arial" w:hAnsi="Arial"/>
          <w:b/>
          <w:bCs/>
          <w:sz w:val="28"/>
          <w:szCs w:val="28"/>
        </w:rPr>
        <w:t xml:space="preserve">Stage 6: EP Validation, Translational Modeling &amp; Regulatory Pathway Selection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final candidates using EP phenotype reversals in protein aggregation disease models, predict translational outcomes, and recommend regulatory pathways for clinical development.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20 candidates from Stage 5 (safety and clinical history integrated)</w:t>
      </w:r>
    </w:p>
    <w:p>
      <w:pPr>
        <w:pStyle w:val="ListParagraph"/>
        <w:numPr>
          <w:ilvl w:val="0"/>
          <w:numId w:val="2"/>
        </w:numPr>
        <w:spacing w:after="100" w:line="360"/>
      </w:pPr>
      <w:r>
        <w:rPr>
          <w:rFonts w:ascii="Arial" w:cs="Arial" w:eastAsia="Arial" w:hAnsi="Arial"/>
          <w:sz w:val="24"/>
          <w:szCs w:val="24"/>
        </w:rPr>
        <w:t xml:space="preserve">Full EP phenotype reversal data from Stages 2-3 (autophagy induction, synaptic recovery)</w:t>
      </w:r>
    </w:p>
    <w:p>
      <w:pPr>
        <w:pStyle w:val="ListParagraph"/>
        <w:numPr>
          <w:ilvl w:val="0"/>
          <w:numId w:val="2"/>
        </w:numPr>
        <w:spacing w:after="100" w:line="360"/>
      </w:pPr>
      <w:r>
        <w:rPr>
          <w:rFonts w:ascii="Arial" w:cs="Arial" w:eastAsia="Arial" w:hAnsi="Arial"/>
          <w:sz w:val="24"/>
          <w:szCs w:val="24"/>
        </w:rPr>
        <w:t xml:space="preserve">Independent validation data: published patch-clamp/calcium imaging studies of autophagy enhancers in neurodegeneration models</w:t>
      </w:r>
    </w:p>
    <w:p>
      <w:pPr>
        <w:pStyle w:val="ListParagraph"/>
        <w:numPr>
          <w:ilvl w:val="0"/>
          <w:numId w:val="2"/>
        </w:numPr>
        <w:spacing w:after="100" w:line="360"/>
      </w:pPr>
      <w:r>
        <w:rPr>
          <w:rFonts w:ascii="Arial" w:cs="Arial" w:eastAsia="Arial" w:hAnsi="Arial"/>
          <w:sz w:val="24"/>
          <w:szCs w:val="24"/>
        </w:rPr>
        <w:t xml:space="preserve">Translational biomarker data (CSF p-tau, plasma phospho-tau variants, amyloid markers)</w:t>
      </w:r>
    </w:p>
    <w:p>
      <w:pPr>
        <w:pStyle w:val="ListParagraph"/>
        <w:numPr>
          <w:ilvl w:val="0"/>
          <w:numId w:val="2"/>
        </w:numPr>
        <w:spacing w:after="100" w:line="360"/>
      </w:pPr>
      <w:r>
        <w:rPr>
          <w:rFonts w:ascii="Arial" w:cs="Arial" w:eastAsia="Arial" w:hAnsi="Arial"/>
          <w:sz w:val="24"/>
          <w:szCs w:val="24"/>
        </w:rPr>
        <w:t xml:space="preserve">Regulatory guidance documents (FDA 21 CFR, ICH guidelines, neurodegeneration guidance)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Platform statistical analysis (effect size estimation, multi-dimensional phenotype testing)</w:t>
      </w:r>
    </w:p>
    <w:p>
      <w:pPr>
        <w:pStyle w:val="ListParagraph"/>
        <w:numPr>
          <w:ilvl w:val="0"/>
          <w:numId w:val="2"/>
        </w:numPr>
        <w:spacing w:after="100" w:line="360"/>
      </w:pPr>
      <w:r>
        <w:rPr>
          <w:rFonts w:ascii="Arial" w:cs="Arial" w:eastAsia="Arial" w:hAnsi="Arial"/>
          <w:sz w:val="24"/>
          <w:szCs w:val="24"/>
        </w:rPr>
        <w:t xml:space="preserve">Translational biomarker mapping (EP features to CSF/plasma biomarkers)</w:t>
      </w:r>
    </w:p>
    <w:p>
      <w:pPr>
        <w:pStyle w:val="ListParagraph"/>
        <w:numPr>
          <w:ilvl w:val="0"/>
          <w:numId w:val="2"/>
        </w:numPr>
        <w:spacing w:after="100" w:line="360"/>
      </w:pPr>
      <w:r>
        <w:rPr>
          <w:rFonts w:ascii="Arial" w:cs="Arial" w:eastAsia="Arial" w:hAnsi="Arial"/>
          <w:sz w:val="24"/>
          <w:szCs w:val="24"/>
        </w:rPr>
        <w:t xml:space="preserve">Mechanism consensus scoring (agreement between drug, CRISPR, and literature targets)</w:t>
      </w:r>
    </w:p>
    <w:p>
      <w:pPr>
        <w:pStyle w:val="ListParagraph"/>
        <w:numPr>
          <w:ilvl w:val="0"/>
          <w:numId w:val="2"/>
        </w:numPr>
        <w:spacing w:after="100" w:line="360"/>
      </w:pPr>
      <w:r>
        <w:rPr>
          <w:rFonts w:ascii="Arial" w:cs="Arial" w:eastAsia="Arial" w:hAnsi="Arial"/>
          <w:sz w:val="24"/>
          <w:szCs w:val="24"/>
        </w:rPr>
        <w:t xml:space="preserve">Phase II/III trial design database (adaptive designs, endpoint qualification)</w:t>
      </w:r>
    </w:p>
    <w:p>
      <w:pPr>
        <w:pStyle w:val="ListParagraph"/>
        <w:numPr>
          <w:ilvl w:val="0"/>
          <w:numId w:val="2"/>
        </w:numPr>
        <w:spacing w:after="100" w:line="360"/>
      </w:pPr>
      <w:r>
        <w:rPr>
          <w:rFonts w:ascii="Arial" w:cs="Arial" w:eastAsia="Arial" w:hAnsi="Arial"/>
          <w:sz w:val="24"/>
          <w:szCs w:val="24"/>
        </w:rPr>
        <w:t xml:space="preserve">Go/No-Go decision framework integrating efficacy, safety, IP, and regulatory pathways</w:t>
      </w:r>
    </w:p>
    <w:p>
      <w:pPr>
        <w:pStyle w:val="ListParagraph"/>
        <w:numPr>
          <w:ilvl w:val="0"/>
          <w:numId w:val="2"/>
        </w:numPr>
        <w:spacing w:after="100" w:line="360"/>
      </w:pPr>
      <w:r>
        <w:rPr>
          <w:rFonts w:ascii="Arial" w:cs="Arial" w:eastAsia="Arial" w:hAnsi="Arial"/>
          <w:sz w:val="24"/>
          <w:szCs w:val="24"/>
        </w:rPr>
        <w:t xml:space="preserve">Timeline and budget forecasting for IND-enabling studies and early clinical development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top 20 candidate, rank the consistency between its EP phenotype reversal and published efficacy in cellular/animal models of protein aggregation diseases.</w:t>
      </w:r>
    </w:p>
    <w:p>
      <w:pPr>
        <w:pStyle w:val="ListParagraph"/>
        <w:numPr>
          <w:ilvl w:val="0"/>
          <w:numId w:val="2"/>
        </w:numPr>
        <w:spacing w:after="100" w:line="360"/>
      </w:pPr>
      <w:r>
        <w:rPr>
          <w:rFonts w:ascii="Arial" w:cs="Arial" w:eastAsia="Arial" w:hAnsi="Arial"/>
          <w:sz w:val="24"/>
          <w:szCs w:val="24"/>
        </w:rPr>
        <w:t xml:space="preserve">Which candidates show the strongest reversal of synucleinopathy or tauopathy signatures in the Quiver atlas?</w:t>
      </w:r>
    </w:p>
    <w:p>
      <w:pPr>
        <w:pStyle w:val="ListParagraph"/>
        <w:numPr>
          <w:ilvl w:val="0"/>
          <w:numId w:val="2"/>
        </w:numPr>
        <w:spacing w:after="100" w:line="360"/>
      </w:pPr>
      <w:r>
        <w:rPr>
          <w:rFonts w:ascii="Arial" w:cs="Arial" w:eastAsia="Arial" w:hAnsi="Arial"/>
          <w:sz w:val="24"/>
          <w:szCs w:val="24"/>
        </w:rPr>
        <w:t xml:space="preserve">How do the top 5 candidates rank by translational probability to human cognitive benefit, based on concordance with validated biomarkers and mechanism consistency?</w:t>
      </w:r>
    </w:p>
    <w:p>
      <w:pPr>
        <w:pStyle w:val="ListParagraph"/>
        <w:numPr>
          <w:ilvl w:val="0"/>
          <w:numId w:val="2"/>
        </w:numPr>
        <w:spacing w:after="100" w:line="360"/>
      </w:pPr>
      <w:r>
        <w:rPr>
          <w:rFonts w:ascii="Arial" w:cs="Arial" w:eastAsia="Arial" w:hAnsi="Arial"/>
          <w:sz w:val="24"/>
          <w:szCs w:val="24"/>
        </w:rPr>
        <w:t xml:space="preserve">What is the intellectual property landscape for each top 5 candidate, including patent expiration, composition improvements, and formulation opportunities?</w:t>
      </w:r>
    </w:p>
    <w:p>
      <w:pPr>
        <w:pStyle w:val="ListParagraph"/>
        <w:numPr>
          <w:ilvl w:val="0"/>
          <w:numId w:val="2"/>
        </w:numPr>
        <w:spacing w:after="100" w:line="360"/>
      </w:pPr>
      <w:r>
        <w:rPr>
          <w:rFonts w:ascii="Arial" w:cs="Arial" w:eastAsia="Arial" w:hAnsi="Arial"/>
          <w:sz w:val="24"/>
          <w:szCs w:val="24"/>
        </w:rPr>
        <w:t xml:space="preserve">Which regulatory pathway (standard IND, breakthrough designation, accelerated approval) is most appropriate for each top 5 candidate based on unmet need and efficacy signal strength?</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list of top 5 BBB-penetrant autophagy enhancers with human safety data</w:t>
      </w:r>
    </w:p>
    <w:p>
      <w:pPr>
        <w:pStyle w:val="ListParagraph"/>
        <w:numPr>
          <w:ilvl w:val="0"/>
          <w:numId w:val="2"/>
        </w:numPr>
        <w:spacing w:after="100" w:line="360"/>
      </w:pPr>
      <w:r>
        <w:rPr>
          <w:rFonts w:ascii="Arial" w:cs="Arial" w:eastAsia="Arial" w:hAnsi="Arial"/>
          <w:sz w:val="24"/>
          <w:szCs w:val="24"/>
        </w:rPr>
        <w:t xml:space="preserve">EP validation report (mechanism confirmation, phenotype reversal breadth, translational strength)</w:t>
      </w:r>
    </w:p>
    <w:p>
      <w:pPr>
        <w:pStyle w:val="ListParagraph"/>
        <w:numPr>
          <w:ilvl w:val="0"/>
          <w:numId w:val="2"/>
        </w:numPr>
        <w:spacing w:after="100" w:line="360"/>
      </w:pPr>
      <w:r>
        <w:rPr>
          <w:rFonts w:ascii="Arial" w:cs="Arial" w:eastAsia="Arial" w:hAnsi="Arial"/>
          <w:sz w:val="24"/>
          <w:szCs w:val="24"/>
        </w:rPr>
        <w:t xml:space="preserve">Recommended Phase II trial design (population, endpoints, biomarkers, duration, sample size)</w:t>
      </w:r>
    </w:p>
    <w:p>
      <w:pPr>
        <w:pStyle w:val="ListParagraph"/>
        <w:numPr>
          <w:ilvl w:val="0"/>
          <w:numId w:val="2"/>
        </w:numPr>
        <w:spacing w:after="100" w:line="360"/>
      </w:pPr>
      <w:r>
        <w:rPr>
          <w:rFonts w:ascii="Arial" w:cs="Arial" w:eastAsia="Arial" w:hAnsi="Arial"/>
          <w:sz w:val="24"/>
          <w:szCs w:val="24"/>
        </w:rPr>
        <w:t xml:space="preserve">Biomarker strategy integrating EP signatures with translational biomarkers (CSF p-tau, plasma biomarkers)</w:t>
      </w:r>
    </w:p>
    <w:p>
      <w:pPr>
        <w:pStyle w:val="ListParagraph"/>
        <w:numPr>
          <w:ilvl w:val="0"/>
          <w:numId w:val="2"/>
        </w:numPr>
        <w:spacing w:after="100" w:line="360"/>
      </w:pPr>
      <w:r>
        <w:rPr>
          <w:rFonts w:ascii="Arial" w:cs="Arial" w:eastAsia="Arial" w:hAnsi="Arial"/>
          <w:sz w:val="24"/>
          <w:szCs w:val="24"/>
        </w:rPr>
        <w:t xml:space="preserve">Regulatory pathway recommendation and anticipated timeline to clinical testing</w:t>
      </w:r>
    </w:p>
    <w:p>
      <w:pPr>
        <w:pStyle w:val="ListParagraph"/>
        <w:numPr>
          <w:ilvl w:val="0"/>
          <w:numId w:val="2"/>
        </w:numPr>
        <w:spacing w:after="100" w:line="360"/>
      </w:pPr>
      <w:r>
        <w:rPr>
          <w:rFonts w:ascii="Arial" w:cs="Arial" w:eastAsia="Arial" w:hAnsi="Arial"/>
          <w:sz w:val="24"/>
          <w:szCs w:val="24"/>
        </w:rPr>
        <w:t xml:space="preserve">Go/No-Go decision justification with competitive landscape analysis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summary (PDF/Word) with clinical development roadmap, decision matrix, and Phase II protocol outline</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EP CRISPR Atlas (18k gene perturbations, 500+ features, primary screening platform)</w:t>
      </w:r>
    </w:p>
    <w:p>
      <w:pPr>
        <w:pStyle w:val="ListParagraph"/>
        <w:numPr>
          <w:ilvl w:val="0"/>
          <w:numId w:val="2"/>
        </w:numPr>
        <w:spacing w:after="100" w:line="360"/>
      </w:pPr>
      <w:r>
        <w:rPr>
          <w:rFonts w:ascii="Arial" w:cs="Arial" w:eastAsia="Arial" w:hAnsi="Arial"/>
          <w:sz w:val="24"/>
          <w:szCs w:val="24"/>
        </w:rPr>
        <w:t xml:space="preserve">Quiver EP Compound Library (3,500+ FDA-approved, investigational, and natural product compounds)</w:t>
      </w:r>
    </w:p>
    <w:p>
      <w:pPr>
        <w:pStyle w:val="ListParagraph"/>
        <w:numPr>
          <w:ilvl w:val="0"/>
          <w:numId w:val="2"/>
        </w:numPr>
        <w:spacing w:after="100" w:line="360"/>
      </w:pPr>
      <w:r>
        <w:rPr>
          <w:rFonts w:ascii="Arial" w:cs="Arial" w:eastAsia="Arial" w:hAnsi="Arial"/>
          <w:sz w:val="24"/>
          <w:szCs w:val="24"/>
        </w:rPr>
        <w:t xml:space="preserve">KEGG Pathway Database (PATHWAY, ortholog, disease association mapping)</w:t>
      </w:r>
    </w:p>
    <w:p>
      <w:pPr>
        <w:pStyle w:val="ListParagraph"/>
        <w:numPr>
          <w:ilvl w:val="0"/>
          <w:numId w:val="2"/>
        </w:numPr>
        <w:spacing w:after="100" w:line="360"/>
      </w:pPr>
      <w:r>
        <w:rPr>
          <w:rFonts w:ascii="Arial" w:cs="Arial" w:eastAsia="Arial" w:hAnsi="Arial"/>
          <w:sz w:val="24"/>
          <w:szCs w:val="24"/>
        </w:rPr>
        <w:t xml:space="preserve">Reactome Pathway Analysis (mechanistic pathway diagrams, causal relationships, pathway hierarchy)</w:t>
      </w:r>
    </w:p>
    <w:p>
      <w:pPr>
        <w:pStyle w:val="ListParagraph"/>
        <w:numPr>
          <w:ilvl w:val="0"/>
          <w:numId w:val="2"/>
        </w:numPr>
        <w:spacing w:after="100" w:line="360"/>
      </w:pPr>
      <w:r>
        <w:rPr>
          <w:rFonts w:ascii="Arial" w:cs="Arial" w:eastAsia="Arial" w:hAnsi="Arial"/>
          <w:sz w:val="24"/>
          <w:szCs w:val="24"/>
        </w:rPr>
        <w:t xml:space="preserve">STRING Protein Interaction Network (protein-protein interactions, functional associations)</w:t>
      </w:r>
    </w:p>
    <w:p>
      <w:pPr>
        <w:pStyle w:val="ListParagraph"/>
        <w:numPr>
          <w:ilvl w:val="0"/>
          <w:numId w:val="2"/>
        </w:numPr>
        <w:spacing w:after="100" w:line="360"/>
      </w:pPr>
      <w:r>
        <w:rPr>
          <w:rFonts w:ascii="Arial" w:cs="Arial" w:eastAsia="Arial" w:hAnsi="Arial"/>
          <w:sz w:val="24"/>
          <w:szCs w:val="24"/>
        </w:rPr>
        <w:t xml:space="preserve">ChEMBL Compound Database (chemical structures, targets, bioactivity data, ADMET predictions)</w:t>
      </w:r>
    </w:p>
    <w:p>
      <w:pPr>
        <w:pStyle w:val="ListParagraph"/>
        <w:numPr>
          <w:ilvl w:val="0"/>
          <w:numId w:val="2"/>
        </w:numPr>
        <w:spacing w:after="100" w:line="360"/>
      </w:pPr>
      <w:r>
        <w:rPr>
          <w:rFonts w:ascii="Arial" w:cs="Arial" w:eastAsia="Arial" w:hAnsi="Arial"/>
          <w:sz w:val="24"/>
          <w:szCs w:val="24"/>
        </w:rPr>
        <w:t xml:space="preserve">FDA Pharmacology Reviews and Orange Book (clinical approval history, safety summaries, label information)</w:t>
      </w:r>
    </w:p>
    <w:p>
      <w:pPr>
        <w:pStyle w:val="ListParagraph"/>
        <w:numPr>
          <w:ilvl w:val="0"/>
          <w:numId w:val="2"/>
        </w:numPr>
        <w:spacing w:after="100" w:line="360"/>
      </w:pPr>
      <w:r>
        <w:rPr>
          <w:rFonts w:ascii="Arial" w:cs="Arial" w:eastAsia="Arial" w:hAnsi="Arial"/>
          <w:sz w:val="24"/>
          <w:szCs w:val="24"/>
        </w:rPr>
        <w:t xml:space="preserve">ClinicalTrials.gov (trial design information, enrollment status, published results)</w:t>
      </w:r>
    </w:p>
    <w:p>
      <w:pPr>
        <w:pStyle w:val="ListParagraph"/>
        <w:numPr>
          <w:ilvl w:val="0"/>
          <w:numId w:val="2"/>
        </w:numPr>
        <w:spacing w:after="100" w:line="360"/>
      </w:pPr>
      <w:r>
        <w:rPr>
          <w:rFonts w:ascii="Arial" w:cs="Arial" w:eastAsia="Arial" w:hAnsi="Arial"/>
          <w:sz w:val="24"/>
          <w:szCs w:val="24"/>
        </w:rPr>
        <w:t xml:space="preserve">FAERS Database (FDA adverse event reporting system, pharmacovigilance signal detection)</w:t>
      </w:r>
    </w:p>
    <w:p>
      <w:pPr>
        <w:pStyle w:val="ListParagraph"/>
        <w:numPr>
          <w:ilvl w:val="0"/>
          <w:numId w:val="2"/>
        </w:numPr>
        <w:spacing w:after="100" w:line="360"/>
      </w:pPr>
      <w:r>
        <w:rPr>
          <w:rFonts w:ascii="Arial" w:cs="Arial" w:eastAsia="Arial" w:hAnsi="Arial"/>
          <w:sz w:val="24"/>
          <w:szCs w:val="24"/>
        </w:rPr>
        <w:t xml:space="preserve">DrugBank (drug targets, metabolism, interactions, clinical applications)</w:t>
      </w:r>
    </w:p>
    <w:p>
      <w:pPr>
        <w:pStyle w:val="ListParagraph"/>
        <w:numPr>
          <w:ilvl w:val="0"/>
          <w:numId w:val="2"/>
        </w:numPr>
        <w:spacing w:after="100" w:line="360"/>
      </w:pPr>
      <w:r>
        <w:rPr>
          <w:rFonts w:ascii="Arial" w:cs="Arial" w:eastAsia="Arial" w:hAnsi="Arial"/>
          <w:sz w:val="24"/>
          <w:szCs w:val="24"/>
        </w:rPr>
        <w:t xml:space="preserve">NCATS BBB Penetration Prediction Tool (machine learning BBB+ vs BBB- classification)</w:t>
      </w:r>
    </w:p>
    <w:p>
      <w:pPr>
        <w:pStyle w:val="ListParagraph"/>
        <w:numPr>
          <w:ilvl w:val="0"/>
          <w:numId w:val="2"/>
        </w:numPr>
        <w:spacing w:after="100" w:line="360"/>
      </w:pPr>
      <w:r>
        <w:rPr>
          <w:rFonts w:ascii="Arial" w:cs="Arial" w:eastAsia="Arial" w:hAnsi="Arial"/>
          <w:sz w:val="24"/>
          <w:szCs w:val="24"/>
        </w:rPr>
        <w:t xml:space="preserve">ENCODE/JASPAR Transcription Factor Binding Database (regulatory element prediction, TFEB/TFE3 targets)</w:t>
      </w:r>
    </w:p>
    <w:p>
      <w:pPr>
        <w:pStyle w:val="ListParagraph"/>
        <w:numPr>
          <w:ilvl w:val="0"/>
          <w:numId w:val="2"/>
        </w:numPr>
        <w:spacing w:after="100" w:line="360"/>
      </w:pPr>
      <w:r>
        <w:rPr>
          <w:rFonts w:ascii="Arial" w:cs="Arial" w:eastAsia="Arial" w:hAnsi="Arial"/>
          <w:sz w:val="24"/>
          <w:szCs w:val="24"/>
        </w:rPr>
        <w:t xml:space="preserve">AlzPathy/PDBase Disease-Specific Databases (molecular subtypes, biomarker associations, phenotypic features)</w:t>
      </w:r>
    </w:p>
    <w:p>
      <w:pPr>
        <w:pStyle w:val="ListParagraph"/>
        <w:numPr>
          <w:ilvl w:val="0"/>
          <w:numId w:val="2"/>
        </w:numPr>
        <w:spacing w:after="100" w:line="360"/>
      </w:pPr>
      <w:r>
        <w:rPr>
          <w:rFonts w:ascii="Arial" w:cs="Arial" w:eastAsia="Arial" w:hAnsi="Arial"/>
          <w:sz w:val="24"/>
          <w:szCs w:val="24"/>
        </w:rPr>
        <w:t xml:space="preserve">PubChem Chemical Properties Database (molecular descriptors, bioactivity assays, structure similarity)</w:t>
      </w:r>
    </w:p>
    <w:p>
      <w:pPr>
        <w:pStyle w:val="ListParagraph"/>
        <w:numPr>
          <w:ilvl w:val="0"/>
          <w:numId w:val="2"/>
        </w:numPr>
        <w:spacing w:after="100" w:line="360"/>
      </w:pPr>
      <w:r>
        <w:rPr>
          <w:rFonts w:ascii="Arial" w:cs="Arial" w:eastAsia="Arial" w:hAnsi="Arial"/>
          <w:sz w:val="24"/>
          <w:szCs w:val="24"/>
        </w:rPr>
        <w:t xml:space="preserve">Cortellis/Adis Insight Intelligence Platforms (competitive landscape, development stage tracking, regulatory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2026-03-04T02:14:03.126Z</dcterms:created>
  <dcterms:modified xsi:type="dcterms:W3CDTF">2026-03-04T02:14:03.126Z</dcterms:modified>
</cp:coreProperties>
</file>

<file path=docProps/custom.xml><?xml version="1.0" encoding="utf-8"?>
<Properties xmlns="http://schemas.openxmlformats.org/officeDocument/2006/custom-properties" xmlns:vt="http://schemas.openxmlformats.org/officeDocument/2006/docPropsVTypes"/>
</file>