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Synaptic Vesicle Deficit Reversal in Synucleinopathy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synucleinopathy, identify drugs reversing synaptic vesicle deficits.</w:t>
      </w:r>
    </w:p>
    <w:p>
      <w:pPr>
        <w:spacing w:after="200" w:line="360"/>
      </w:pPr>
      <w:r>
        <w:rPr>
          <w:rFonts w:ascii="Arial" w:cs="Arial" w:eastAsia="Arial" w:hAnsi="Arial"/>
          <w:sz w:val="24"/>
          <w:szCs w:val="24"/>
        </w:rPr>
        <w:t xml:space="preserve">This Sapphire Pipeline systematically identifies compounds that reverse alpha-synuclein-induced synaptic vesicle dysfunction through disruption of SNARE complex assembly, docking, and fusion mechanisms. Using Quiver Bioscience's EP CRISPR atlas and compound library, the pipeline maps synucleinopathy-relevant pathophysiology to identify therapeutics that restore vesicle-mediated neurotransmission despite alpha-synuclein pathology.</w:t>
      </w:r>
    </w:p>
    <w:p>
      <w:pPr>
        <w:spacing w:after="200" w:line="360"/>
      </w:pPr>
      <w:r>
        <w:rPr>
          <w:rFonts w:ascii="Arial" w:cs="Arial" w:eastAsia="Arial" w:hAnsi="Arial"/>
          <w:sz w:val="24"/>
          <w:szCs w:val="24"/>
        </w:rPr>
        <w:t xml:space="preserve">By integrating SNARE complex perturbations (synaptobrevin/VAMP2, SNAP25, syntaxin), Rab GTPase cycling (Rab3A, Rab27A), and synaptotagmin-dependent calcium sensing with quantitative measurements of release probability, quantal size, and vesicle turnover, this workflow enables precision identification of drugs targeting the structural basis of synucleinopathy neurodegeneration.</w:t>
      </w:r>
    </w:p>
    <w:p>
      <w:pPr>
        <w:pStyle w:val="Heading2"/>
        <w:spacing w:after="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Synaptic Vesicle Deficit Reversal in Synucleinopathy pipeline integrates quantitative electrophysiology (EP) phenotyping with CRISPR perturbation analysis to establish mechanistic understanding of disease pathophysiology. By leveraging Quiver Bioscience's comprehensive atlas of gene and compound perturbations across 500+ neuronal features, the pipeline enables systematic identification of therapeutic candidates through phenotype-level signature matching and validation.</w:t>
      </w:r>
    </w:p>
    <w:p>
      <w:pPr>
        <w:spacing w:after="200" w:line="360"/>
      </w:pPr>
      <w:r>
        <w:rPr>
          <w:rFonts w:ascii="Arial" w:cs="Arial" w:eastAsia="Arial" w:hAnsi="Arial"/>
          <w:sz w:val="24"/>
          <w:szCs w:val="24"/>
        </w:rPr>
        <w:t xml:space="preserve">This workflow emphasizes mechanistic validation through orthogonal approaches: CRISPR perturbations confirm proposed drug targets, translational biomarkers bridge EP signatures to human disease progression, and longitudinal trajectory analysis distinguishes disease-modifying from symptomatic interventions. The six-stage process transforms raw discovery data into clinical-stage candidates with validated mechanisms and de-risked development pathways.</w:t>
      </w:r>
    </w:p>
    <w:p>
      <w:pPr>
        <w:pStyle w:val="Heading2"/>
        <w:spacing w:after="200" w:before="200"/>
      </w:pPr>
      <w:r>
        <w:rPr>
          <w:rFonts w:ascii="Arial" w:cs="Arial" w:eastAsia="Arial" w:hAnsi="Arial"/>
          <w:b/>
          <w:bCs/>
          <w:sz w:val="28"/>
          <w:szCs w:val="28"/>
        </w:rPr>
        <w:t xml:space="preserve">Stage 1: Alpha-Synuclein-SNARE Complex Disruption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how alpha-synuclein pathological conformations disrupt SNARE complex assembly, vesicle docking, and fusion using Quiver CRISPR perturbations of core SNARE machinery and downstream synaptic transmission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(18k gene perturbations, including SNARE complex components)</w:t>
      </w:r>
    </w:p>
    <w:p>
      <w:pPr>
        <w:pStyle w:val="ListParagraph"/>
        <w:numPr>
          <w:ilvl w:val="0"/>
          <w:numId w:val="2"/>
        </w:numPr>
        <w:spacing w:after="100" w:line="360"/>
      </w:pPr>
      <w:r>
        <w:rPr>
          <w:rFonts w:ascii="Arial" w:cs="Arial" w:eastAsia="Arial" w:hAnsi="Arial"/>
          <w:sz w:val="24"/>
          <w:szCs w:val="24"/>
        </w:rPr>
        <w:t xml:space="preserve">Synucleinopathy disease signatures from prior Quiver experiments (alpha-synuclein-overexpressing neurons)</w:t>
      </w:r>
    </w:p>
    <w:p>
      <w:pPr>
        <w:pStyle w:val="ListParagraph"/>
        <w:numPr>
          <w:ilvl w:val="0"/>
          <w:numId w:val="2"/>
        </w:numPr>
        <w:spacing w:after="100" w:line="360"/>
      </w:pPr>
      <w:r>
        <w:rPr>
          <w:rFonts w:ascii="Arial" w:cs="Arial" w:eastAsia="Arial" w:hAnsi="Arial"/>
          <w:sz w:val="24"/>
          <w:szCs w:val="24"/>
        </w:rPr>
        <w:t xml:space="preserve">SNARE complex structure and assembly data (PDB complexes, cryo-EM structures, cross-linking studies)</w:t>
      </w:r>
    </w:p>
    <w:p>
      <w:pPr>
        <w:pStyle w:val="ListParagraph"/>
        <w:numPr>
          <w:ilvl w:val="0"/>
          <w:numId w:val="2"/>
        </w:numPr>
        <w:spacing w:after="100" w:line="360"/>
      </w:pPr>
      <w:r>
        <w:rPr>
          <w:rFonts w:ascii="Arial" w:cs="Arial" w:eastAsia="Arial" w:hAnsi="Arial"/>
          <w:sz w:val="24"/>
          <w:szCs w:val="24"/>
        </w:rPr>
        <w:t xml:space="preserve">Synaptobrevin/VAMP2, SNAP25, syntaxin, synaptotagmin perturbation phenotypes</w:t>
      </w:r>
    </w:p>
    <w:p>
      <w:pPr>
        <w:pStyle w:val="ListParagraph"/>
        <w:numPr>
          <w:ilvl w:val="0"/>
          <w:numId w:val="2"/>
        </w:numPr>
        <w:spacing w:after="100" w:line="360"/>
      </w:pPr>
      <w:r>
        <w:rPr>
          <w:rFonts w:ascii="Arial" w:cs="Arial" w:eastAsia="Arial" w:hAnsi="Arial"/>
          <w:sz w:val="24"/>
          <w:szCs w:val="24"/>
        </w:rPr>
        <w:t xml:space="preserve">Rab GTPase cycling genes (RAB3A, RAB27A, RAB8A) and GEF/GAP regulatory proteins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CRISPR Atlas (primary source for SNARE complex perturbations)</w:t>
      </w:r>
    </w:p>
    <w:p>
      <w:pPr>
        <w:pStyle w:val="ListParagraph"/>
        <w:numPr>
          <w:ilvl w:val="0"/>
          <w:numId w:val="2"/>
        </w:numPr>
        <w:spacing w:after="100" w:line="360"/>
      </w:pPr>
      <w:r>
        <w:rPr>
          <w:rFonts w:ascii="Arial" w:cs="Arial" w:eastAsia="Arial" w:hAnsi="Arial"/>
          <w:sz w:val="24"/>
          <w:szCs w:val="24"/>
        </w:rPr>
        <w:t xml:space="preserve">Protein structure database (PDB, PDBE) for SNARE complex architecture</w:t>
      </w:r>
    </w:p>
    <w:p>
      <w:pPr>
        <w:pStyle w:val="ListParagraph"/>
        <w:numPr>
          <w:ilvl w:val="0"/>
          <w:numId w:val="2"/>
        </w:numPr>
        <w:spacing w:after="100" w:line="360"/>
      </w:pPr>
      <w:r>
        <w:rPr>
          <w:rFonts w:ascii="Arial" w:cs="Arial" w:eastAsia="Arial" w:hAnsi="Arial"/>
          <w:sz w:val="24"/>
          <w:szCs w:val="24"/>
        </w:rPr>
        <w:t xml:space="preserve">STRING protein interaction network (SNARE complex assembly factors)</w:t>
      </w:r>
    </w:p>
    <w:p>
      <w:pPr>
        <w:pStyle w:val="ListParagraph"/>
        <w:numPr>
          <w:ilvl w:val="0"/>
          <w:numId w:val="2"/>
        </w:numPr>
        <w:spacing w:after="100" w:line="360"/>
      </w:pPr>
      <w:r>
        <w:rPr>
          <w:rFonts w:ascii="Arial" w:cs="Arial" w:eastAsia="Arial" w:hAnsi="Arial"/>
          <w:sz w:val="24"/>
          <w:szCs w:val="24"/>
        </w:rPr>
        <w:t xml:space="preserve">PathwayCommons pathway database (vesicle exocytosis and release machinery)</w:t>
      </w:r>
    </w:p>
    <w:p>
      <w:pPr>
        <w:pStyle w:val="ListParagraph"/>
        <w:numPr>
          <w:ilvl w:val="0"/>
          <w:numId w:val="2"/>
        </w:numPr>
        <w:spacing w:after="100" w:line="360"/>
      </w:pPr>
      <w:r>
        <w:rPr>
          <w:rFonts w:ascii="Arial" w:cs="Arial" w:eastAsia="Arial" w:hAnsi="Arial"/>
          <w:sz w:val="24"/>
          <w:szCs w:val="24"/>
        </w:rPr>
        <w:t xml:space="preserve">CellProfiler image analysis (synaptic vesicle cluster morphology assessment)</w:t>
      </w:r>
    </w:p>
    <w:p>
      <w:pPr>
        <w:pStyle w:val="ListParagraph"/>
        <w:numPr>
          <w:ilvl w:val="0"/>
          <w:numId w:val="2"/>
        </w:numPr>
        <w:spacing w:after="100" w:line="360"/>
      </w:pPr>
      <w:r>
        <w:rPr>
          <w:rFonts w:ascii="Arial" w:cs="Arial" w:eastAsia="Arial" w:hAnsi="Arial"/>
          <w:sz w:val="24"/>
          <w:szCs w:val="24"/>
        </w:rPr>
        <w:t xml:space="preserve">Custom analysis pipeline for correlating gene perturbations with synaptic transmission deficits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SNARE complex components (VAMP2, SNAP25, syntaxin isoforms) show the most coordinated dysfunction in Quiver EP profiles of synucleinopathy models?</w:t>
      </w:r>
    </w:p>
    <w:p>
      <w:pPr>
        <w:pStyle w:val="ListParagraph"/>
        <w:numPr>
          <w:ilvl w:val="0"/>
          <w:numId w:val="2"/>
        </w:numPr>
        <w:spacing w:after="100" w:line="360"/>
      </w:pPr>
      <w:r>
        <w:rPr>
          <w:rFonts w:ascii="Arial" w:cs="Arial" w:eastAsia="Arial" w:hAnsi="Arial"/>
          <w:sz w:val="24"/>
          <w:szCs w:val="24"/>
        </w:rPr>
        <w:t xml:space="preserve">How do alpha-synuclein overexpression and pathological conformation changes alter the EP signature of wild-type SNARE complex function vs SNARE gene perturbations?</w:t>
      </w:r>
    </w:p>
    <w:p>
      <w:pPr>
        <w:pStyle w:val="ListParagraph"/>
        <w:numPr>
          <w:ilvl w:val="0"/>
          <w:numId w:val="2"/>
        </w:numPr>
        <w:spacing w:after="100" w:line="360"/>
      </w:pPr>
      <w:r>
        <w:rPr>
          <w:rFonts w:ascii="Arial" w:cs="Arial" w:eastAsia="Arial" w:hAnsi="Arial"/>
          <w:sz w:val="24"/>
          <w:szCs w:val="24"/>
        </w:rPr>
        <w:t xml:space="preserve">Identify the 20 genes whose perturbation phenocopies the synaptic transmission deficits observed in synucleinopathy (reduced release probability, quantal size reduction, increased failure rate).</w:t>
      </w:r>
    </w:p>
    <w:p>
      <w:pPr>
        <w:pStyle w:val="ListParagraph"/>
        <w:numPr>
          <w:ilvl w:val="0"/>
          <w:numId w:val="2"/>
        </w:numPr>
        <w:spacing w:after="100" w:line="360"/>
      </w:pPr>
      <w:r>
        <w:rPr>
          <w:rFonts w:ascii="Arial" w:cs="Arial" w:eastAsia="Arial" w:hAnsi="Arial"/>
          <w:sz w:val="24"/>
          <w:szCs w:val="24"/>
        </w:rPr>
        <w:t xml:space="preserve">What is the hierarchy of SNARE complex disruption: which components (v-SNARE, t-SNARE, linker proteins) are most critical for rescuing release probability in synucleinopathy?</w:t>
      </w:r>
    </w:p>
    <w:p>
      <w:pPr>
        <w:pStyle w:val="ListParagraph"/>
        <w:numPr>
          <w:ilvl w:val="0"/>
          <w:numId w:val="2"/>
        </w:numPr>
        <w:spacing w:after="100" w:line="360"/>
      </w:pPr>
      <w:r>
        <w:rPr>
          <w:rFonts w:ascii="Arial" w:cs="Arial" w:eastAsia="Arial" w:hAnsi="Arial"/>
          <w:sz w:val="24"/>
          <w:szCs w:val="24"/>
        </w:rPr>
        <w:t xml:space="preserve">How do Rab GTPase cycle regulators (RAB3A GEFs, GAPs, effectors) coordinate with SNARE assembly to determine the severity of synaptic vesicle docking and fusion deficits?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map of SNARE complex perturbation phenotypes in wild-type vs alpha-synuclein-overexpressing neurons</w:t>
      </w:r>
    </w:p>
    <w:p>
      <w:pPr>
        <w:pStyle w:val="ListParagraph"/>
        <w:numPr>
          <w:ilvl w:val="0"/>
          <w:numId w:val="2"/>
        </w:numPr>
        <w:spacing w:after="100" w:line="360"/>
      </w:pPr>
      <w:r>
        <w:rPr>
          <w:rFonts w:ascii="Arial" w:cs="Arial" w:eastAsia="Arial" w:hAnsi="Arial"/>
          <w:sz w:val="24"/>
          <w:szCs w:val="24"/>
        </w:rPr>
        <w:t xml:space="preserve">Ranked list of 50 genes whose perturbation reverses synucleinopathy synaptic transmission deficits</w:t>
      </w:r>
    </w:p>
    <w:p>
      <w:pPr>
        <w:pStyle w:val="ListParagraph"/>
        <w:numPr>
          <w:ilvl w:val="0"/>
          <w:numId w:val="2"/>
        </w:numPr>
        <w:spacing w:after="100" w:line="360"/>
      </w:pPr>
      <w:r>
        <w:rPr>
          <w:rFonts w:ascii="Arial" w:cs="Arial" w:eastAsia="Arial" w:hAnsi="Arial"/>
          <w:sz w:val="24"/>
          <w:szCs w:val="24"/>
        </w:rPr>
        <w:t xml:space="preserve">Quantitative phenotype scoring for each SNARE complex component (release probability recovery, quantal size restoration, vesicle cycling normalization)</w:t>
      </w:r>
    </w:p>
    <w:p>
      <w:pPr>
        <w:pStyle w:val="ListParagraph"/>
        <w:numPr>
          <w:ilvl w:val="0"/>
          <w:numId w:val="2"/>
        </w:numPr>
        <w:spacing w:after="100" w:line="360"/>
      </w:pPr>
      <w:r>
        <w:rPr>
          <w:rFonts w:ascii="Arial" w:cs="Arial" w:eastAsia="Arial" w:hAnsi="Arial"/>
          <w:sz w:val="24"/>
          <w:szCs w:val="24"/>
        </w:rPr>
        <w:t xml:space="preserve">Pathway hierarchy analysis (v-SNARE, t-SNARE, regulatory proteins, calcium sensing machinery)</w:t>
      </w:r>
    </w:p>
    <w:p>
      <w:pPr>
        <w:pStyle w:val="ListParagraph"/>
        <w:numPr>
          <w:ilvl w:val="0"/>
          <w:numId w:val="2"/>
        </w:numPr>
        <w:spacing w:after="100" w:line="360"/>
      </w:pPr>
      <w:r>
        <w:rPr>
          <w:rFonts w:ascii="Arial" w:cs="Arial" w:eastAsia="Arial" w:hAnsi="Arial"/>
          <w:sz w:val="24"/>
          <w:szCs w:val="24"/>
        </w:rPr>
        <w:t xml:space="preserve">Cell-type-specific SNARE complex dysfunction patterns (pyramidal vs GABAergic neurons, presynaptic vs postsynaptic contributions)</w:t>
      </w:r>
    </w:p>
    <w:p>
      <w:pPr>
        <w:pStyle w:val="ListParagraph"/>
        <w:numPr>
          <w:ilvl w:val="0"/>
          <w:numId w:val="2"/>
        </w:numPr>
        <w:spacing w:after="100" w:line="360"/>
      </w:pPr>
      <w:r>
        <w:rPr>
          <w:rFonts w:ascii="Arial" w:cs="Arial" w:eastAsia="Arial" w:hAnsi="Arial"/>
          <w:sz w:val="24"/>
          <w:szCs w:val="24"/>
        </w:rPr>
        <w:t xml:space="preserve">Validated synucleinopathy-specific synaptic transmission deficit signatures for compound screening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gene names, SNARE complex pathway assignments, synaptic transmission phenotypes, and relative importance rankings</w:t>
      </w:r>
    </w:p>
    <w:p>
      <w:pPr>
        <w:pStyle w:val="Heading2"/>
        <w:spacing w:after="200" w:before="200"/>
      </w:pPr>
      <w:r>
        <w:rPr>
          <w:rFonts w:ascii="Arial" w:cs="Arial" w:eastAsia="Arial" w:hAnsi="Arial"/>
          <w:b/>
          <w:bCs/>
          <w:sz w:val="28"/>
          <w:szCs w:val="28"/>
        </w:rPr>
        <w:t xml:space="preserve">Stage 2: Synaptic Vesicle Docking &amp; Fusion Modifier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Quiver compound library for drugs that enhance synaptic vesicle docking (via Munc18/Munc13, SNARE assembly), fusion (SNARE zippering), and calcium sensitivity (synaptotagmin interactions).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Compound Library (3,500+ compounds, 500+ features per compound)</w:t>
      </w:r>
    </w:p>
    <w:p>
      <w:pPr>
        <w:pStyle w:val="ListParagraph"/>
        <w:numPr>
          <w:ilvl w:val="0"/>
          <w:numId w:val="2"/>
        </w:numPr>
        <w:spacing w:after="100" w:line="360"/>
      </w:pPr>
      <w:r>
        <w:rPr>
          <w:rFonts w:ascii="Arial" w:cs="Arial" w:eastAsia="Arial" w:hAnsi="Arial"/>
          <w:sz w:val="24"/>
          <w:szCs w:val="24"/>
        </w:rPr>
        <w:t xml:space="preserve">Validated synucleinopathy synaptic transmission signature from Stage 1</w:t>
      </w:r>
    </w:p>
    <w:p>
      <w:pPr>
        <w:pStyle w:val="ListParagraph"/>
        <w:numPr>
          <w:ilvl w:val="0"/>
          <w:numId w:val="2"/>
        </w:numPr>
        <w:spacing w:after="100" w:line="360"/>
      </w:pPr>
      <w:r>
        <w:rPr>
          <w:rFonts w:ascii="Arial" w:cs="Arial" w:eastAsia="Arial" w:hAnsi="Arial"/>
          <w:sz w:val="24"/>
          <w:szCs w:val="24"/>
        </w:rPr>
        <w:t xml:space="preserve">SNARE complex assembly and calcium-sensing mechanisms literature</w:t>
      </w:r>
    </w:p>
    <w:p>
      <w:pPr>
        <w:pStyle w:val="ListParagraph"/>
        <w:numPr>
          <w:ilvl w:val="0"/>
          <w:numId w:val="2"/>
        </w:numPr>
        <w:spacing w:after="100" w:line="360"/>
      </w:pPr>
      <w:r>
        <w:rPr>
          <w:rFonts w:ascii="Arial" w:cs="Arial" w:eastAsia="Arial" w:hAnsi="Arial"/>
          <w:sz w:val="24"/>
          <w:szCs w:val="24"/>
        </w:rPr>
        <w:t xml:space="preserve">Published synaptic vesicle release enhancers (Munc18 modulators, SNARE complex stabilizers, calcium channel modulators)</w:t>
      </w:r>
    </w:p>
    <w:p>
      <w:pPr>
        <w:pStyle w:val="ListParagraph"/>
        <w:numPr>
          <w:ilvl w:val="0"/>
          <w:numId w:val="2"/>
        </w:numPr>
        <w:spacing w:after="100" w:line="360"/>
      </w:pPr>
      <w:r>
        <w:rPr>
          <w:rFonts w:ascii="Arial" w:cs="Arial" w:eastAsia="Arial" w:hAnsi="Arial"/>
          <w:sz w:val="24"/>
          <w:szCs w:val="24"/>
        </w:rPr>
        <w:t xml:space="preserve">Compound databases: FDA-approved drugs, investigational agents, natural products with neurotransmission activity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Compound Profiling Platform (synaptic transmission phenotype matching)</w:t>
      </w:r>
    </w:p>
    <w:p>
      <w:pPr>
        <w:pStyle w:val="ListParagraph"/>
        <w:numPr>
          <w:ilvl w:val="0"/>
          <w:numId w:val="2"/>
        </w:numPr>
        <w:spacing w:after="100" w:line="360"/>
      </w:pPr>
      <w:r>
        <w:rPr>
          <w:rFonts w:ascii="Arial" w:cs="Arial" w:eastAsia="Arial" w:hAnsi="Arial"/>
          <w:sz w:val="24"/>
          <w:szCs w:val="24"/>
        </w:rPr>
        <w:t xml:space="preserve">REVERSE plugin for signature-based compound identification</w:t>
      </w:r>
    </w:p>
    <w:p>
      <w:pPr>
        <w:pStyle w:val="ListParagraph"/>
        <w:numPr>
          <w:ilvl w:val="0"/>
          <w:numId w:val="2"/>
        </w:numPr>
        <w:spacing w:after="100" w:line="360"/>
      </w:pPr>
      <w:r>
        <w:rPr>
          <w:rFonts w:ascii="Arial" w:cs="Arial" w:eastAsia="Arial" w:hAnsi="Arial"/>
          <w:sz w:val="24"/>
          <w:szCs w:val="24"/>
        </w:rPr>
        <w:t xml:space="preserve">Munc18/Munc13 modulator database (kinase inhibitors, protein-protein interaction modulators)</w:t>
      </w:r>
    </w:p>
    <w:p>
      <w:pPr>
        <w:pStyle w:val="ListParagraph"/>
        <w:numPr>
          <w:ilvl w:val="0"/>
          <w:numId w:val="2"/>
        </w:numPr>
        <w:spacing w:after="100" w:line="360"/>
      </w:pPr>
      <w:r>
        <w:rPr>
          <w:rFonts w:ascii="Arial" w:cs="Arial" w:eastAsia="Arial" w:hAnsi="Arial"/>
          <w:sz w:val="24"/>
          <w:szCs w:val="24"/>
        </w:rPr>
        <w:t xml:space="preserve">SNARE complex structural biology database (assembly factors, regulatory proteins, small molecule binders)</w:t>
      </w:r>
    </w:p>
    <w:p>
      <w:pPr>
        <w:pStyle w:val="ListParagraph"/>
        <w:numPr>
          <w:ilvl w:val="0"/>
          <w:numId w:val="2"/>
        </w:numPr>
        <w:spacing w:after="100" w:line="360"/>
      </w:pPr>
      <w:r>
        <w:rPr>
          <w:rFonts w:ascii="Arial" w:cs="Arial" w:eastAsia="Arial" w:hAnsi="Arial"/>
          <w:sz w:val="24"/>
          <w:szCs w:val="24"/>
        </w:rPr>
        <w:t xml:space="preserve">Machine learning classifiers trained on published synaptic release enhancers</w:t>
      </w:r>
    </w:p>
    <w:p>
      <w:pPr>
        <w:pStyle w:val="ListParagraph"/>
        <w:numPr>
          <w:ilvl w:val="0"/>
          <w:numId w:val="2"/>
        </w:numPr>
        <w:spacing w:after="100" w:line="360"/>
      </w:pPr>
      <w:r>
        <w:rPr>
          <w:rFonts w:ascii="Arial" w:cs="Arial" w:eastAsia="Arial" w:hAnsi="Arial"/>
          <w:sz w:val="24"/>
          <w:szCs w:val="24"/>
        </w:rPr>
        <w:t xml:space="preserve">Calcium channel and synaptotagmin interaction databases (calcium sensing optimization)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in Quiver library produce the strongest reversal of synucleinopathy-induced synaptic transmission deficits (release probability recovery)?</w:t>
      </w:r>
    </w:p>
    <w:p>
      <w:pPr>
        <w:pStyle w:val="ListParagraph"/>
        <w:numPr>
          <w:ilvl w:val="0"/>
          <w:numId w:val="2"/>
        </w:numPr>
        <w:spacing w:after="100" w:line="360"/>
      </w:pPr>
      <w:r>
        <w:rPr>
          <w:rFonts w:ascii="Arial" w:cs="Arial" w:eastAsia="Arial" w:hAnsi="Arial"/>
          <w:sz w:val="24"/>
          <w:szCs w:val="24"/>
        </w:rPr>
        <w:t xml:space="preserve">How do known synaptic release enhancers (4-AP, tetraethylammonium, calcium channel activators, synaptotagmin modulators) rank against the synucleinopathy signature?</w:t>
      </w:r>
    </w:p>
    <w:p>
      <w:pPr>
        <w:pStyle w:val="ListParagraph"/>
        <w:numPr>
          <w:ilvl w:val="0"/>
          <w:numId w:val="2"/>
        </w:numPr>
        <w:spacing w:after="100" w:line="360"/>
      </w:pPr>
      <w:r>
        <w:rPr>
          <w:rFonts w:ascii="Arial" w:cs="Arial" w:eastAsia="Arial" w:hAnsi="Arial"/>
          <w:sz w:val="24"/>
          <w:szCs w:val="24"/>
        </w:rPr>
        <w:t xml:space="preserve">Identify compounds that enhance SNARE complex assembly/stability without increasing calcium-independent release (minimizing ectopic/spontaneous exocytosis).</w:t>
      </w:r>
    </w:p>
    <w:p>
      <w:pPr>
        <w:pStyle w:val="ListParagraph"/>
        <w:numPr>
          <w:ilvl w:val="0"/>
          <w:numId w:val="2"/>
        </w:numPr>
        <w:spacing w:after="100" w:line="360"/>
      </w:pPr>
      <w:r>
        <w:rPr>
          <w:rFonts w:ascii="Arial" w:cs="Arial" w:eastAsia="Arial" w:hAnsi="Arial"/>
          <w:sz w:val="24"/>
          <w:szCs w:val="24"/>
        </w:rPr>
        <w:t xml:space="preserve">Which compounds show selectivity for restoring impaired release probability vs enhancing normal synaptic transmission (therapeutic window assessment)?</w:t>
      </w:r>
    </w:p>
    <w:p>
      <w:pPr>
        <w:pStyle w:val="ListParagraph"/>
        <w:numPr>
          <w:ilvl w:val="0"/>
          <w:numId w:val="2"/>
        </w:numPr>
        <w:spacing w:after="100" w:line="360"/>
      </w:pPr>
      <w:r>
        <w:rPr>
          <w:rFonts w:ascii="Arial" w:cs="Arial" w:eastAsia="Arial" w:hAnsi="Arial"/>
          <w:sz w:val="24"/>
          <w:szCs w:val="24"/>
        </w:rPr>
        <w:t xml:space="preserve">Are there compounds that simultaneously enhance Munc18 function, stabilize SNARE complexes, and increase synaptotagmin calcium sensitivity?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35 synaptic vesicle release enhancers with synucleinopathy signature reversal scores</w:t>
      </w:r>
    </w:p>
    <w:p>
      <w:pPr>
        <w:pStyle w:val="ListParagraph"/>
        <w:numPr>
          <w:ilvl w:val="0"/>
          <w:numId w:val="2"/>
        </w:numPr>
        <w:spacing w:after="100" w:line="360"/>
      </w:pPr>
      <w:r>
        <w:rPr>
          <w:rFonts w:ascii="Arial" w:cs="Arial" w:eastAsia="Arial" w:hAnsi="Arial"/>
          <w:sz w:val="24"/>
          <w:szCs w:val="24"/>
        </w:rPr>
        <w:t xml:space="preserve">Multi-feature reversal matrix (release probability, quantal size, failure rate, short-term plasticity, vesicle pool dynamics)</w:t>
      </w:r>
    </w:p>
    <w:p>
      <w:pPr>
        <w:pStyle w:val="ListParagraph"/>
        <w:numPr>
          <w:ilvl w:val="0"/>
          <w:numId w:val="2"/>
        </w:numPr>
        <w:spacing w:after="100" w:line="360"/>
      </w:pPr>
      <w:r>
        <w:rPr>
          <w:rFonts w:ascii="Arial" w:cs="Arial" w:eastAsia="Arial" w:hAnsi="Arial"/>
          <w:sz w:val="24"/>
          <w:szCs w:val="24"/>
        </w:rPr>
        <w:t xml:space="preserve">Mechanism classification (Munc18/Munc13 enhancers, SNARE stabilizers, calcium channel modulators, synaptotagmin enhancers, multi-target compounds)</w:t>
      </w:r>
    </w:p>
    <w:p>
      <w:pPr>
        <w:pStyle w:val="ListParagraph"/>
        <w:numPr>
          <w:ilvl w:val="0"/>
          <w:numId w:val="2"/>
        </w:numPr>
        <w:spacing w:after="100" w:line="360"/>
      </w:pPr>
      <w:r>
        <w:rPr>
          <w:rFonts w:ascii="Arial" w:cs="Arial" w:eastAsia="Arial" w:hAnsi="Arial"/>
          <w:sz w:val="24"/>
          <w:szCs w:val="24"/>
        </w:rPr>
        <w:t xml:space="preserve">Dose-response curves from Quiver EP platform for top 20 compounds (EC50 for release recovery)</w:t>
      </w:r>
    </w:p>
    <w:p>
      <w:pPr>
        <w:pStyle w:val="ListParagraph"/>
        <w:numPr>
          <w:ilvl w:val="0"/>
          <w:numId w:val="2"/>
        </w:numPr>
        <w:spacing w:after="100" w:line="360"/>
      </w:pPr>
      <w:r>
        <w:rPr>
          <w:rFonts w:ascii="Arial" w:cs="Arial" w:eastAsia="Arial" w:hAnsi="Arial"/>
          <w:sz w:val="24"/>
          <w:szCs w:val="24"/>
        </w:rPr>
        <w:t xml:space="preserve">Selectivity assessment (therapeutic vs toxic release enhancement, cell-type specificity)</w:t>
      </w:r>
    </w:p>
    <w:p>
      <w:pPr>
        <w:pStyle w:val="ListParagraph"/>
        <w:numPr>
          <w:ilvl w:val="0"/>
          <w:numId w:val="2"/>
        </w:numPr>
        <w:spacing w:after="100" w:line="360"/>
      </w:pPr>
      <w:r>
        <w:rPr>
          <w:rFonts w:ascii="Arial" w:cs="Arial" w:eastAsia="Arial" w:hAnsi="Arial"/>
          <w:sz w:val="24"/>
          <w:szCs w:val="24"/>
        </w:rPr>
        <w:t xml:space="preserve">Confidence scores integrating EP data quality, orthogonal validation, and mechanism consistency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CSV/JSON with compound identifiers, phenotype reversal scores, mechanisms, dose-response data, and selectivity profiles</w:t>
      </w:r>
    </w:p>
    <w:p>
      <w:pPr>
        <w:pStyle w:val="Heading2"/>
        <w:spacing w:after="200" w:before="200"/>
      </w:pPr>
      <w:r>
        <w:rPr>
          <w:rFonts w:ascii="Arial" w:cs="Arial" w:eastAsia="Arial" w:hAnsi="Arial"/>
          <w:b/>
          <w:bCs/>
          <w:sz w:val="28"/>
          <w:szCs w:val="28"/>
        </w:rPr>
        <w:t xml:space="preserve">Stage 3: Rab3A/Rab27A Recycling &amp; Vesicle Pool Dynamics Restoration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compounds enhancing Rab GTPase cycling (GEF/GAP activities), vesicle mobilization from reserve pools, and calcium-dependent exocytosis recovery.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synaptic release enhancers from Stage 2 (mechanism profiles and phenotypes)</w:t>
      </w:r>
    </w:p>
    <w:p>
      <w:pPr>
        <w:pStyle w:val="ListParagraph"/>
        <w:numPr>
          <w:ilvl w:val="0"/>
          <w:numId w:val="2"/>
        </w:numPr>
        <w:spacing w:after="100" w:line="360"/>
      </w:pPr>
      <w:r>
        <w:rPr>
          <w:rFonts w:ascii="Arial" w:cs="Arial" w:eastAsia="Arial" w:hAnsi="Arial"/>
          <w:sz w:val="24"/>
          <w:szCs w:val="24"/>
        </w:rPr>
        <w:t xml:space="preserve">Quiver CRISPR perturbations of Rab3A, Rab27A, Rab8A, and associated GEFs/GAPs (RIM, RabGAPs, Rabin8)</w:t>
      </w:r>
    </w:p>
    <w:p>
      <w:pPr>
        <w:pStyle w:val="ListParagraph"/>
        <w:numPr>
          <w:ilvl w:val="0"/>
          <w:numId w:val="2"/>
        </w:numPr>
        <w:spacing w:after="100" w:line="360"/>
      </w:pPr>
      <w:r>
        <w:rPr>
          <w:rFonts w:ascii="Arial" w:cs="Arial" w:eastAsia="Arial" w:hAnsi="Arial"/>
          <w:sz w:val="24"/>
          <w:szCs w:val="24"/>
        </w:rPr>
        <w:t xml:space="preserve">Synucleinopathy-induced deficits in vesicle pool dynamics (readily releasable pool [RRP], reserve pool [RP], recycling pool dynamics)</w:t>
      </w:r>
    </w:p>
    <w:p>
      <w:pPr>
        <w:pStyle w:val="ListParagraph"/>
        <w:numPr>
          <w:ilvl w:val="0"/>
          <w:numId w:val="2"/>
        </w:numPr>
        <w:spacing w:after="100" w:line="360"/>
      </w:pPr>
      <w:r>
        <w:rPr>
          <w:rFonts w:ascii="Arial" w:cs="Arial" w:eastAsia="Arial" w:hAnsi="Arial"/>
          <w:sz w:val="24"/>
          <w:szCs w:val="24"/>
        </w:rPr>
        <w:t xml:space="preserve">Calcium dynamics and triggering mechanisms in synucleinopathy (delayed calcium clearance, altered calcium-release coupling)</w:t>
      </w:r>
    </w:p>
    <w:p>
      <w:pPr>
        <w:pStyle w:val="ListParagraph"/>
        <w:numPr>
          <w:ilvl w:val="0"/>
          <w:numId w:val="2"/>
        </w:numPr>
        <w:spacing w:after="100" w:line="360"/>
      </w:pPr>
      <w:r>
        <w:rPr>
          <w:rFonts w:ascii="Arial" w:cs="Arial" w:eastAsia="Arial" w:hAnsi="Arial"/>
          <w:sz w:val="24"/>
          <w:szCs w:val="24"/>
        </w:rPr>
        <w:t xml:space="preserve">Published studies of Rab protein manipulation in alpha-synuclein models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for Rab GTPase perturbation analysis</w:t>
      </w:r>
    </w:p>
    <w:p>
      <w:pPr>
        <w:pStyle w:val="ListParagraph"/>
        <w:numPr>
          <w:ilvl w:val="0"/>
          <w:numId w:val="2"/>
        </w:numPr>
        <w:spacing w:after="100" w:line="360"/>
      </w:pPr>
      <w:r>
        <w:rPr>
          <w:rFonts w:ascii="Arial" w:cs="Arial" w:eastAsia="Arial" w:hAnsi="Arial"/>
          <w:sz w:val="24"/>
          <w:szCs w:val="24"/>
        </w:rPr>
        <w:t xml:space="preserve">GEF/GAP substrate prediction databases (RabGAP and GEF catalogs)</w:t>
      </w:r>
    </w:p>
    <w:p>
      <w:pPr>
        <w:pStyle w:val="ListParagraph"/>
        <w:numPr>
          <w:ilvl w:val="0"/>
          <w:numId w:val="2"/>
        </w:numPr>
        <w:spacing w:after="100" w:line="360"/>
      </w:pPr>
      <w:r>
        <w:rPr>
          <w:rFonts w:ascii="Arial" w:cs="Arial" w:eastAsia="Arial" w:hAnsi="Arial"/>
          <w:sz w:val="24"/>
          <w:szCs w:val="24"/>
        </w:rPr>
        <w:t xml:space="preserve">Vesicle pool dynamics modeling (mathematical models of RRP, RP mobilization, recycling kinetics)</w:t>
      </w:r>
    </w:p>
    <w:p>
      <w:pPr>
        <w:pStyle w:val="ListParagraph"/>
        <w:numPr>
          <w:ilvl w:val="0"/>
          <w:numId w:val="2"/>
        </w:numPr>
        <w:spacing w:after="100" w:line="360"/>
      </w:pPr>
      <w:r>
        <w:rPr>
          <w:rFonts w:ascii="Arial" w:cs="Arial" w:eastAsia="Arial" w:hAnsi="Arial"/>
          <w:sz w:val="24"/>
          <w:szCs w:val="24"/>
        </w:rPr>
        <w:t xml:space="preserve">Calcium imaging analysis tools (CellProfiler, Fiji, custom Python scripts)</w:t>
      </w:r>
    </w:p>
    <w:p>
      <w:pPr>
        <w:pStyle w:val="ListParagraph"/>
        <w:numPr>
          <w:ilvl w:val="0"/>
          <w:numId w:val="2"/>
        </w:numPr>
        <w:spacing w:after="100" w:line="360"/>
      </w:pPr>
      <w:r>
        <w:rPr>
          <w:rFonts w:ascii="Arial" w:cs="Arial" w:eastAsia="Arial" w:hAnsi="Arial"/>
          <w:sz w:val="24"/>
          <w:szCs w:val="24"/>
        </w:rPr>
        <w:t xml:space="preserve">Synergy assessment for combinations targeting SNARE complex + Rab cycling</w:t>
      </w:r>
    </w:p>
    <w:p>
      <w:pPr>
        <w:pStyle w:val="ListParagraph"/>
        <w:numPr>
          <w:ilvl w:val="0"/>
          <w:numId w:val="2"/>
        </w:numPr>
        <w:spacing w:after="100" w:line="360"/>
      </w:pPr>
      <w:r>
        <w:rPr>
          <w:rFonts w:ascii="Arial" w:cs="Arial" w:eastAsia="Arial" w:hAnsi="Arial"/>
          <w:sz w:val="24"/>
          <w:szCs w:val="24"/>
        </w:rPr>
        <w:t xml:space="preserve">Multi-dimensional phenotype clustering (release probability, short-term plasticity, vesicle cycling rates)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Rab GTPase regulators (GEFs, GAPs, effectors) show the most impact on reversing synucleinopathy-induced vesicle pool depletion?</w:t>
      </w:r>
    </w:p>
    <w:p>
      <w:pPr>
        <w:pStyle w:val="ListParagraph"/>
        <w:numPr>
          <w:ilvl w:val="0"/>
          <w:numId w:val="2"/>
        </w:numPr>
        <w:spacing w:after="100" w:line="360"/>
      </w:pPr>
      <w:r>
        <w:rPr>
          <w:rFonts w:ascii="Arial" w:cs="Arial" w:eastAsia="Arial" w:hAnsi="Arial"/>
          <w:sz w:val="24"/>
          <w:szCs w:val="24"/>
        </w:rPr>
        <w:t xml:space="preserve">How do top compounds from Stage 2 affect Rab3A/Rab27A GTP loading and downstream vesicle mobilization dynamics?</w:t>
      </w:r>
    </w:p>
    <w:p>
      <w:pPr>
        <w:pStyle w:val="ListParagraph"/>
        <w:numPr>
          <w:ilvl w:val="0"/>
          <w:numId w:val="2"/>
        </w:numPr>
        <w:spacing w:after="100" w:line="360"/>
      </w:pPr>
      <w:r>
        <w:rPr>
          <w:rFonts w:ascii="Arial" w:cs="Arial" w:eastAsia="Arial" w:hAnsi="Arial"/>
          <w:sz w:val="24"/>
          <w:szCs w:val="24"/>
        </w:rPr>
        <w:t xml:space="preserve">Identify synergies between SNARE complex stabilizers + Rab GTPase cycle enhancers in restoring high-frequency release capacity.</w:t>
      </w:r>
    </w:p>
    <w:p>
      <w:pPr>
        <w:pStyle w:val="ListParagraph"/>
        <w:numPr>
          <w:ilvl w:val="0"/>
          <w:numId w:val="2"/>
        </w:numPr>
        <w:spacing w:after="100" w:line="360"/>
      </w:pPr>
      <w:r>
        <w:rPr>
          <w:rFonts w:ascii="Arial" w:cs="Arial" w:eastAsia="Arial" w:hAnsi="Arial"/>
          <w:sz w:val="24"/>
          <w:szCs w:val="24"/>
        </w:rPr>
        <w:t xml:space="preserve">What is the role of RIM family proteins (scaffolding Rab3A and Munc13) in mediating compound-induced release recovery?</w:t>
      </w:r>
    </w:p>
    <w:p>
      <w:pPr>
        <w:pStyle w:val="ListParagraph"/>
        <w:numPr>
          <w:ilvl w:val="0"/>
          <w:numId w:val="2"/>
        </w:numPr>
        <w:spacing w:after="100" w:line="360"/>
      </w:pPr>
      <w:r>
        <w:rPr>
          <w:rFonts w:ascii="Arial" w:cs="Arial" w:eastAsia="Arial" w:hAnsi="Arial"/>
          <w:sz w:val="24"/>
          <w:szCs w:val="24"/>
        </w:rPr>
        <w:t xml:space="preserve">Which compounds restore calcium-dependent activation of the reserve-to-readily-releasable pool transition impaired in synucleinopathy?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20 Rab GTPase cycle enhancers with EP validation in synucleinopathy models</w:t>
      </w:r>
    </w:p>
    <w:p>
      <w:pPr>
        <w:pStyle w:val="ListParagraph"/>
        <w:numPr>
          <w:ilvl w:val="0"/>
          <w:numId w:val="2"/>
        </w:numPr>
        <w:spacing w:after="100" w:line="360"/>
      </w:pPr>
      <w:r>
        <w:rPr>
          <w:rFonts w:ascii="Arial" w:cs="Arial" w:eastAsia="Arial" w:hAnsi="Arial"/>
          <w:sz w:val="24"/>
          <w:szCs w:val="24"/>
        </w:rPr>
        <w:t xml:space="preserve">Mechanism profiles for GEF/GAP modulation, Rab-effector interactions, and downstream vesicle pool mobilization</w:t>
      </w:r>
    </w:p>
    <w:p>
      <w:pPr>
        <w:pStyle w:val="ListParagraph"/>
        <w:numPr>
          <w:ilvl w:val="0"/>
          <w:numId w:val="2"/>
        </w:numPr>
        <w:spacing w:after="100" w:line="360"/>
      </w:pPr>
      <w:r>
        <w:rPr>
          <w:rFonts w:ascii="Arial" w:cs="Arial" w:eastAsia="Arial" w:hAnsi="Arial"/>
          <w:sz w:val="24"/>
          <w:szCs w:val="24"/>
        </w:rPr>
        <w:t xml:space="preserve">Synergy matrix for combinations of top SNARE modulators + Rab cycle enhancers</w:t>
      </w:r>
    </w:p>
    <w:p>
      <w:pPr>
        <w:pStyle w:val="ListParagraph"/>
        <w:numPr>
          <w:ilvl w:val="0"/>
          <w:numId w:val="2"/>
        </w:numPr>
        <w:spacing w:after="100" w:line="360"/>
      </w:pPr>
      <w:r>
        <w:rPr>
          <w:rFonts w:ascii="Arial" w:cs="Arial" w:eastAsia="Arial" w:hAnsi="Arial"/>
          <w:sz w:val="24"/>
          <w:szCs w:val="24"/>
        </w:rPr>
        <w:t xml:space="preserve">Vesicle pool dynamics recovery scores (RRP restoration, RP mobilization, recycling rate normalization)</w:t>
      </w:r>
    </w:p>
    <w:p>
      <w:pPr>
        <w:pStyle w:val="ListParagraph"/>
        <w:numPr>
          <w:ilvl w:val="0"/>
          <w:numId w:val="2"/>
        </w:numPr>
        <w:spacing w:after="100" w:line="360"/>
      </w:pPr>
      <w:r>
        <w:rPr>
          <w:rFonts w:ascii="Arial" w:cs="Arial" w:eastAsia="Arial" w:hAnsi="Arial"/>
          <w:sz w:val="24"/>
          <w:szCs w:val="24"/>
        </w:rPr>
        <w:t xml:space="preserve">Recommended two-drug combinations for comprehensive synaptic vesicle function restoration</w:t>
      </w:r>
    </w:p>
    <w:p>
      <w:pPr>
        <w:pStyle w:val="ListParagraph"/>
        <w:numPr>
          <w:ilvl w:val="0"/>
          <w:numId w:val="2"/>
        </w:numPr>
        <w:spacing w:after="100" w:line="360"/>
      </w:pPr>
      <w:r>
        <w:rPr>
          <w:rFonts w:ascii="Arial" w:cs="Arial" w:eastAsia="Arial" w:hAnsi="Arial"/>
          <w:sz w:val="24"/>
          <w:szCs w:val="24"/>
        </w:rPr>
        <w:t xml:space="preserve">Dose optimization models for synergistic SNARE + Rab targeting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Combination ranking tables (CSV/JSON) with mechanism justifications, synergy scores, and dose recommendations</w:t>
      </w:r>
    </w:p>
    <w:p>
      <w:pPr>
        <w:pStyle w:val="Heading2"/>
        <w:spacing w:after="200" w:before="200"/>
      </w:pPr>
      <w:r>
        <w:rPr>
          <w:rFonts w:ascii="Arial" w:cs="Arial" w:eastAsia="Arial" w:hAnsi="Arial"/>
          <w:b/>
          <w:bCs/>
          <w:sz w:val="28"/>
          <w:szCs w:val="28"/>
        </w:rPr>
        <w:t xml:space="preserve">Stage 4: Synucleinopathy Synaptic Transmission Phenotype Recovery &amp;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validate top candidates using multi-dimensional EP recordings in synucleinopathy models, assess breadth of synaptic function recovery, and estimate translational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55 candidates (SNARE modulators, release enhancers, Rab cycle enhancers, combinations) from Stages 2-3</w:t>
      </w:r>
    </w:p>
    <w:p>
      <w:pPr>
        <w:pStyle w:val="ListParagraph"/>
        <w:numPr>
          <w:ilvl w:val="0"/>
          <w:numId w:val="2"/>
        </w:numPr>
        <w:spacing w:after="100" w:line="360"/>
      </w:pPr>
      <w:r>
        <w:rPr>
          <w:rFonts w:ascii="Arial" w:cs="Arial" w:eastAsia="Arial" w:hAnsi="Arial"/>
          <w:sz w:val="24"/>
          <w:szCs w:val="24"/>
        </w:rPr>
        <w:t xml:space="preserve">Full EP phenotype reversal data across 500+ features from Quiver platform</w:t>
      </w:r>
    </w:p>
    <w:p>
      <w:pPr>
        <w:pStyle w:val="ListParagraph"/>
        <w:numPr>
          <w:ilvl w:val="0"/>
          <w:numId w:val="2"/>
        </w:numPr>
        <w:spacing w:after="100" w:line="360"/>
      </w:pPr>
      <w:r>
        <w:rPr>
          <w:rFonts w:ascii="Arial" w:cs="Arial" w:eastAsia="Arial" w:hAnsi="Arial"/>
          <w:sz w:val="24"/>
          <w:szCs w:val="24"/>
        </w:rPr>
        <w:t xml:space="preserve">Validated synucleinopathy EP signatures (release probability, quantal size, failure rate, short-term plasticity, network bursting patterns)</w:t>
      </w:r>
    </w:p>
    <w:p>
      <w:pPr>
        <w:pStyle w:val="ListParagraph"/>
        <w:numPr>
          <w:ilvl w:val="0"/>
          <w:numId w:val="2"/>
        </w:numPr>
        <w:spacing w:after="100" w:line="360"/>
      </w:pPr>
      <w:r>
        <w:rPr>
          <w:rFonts w:ascii="Arial" w:cs="Arial" w:eastAsia="Arial" w:hAnsi="Arial"/>
          <w:sz w:val="24"/>
          <w:szCs w:val="24"/>
        </w:rPr>
        <w:t xml:space="preserve">Independent validation datasets: published patch-clamp/calcium imaging studies in alpha-synuclein overexpression models</w:t>
      </w:r>
    </w:p>
    <w:p>
      <w:pPr>
        <w:pStyle w:val="ListParagraph"/>
        <w:numPr>
          <w:ilvl w:val="0"/>
          <w:numId w:val="2"/>
        </w:numPr>
        <w:spacing w:after="100" w:line="360"/>
      </w:pPr>
      <w:r>
        <w:rPr>
          <w:rFonts w:ascii="Arial" w:cs="Arial" w:eastAsia="Arial" w:hAnsi="Arial"/>
          <w:sz w:val="24"/>
          <w:szCs w:val="24"/>
        </w:rPr>
        <w:t xml:space="preserve">Translational biomarker data (alpha-synuclein pathology markers, neurodegeneration phenotypes)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statistical analysis (ANOVA, effect size estimation, multi-feature testing)</w:t>
      </w:r>
    </w:p>
    <w:p>
      <w:pPr>
        <w:pStyle w:val="ListParagraph"/>
        <w:numPr>
          <w:ilvl w:val="0"/>
          <w:numId w:val="2"/>
        </w:numPr>
        <w:spacing w:after="100" w:line="360"/>
      </w:pPr>
      <w:r>
        <w:rPr>
          <w:rFonts w:ascii="Arial" w:cs="Arial" w:eastAsia="Arial" w:hAnsi="Arial"/>
          <w:sz w:val="24"/>
          <w:szCs w:val="24"/>
        </w:rPr>
        <w:t xml:space="preserve">Multi-dimensional phenotype analysis (PCA, hierarchical clustering of synaptic transmission features)</w:t>
      </w:r>
    </w:p>
    <w:p>
      <w:pPr>
        <w:pStyle w:val="ListParagraph"/>
        <w:numPr>
          <w:ilvl w:val="0"/>
          <w:numId w:val="2"/>
        </w:numPr>
        <w:spacing w:after="100" w:line="360"/>
      </w:pPr>
      <w:r>
        <w:rPr>
          <w:rFonts w:ascii="Arial" w:cs="Arial" w:eastAsia="Arial" w:hAnsi="Arial"/>
          <w:sz w:val="24"/>
          <w:szCs w:val="24"/>
        </w:rPr>
        <w:t xml:space="preserve">Effect size standardization (comparing compound efficacy across different phenotypic domains)</w:t>
      </w:r>
    </w:p>
    <w:p>
      <w:pPr>
        <w:pStyle w:val="ListParagraph"/>
        <w:numPr>
          <w:ilvl w:val="0"/>
          <w:numId w:val="2"/>
        </w:numPr>
        <w:spacing w:after="100" w:line="360"/>
      </w:pPr>
      <w:r>
        <w:rPr>
          <w:rFonts w:ascii="Arial" w:cs="Arial" w:eastAsia="Arial" w:hAnsi="Arial"/>
          <w:sz w:val="24"/>
          <w:szCs w:val="24"/>
        </w:rPr>
        <w:t xml:space="preserve">Mechanism consensus scoring (agreement between compound effect and target validation)</w:t>
      </w:r>
    </w:p>
    <w:p>
      <w:pPr>
        <w:pStyle w:val="ListParagraph"/>
        <w:numPr>
          <w:ilvl w:val="0"/>
          <w:numId w:val="2"/>
        </w:numPr>
        <w:spacing w:after="100" w:line="360"/>
      </w:pPr>
      <w:r>
        <w:rPr>
          <w:rFonts w:ascii="Arial" w:cs="Arial" w:eastAsia="Arial" w:hAnsi="Arial"/>
          <w:sz w:val="24"/>
          <w:szCs w:val="24"/>
        </w:rPr>
        <w:t xml:space="preserve">Independent validation mining (literature review and external dataset integration)</w:t>
      </w:r>
    </w:p>
    <w:p>
      <w:pPr>
        <w:pStyle w:val="ListParagraph"/>
        <w:numPr>
          <w:ilvl w:val="0"/>
          <w:numId w:val="2"/>
        </w:numPr>
        <w:spacing w:after="100" w:line="360"/>
      </w:pPr>
      <w:r>
        <w:rPr>
          <w:rFonts w:ascii="Arial" w:cs="Arial" w:eastAsia="Arial" w:hAnsi="Arial"/>
          <w:sz w:val="24"/>
          <w:szCs w:val="24"/>
        </w:rPr>
        <w:t xml:space="preserve">Translational probability modeling (phenotype-to-behavior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55 candidates show the most comprehensive recovery of synucleinopathy-impaired synaptic transmission across multiple feature domains?</w:t>
      </w:r>
    </w:p>
    <w:p>
      <w:pPr>
        <w:pStyle w:val="ListParagraph"/>
        <w:numPr>
          <w:ilvl w:val="0"/>
          <w:numId w:val="2"/>
        </w:numPr>
        <w:spacing w:after="100" w:line="360"/>
      </w:pPr>
      <w:r>
        <w:rPr>
          <w:rFonts w:ascii="Arial" w:cs="Arial" w:eastAsia="Arial" w:hAnsi="Arial"/>
          <w:sz w:val="24"/>
          <w:szCs w:val="24"/>
        </w:rPr>
        <w:t xml:space="preserve">For the top 10 candidates, what percentage of the synucleinopathy EP phenotype is reversed, and what residual deficits remain?</w:t>
      </w:r>
    </w:p>
    <w:p>
      <w:pPr>
        <w:pStyle w:val="ListParagraph"/>
        <w:numPr>
          <w:ilvl w:val="0"/>
          <w:numId w:val="2"/>
        </w:numPr>
        <w:spacing w:after="100" w:line="360"/>
      </w:pPr>
      <w:r>
        <w:rPr>
          <w:rFonts w:ascii="Arial" w:cs="Arial" w:eastAsia="Arial" w:hAnsi="Arial"/>
          <w:sz w:val="24"/>
          <w:szCs w:val="24"/>
        </w:rPr>
        <w:t xml:space="preserve">How do monotherapy (single-target SNARE, single-target Rab) vs polypharmacology (two-drug combinations) compare in breadth and magnitude of phenotype recovery?</w:t>
      </w:r>
    </w:p>
    <w:p>
      <w:pPr>
        <w:pStyle w:val="ListParagraph"/>
        <w:numPr>
          <w:ilvl w:val="0"/>
          <w:numId w:val="2"/>
        </w:numPr>
        <w:spacing w:after="100" w:line="360"/>
      </w:pPr>
      <w:r>
        <w:rPr>
          <w:rFonts w:ascii="Arial" w:cs="Arial" w:eastAsia="Arial" w:hAnsi="Arial"/>
          <w:sz w:val="24"/>
          <w:szCs w:val="24"/>
        </w:rPr>
        <w:t xml:space="preserve">Which compounds show consistency in phenotype reversal across multiple neuronal subtypes (pyramidal vs GABAergic neurons)?</w:t>
      </w:r>
    </w:p>
    <w:p>
      <w:pPr>
        <w:pStyle w:val="ListParagraph"/>
        <w:numPr>
          <w:ilvl w:val="0"/>
          <w:numId w:val="2"/>
        </w:numPr>
        <w:spacing w:after="100" w:line="360"/>
      </w:pPr>
      <w:r>
        <w:rPr>
          <w:rFonts w:ascii="Arial" w:cs="Arial" w:eastAsia="Arial" w:hAnsi="Arial"/>
          <w:sz w:val="24"/>
          <w:szCs w:val="24"/>
        </w:rPr>
        <w:t xml:space="preserve">What is the predicted probability that each top candidate's EP-observed efficacy will translate to behavioral/cognitive rescue in vivo in transgenic alpha-synuclein mouse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5 synaptic vesicle dysfunction reversing compounds for synucleinopathy</w:t>
      </w:r>
    </w:p>
    <w:p>
      <w:pPr>
        <w:pStyle w:val="ListParagraph"/>
        <w:numPr>
          <w:ilvl w:val="0"/>
          <w:numId w:val="2"/>
        </w:numPr>
        <w:spacing w:after="100" w:line="360"/>
      </w:pPr>
      <w:r>
        <w:rPr>
          <w:rFonts w:ascii="Arial" w:cs="Arial" w:eastAsia="Arial" w:hAnsi="Arial"/>
          <w:sz w:val="24"/>
          <w:szCs w:val="24"/>
        </w:rPr>
        <w:t xml:space="preserve">Comprehensive EP recovery profile heatmaps (all 500+ features, showing reversal for top 5 candidates)</w:t>
      </w:r>
    </w:p>
    <w:p>
      <w:pPr>
        <w:pStyle w:val="ListParagraph"/>
        <w:numPr>
          <w:ilvl w:val="0"/>
          <w:numId w:val="2"/>
        </w:numPr>
        <w:spacing w:after="100" w:line="360"/>
      </w:pPr>
      <w:r>
        <w:rPr>
          <w:rFonts w:ascii="Arial" w:cs="Arial" w:eastAsia="Arial" w:hAnsi="Arial"/>
          <w:sz w:val="24"/>
          <w:szCs w:val="24"/>
        </w:rPr>
        <w:t xml:space="preserve">Breadth of efficacy scoring (number of dysregulated features reversed, effect size distribution)</w:t>
      </w:r>
    </w:p>
    <w:p>
      <w:pPr>
        <w:pStyle w:val="ListParagraph"/>
        <w:numPr>
          <w:ilvl w:val="0"/>
          <w:numId w:val="2"/>
        </w:numPr>
        <w:spacing w:after="100" w:line="360"/>
      </w:pPr>
      <w:r>
        <w:rPr>
          <w:rFonts w:ascii="Arial" w:cs="Arial" w:eastAsia="Arial" w:hAnsi="Arial"/>
          <w:sz w:val="24"/>
          <w:szCs w:val="24"/>
        </w:rPr>
        <w:t xml:space="preserve">Mechanism validation through CRISPR target perturbations showing phenotypic concordance</w:t>
      </w:r>
    </w:p>
    <w:p>
      <w:pPr>
        <w:pStyle w:val="ListParagraph"/>
        <w:numPr>
          <w:ilvl w:val="0"/>
          <w:numId w:val="2"/>
        </w:numPr>
        <w:spacing w:after="100" w:line="360"/>
      </w:pPr>
      <w:r>
        <w:rPr>
          <w:rFonts w:ascii="Arial" w:cs="Arial" w:eastAsia="Arial" w:hAnsi="Arial"/>
          <w:sz w:val="24"/>
          <w:szCs w:val="24"/>
        </w:rPr>
        <w:t xml:space="preserve">Estimated therapeutic window (EC50 vs predicted in vivo efficacious concentrations)</w:t>
      </w:r>
    </w:p>
    <w:p>
      <w:pPr>
        <w:pStyle w:val="ListParagraph"/>
        <w:numPr>
          <w:ilvl w:val="0"/>
          <w:numId w:val="2"/>
        </w:numPr>
        <w:spacing w:after="100" w:line="360"/>
      </w:pPr>
      <w:r>
        <w:rPr>
          <w:rFonts w:ascii="Arial" w:cs="Arial" w:eastAsia="Arial" w:hAnsi="Arial"/>
          <w:sz w:val="24"/>
          <w:szCs w:val="24"/>
        </w:rPr>
        <w:t xml:space="preserve">Translational probability scores and recommended pre-clinical validation studies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Detailed ranking report (PDF/JSON) with EP phenotype heatmaps, mechanism validation data, translational scores, and pre-clinical recommendations</w:t>
      </w:r>
    </w:p>
    <w:p>
      <w:pPr>
        <w:pStyle w:val="Heading2"/>
        <w:spacing w:after="200" w:before="200"/>
      </w:pPr>
      <w:r>
        <w:rPr>
          <w:rFonts w:ascii="Arial" w:cs="Arial" w:eastAsia="Arial" w:hAnsi="Arial"/>
          <w:b/>
          <w:bCs/>
          <w:sz w:val="28"/>
          <w:szCs w:val="28"/>
        </w:rPr>
        <w:t xml:space="preserve">Stage 5: BBB Penetration, Safety Profile Integration &amp; Clinical Development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BBB penetration of final candidates, integrate human safety/clinical trial data, and develop clinical trial strategy for synucleinopathy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 candidates from Stage 4 (mechanisms, EP efficacy, translational scores)</w:t>
      </w:r>
    </w:p>
    <w:p>
      <w:pPr>
        <w:pStyle w:val="ListParagraph"/>
        <w:numPr>
          <w:ilvl w:val="0"/>
          <w:numId w:val="2"/>
        </w:numPr>
        <w:spacing w:after="100" w:line="360"/>
      </w:pPr>
      <w:r>
        <w:rPr>
          <w:rFonts w:ascii="Arial" w:cs="Arial" w:eastAsia="Arial" w:hAnsi="Arial"/>
          <w:sz w:val="24"/>
          <w:szCs w:val="24"/>
        </w:rPr>
        <w:t xml:space="preserve">Molecular descriptors and published PK data (BBB penetration, brain/plasma ratios, CSF concentrations)</w:t>
      </w:r>
    </w:p>
    <w:p>
      <w:pPr>
        <w:pStyle w:val="ListParagraph"/>
        <w:numPr>
          <w:ilvl w:val="0"/>
          <w:numId w:val="2"/>
        </w:numPr>
        <w:spacing w:after="100" w:line="360"/>
      </w:pPr>
      <w:r>
        <w:rPr>
          <w:rFonts w:ascii="Arial" w:cs="Arial" w:eastAsia="Arial" w:hAnsi="Arial"/>
          <w:sz w:val="24"/>
          <w:szCs w:val="24"/>
        </w:rPr>
        <w:t xml:space="preserve">FDA pharmacology reviews and clinical trial databases (for approved compounds)</w:t>
      </w:r>
    </w:p>
    <w:p>
      <w:pPr>
        <w:pStyle w:val="ListParagraph"/>
        <w:numPr>
          <w:ilvl w:val="0"/>
          <w:numId w:val="2"/>
        </w:numPr>
        <w:spacing w:after="100" w:line="360"/>
      </w:pPr>
      <w:r>
        <w:rPr>
          <w:rFonts w:ascii="Arial" w:cs="Arial" w:eastAsia="Arial" w:hAnsi="Arial"/>
          <w:sz w:val="24"/>
          <w:szCs w:val="24"/>
        </w:rPr>
        <w:t xml:space="preserve">FAERS pharmacovigilance data and published safety studies</w:t>
      </w:r>
    </w:p>
    <w:p>
      <w:pPr>
        <w:pStyle w:val="ListParagraph"/>
        <w:numPr>
          <w:ilvl w:val="0"/>
          <w:numId w:val="2"/>
        </w:numPr>
        <w:spacing w:after="100" w:line="360"/>
      </w:pPr>
      <w:r>
        <w:rPr>
          <w:rFonts w:ascii="Arial" w:cs="Arial" w:eastAsia="Arial" w:hAnsi="Arial"/>
          <w:sz w:val="24"/>
          <w:szCs w:val="24"/>
        </w:rPr>
        <w:t xml:space="preserve">Drug-drug interaction profiles with Parkinson's disease standard-of-care medications (L-DOPA, DOPA agonists, MAO-B inhibitors)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NCATS BBB Penetration Prediction tool and DEREK NEXUS</w:t>
      </w:r>
    </w:p>
    <w:p>
      <w:pPr>
        <w:pStyle w:val="ListParagraph"/>
        <w:numPr>
          <w:ilvl w:val="0"/>
          <w:numId w:val="2"/>
        </w:numPr>
        <w:spacing w:after="100" w:line="360"/>
      </w:pPr>
      <w:r>
        <w:rPr>
          <w:rFonts w:ascii="Arial" w:cs="Arial" w:eastAsia="Arial" w:hAnsi="Arial"/>
          <w:sz w:val="24"/>
          <w:szCs w:val="24"/>
        </w:rPr>
        <w:t xml:space="preserve">Published brain PK database mining and microdialysis data integration</w:t>
      </w:r>
    </w:p>
    <w:p>
      <w:pPr>
        <w:pStyle w:val="ListParagraph"/>
        <w:numPr>
          <w:ilvl w:val="0"/>
          <w:numId w:val="2"/>
        </w:numPr>
        <w:spacing w:after="100" w:line="360"/>
      </w:pPr>
      <w:r>
        <w:rPr>
          <w:rFonts w:ascii="Arial" w:cs="Arial" w:eastAsia="Arial" w:hAnsi="Arial"/>
          <w:sz w:val="24"/>
          <w:szCs w:val="24"/>
        </w:rPr>
        <w:t xml:space="preserve">FDA Pharmacology Review full-text search and ClinicalTrials.gov queries</w:t>
      </w:r>
    </w:p>
    <w:p>
      <w:pPr>
        <w:pStyle w:val="ListParagraph"/>
        <w:numPr>
          <w:ilvl w:val="0"/>
          <w:numId w:val="2"/>
        </w:numPr>
        <w:spacing w:after="100" w:line="360"/>
      </w:pPr>
      <w:r>
        <w:rPr>
          <w:rFonts w:ascii="Arial" w:cs="Arial" w:eastAsia="Arial" w:hAnsi="Arial"/>
          <w:sz w:val="24"/>
          <w:szCs w:val="24"/>
        </w:rPr>
        <w:t xml:space="preserve">FAERS signal detection and adverse event profile analysis</w:t>
      </w:r>
    </w:p>
    <w:p>
      <w:pPr>
        <w:pStyle w:val="ListParagraph"/>
        <w:numPr>
          <w:ilvl w:val="0"/>
          <w:numId w:val="2"/>
        </w:numPr>
        <w:spacing w:after="100" w:line="360"/>
      </w:pPr>
      <w:r>
        <w:rPr>
          <w:rFonts w:ascii="Arial" w:cs="Arial" w:eastAsia="Arial" w:hAnsi="Arial"/>
          <w:sz w:val="24"/>
          <w:szCs w:val="24"/>
        </w:rPr>
        <w:t xml:space="preserve">DrugBank DDI database for Parkinson's disease medication interactions</w:t>
      </w:r>
    </w:p>
    <w:p>
      <w:pPr>
        <w:pStyle w:val="ListParagraph"/>
        <w:numPr>
          <w:ilvl w:val="0"/>
          <w:numId w:val="2"/>
        </w:numPr>
        <w:spacing w:after="100" w:line="360"/>
      </w:pPr>
      <w:r>
        <w:rPr>
          <w:rFonts w:ascii="Arial" w:cs="Arial" w:eastAsia="Arial" w:hAnsi="Arial"/>
          <w:sz w:val="24"/>
          <w:szCs w:val="24"/>
        </w:rPr>
        <w:t xml:space="preserve">Clinical trial design templates (Phase II endpoint selection, biomarker-enriched enrollment)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5 candidates are predicted BBB+ and have published brain PK data confirming CNS penetration?</w:t>
      </w:r>
    </w:p>
    <w:p>
      <w:pPr>
        <w:pStyle w:val="ListParagraph"/>
        <w:numPr>
          <w:ilvl w:val="0"/>
          <w:numId w:val="2"/>
        </w:numPr>
        <w:spacing w:after="100" w:line="360"/>
      </w:pPr>
      <w:r>
        <w:rPr>
          <w:rFonts w:ascii="Arial" w:cs="Arial" w:eastAsia="Arial" w:hAnsi="Arial"/>
          <w:sz w:val="24"/>
          <w:szCs w:val="24"/>
        </w:rPr>
        <w:t xml:space="preserve">What are the clinical safety profiles, including FAERS signal detection and any prior neurological disease trial experience?</w:t>
      </w:r>
    </w:p>
    <w:p>
      <w:pPr>
        <w:pStyle w:val="ListParagraph"/>
        <w:numPr>
          <w:ilvl w:val="0"/>
          <w:numId w:val="2"/>
        </w:numPr>
        <w:spacing w:after="100" w:line="360"/>
      </w:pPr>
      <w:r>
        <w:rPr>
          <w:rFonts w:ascii="Arial" w:cs="Arial" w:eastAsia="Arial" w:hAnsi="Arial"/>
          <w:sz w:val="24"/>
          <w:szCs w:val="24"/>
        </w:rPr>
        <w:t xml:space="preserve">How do the top 5 candidates interact with standard Parkinson's disease medications (levodopa, dopamine agonists, MAO-B inhibitors, COMT inhibitors)?</w:t>
      </w:r>
    </w:p>
    <w:p>
      <w:pPr>
        <w:pStyle w:val="ListParagraph"/>
        <w:numPr>
          <w:ilvl w:val="0"/>
          <w:numId w:val="2"/>
        </w:numPr>
        <w:spacing w:after="100" w:line="360"/>
      </w:pPr>
      <w:r>
        <w:rPr>
          <w:rFonts w:ascii="Arial" w:cs="Arial" w:eastAsia="Arial" w:hAnsi="Arial"/>
          <w:sz w:val="24"/>
          <w:szCs w:val="24"/>
        </w:rPr>
        <w:t xml:space="preserve">What is the recommended Phase II trial design (population, primary/secondary endpoints, biomarkers, duration) for synucleinopathy validation?</w:t>
      </w:r>
    </w:p>
    <w:p>
      <w:pPr>
        <w:pStyle w:val="ListParagraph"/>
        <w:numPr>
          <w:ilvl w:val="0"/>
          <w:numId w:val="2"/>
        </w:numPr>
        <w:spacing w:after="100" w:line="360"/>
      </w:pPr>
      <w:r>
        <w:rPr>
          <w:rFonts w:ascii="Arial" w:cs="Arial" w:eastAsia="Arial" w:hAnsi="Arial"/>
          <w:sz w:val="24"/>
          <w:szCs w:val="24"/>
        </w:rPr>
        <w:t xml:space="preserve">Which regulatory pathway (IND standard, breakthrough designation, fast track) is most appropriate for accelerated development of top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penetration classification and brain PK summary for each top 5 candidate</w:t>
      </w:r>
    </w:p>
    <w:p>
      <w:pPr>
        <w:pStyle w:val="ListParagraph"/>
        <w:numPr>
          <w:ilvl w:val="0"/>
          <w:numId w:val="2"/>
        </w:numPr>
        <w:spacing w:after="100" w:line="360"/>
      </w:pPr>
      <w:r>
        <w:rPr>
          <w:rFonts w:ascii="Arial" w:cs="Arial" w:eastAsia="Arial" w:hAnsi="Arial"/>
          <w:sz w:val="24"/>
          <w:szCs w:val="24"/>
        </w:rPr>
        <w:t xml:space="preserve">Clinical safety profile summary (prior trial experience, FAERS safety signals, elderly population tolerability)</w:t>
      </w:r>
    </w:p>
    <w:p>
      <w:pPr>
        <w:pStyle w:val="ListParagraph"/>
        <w:numPr>
          <w:ilvl w:val="0"/>
          <w:numId w:val="2"/>
        </w:numPr>
        <w:spacing w:after="100" w:line="360"/>
      </w:pPr>
      <w:r>
        <w:rPr>
          <w:rFonts w:ascii="Arial" w:cs="Arial" w:eastAsia="Arial" w:hAnsi="Arial"/>
          <w:sz w:val="24"/>
          <w:szCs w:val="24"/>
        </w:rPr>
        <w:t xml:space="preserve">Drug-drug interaction matrix with Parkinson's disease standard-of-care medications</w:t>
      </w:r>
    </w:p>
    <w:p>
      <w:pPr>
        <w:pStyle w:val="ListParagraph"/>
        <w:numPr>
          <w:ilvl w:val="0"/>
          <w:numId w:val="2"/>
        </w:numPr>
        <w:spacing w:after="100" w:line="360"/>
      </w:pPr>
      <w:r>
        <w:rPr>
          <w:rFonts w:ascii="Arial" w:cs="Arial" w:eastAsia="Arial" w:hAnsi="Arial"/>
          <w:sz w:val="24"/>
          <w:szCs w:val="24"/>
        </w:rPr>
        <w:t xml:space="preserve">Recommended Phase II trial design specifications (population selection, inclusion/exclusion criteria, primary/secondary endpoints)</w:t>
      </w:r>
    </w:p>
    <w:p>
      <w:pPr>
        <w:pStyle w:val="ListParagraph"/>
        <w:numPr>
          <w:ilvl w:val="0"/>
          <w:numId w:val="2"/>
        </w:numPr>
        <w:spacing w:after="100" w:line="360"/>
      </w:pPr>
      <w:r>
        <w:rPr>
          <w:rFonts w:ascii="Arial" w:cs="Arial" w:eastAsia="Arial" w:hAnsi="Arial"/>
          <w:sz w:val="24"/>
          <w:szCs w:val="24"/>
        </w:rPr>
        <w:t xml:space="preserve">Biomarker strategy integrating EP measures with validated synucleinopathy biomarkers (alpha-synuclein phosphorylation, CSF markers)</w:t>
      </w:r>
    </w:p>
    <w:p>
      <w:pPr>
        <w:pStyle w:val="ListParagraph"/>
        <w:numPr>
          <w:ilvl w:val="0"/>
          <w:numId w:val="2"/>
        </w:numPr>
        <w:spacing w:after="100" w:line="360"/>
      </w:pPr>
      <w:r>
        <w:rPr>
          <w:rFonts w:ascii="Arial" w:cs="Arial" w:eastAsia="Arial" w:hAnsi="Arial"/>
          <w:sz w:val="24"/>
          <w:szCs w:val="24"/>
        </w:rPr>
        <w:t xml:space="preserve">Regulatory pathway recommendation and development timeline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development roadmap (Word/PDF) with safety assessment, trial design specifications, and regulatory strategy</w:t>
      </w:r>
    </w:p>
    <w:p>
      <w:pPr>
        <w:pStyle w:val="Heading2"/>
        <w:spacing w:after="200" w:before="200"/>
      </w:pPr>
      <w:r>
        <w:rPr>
          <w:rFonts w:ascii="Arial" w:cs="Arial" w:eastAsia="Arial" w:hAnsi="Arial"/>
          <w:b/>
          <w:bCs/>
          <w:sz w:val="28"/>
          <w:szCs w:val="28"/>
        </w:rPr>
        <w:t xml:space="preserve">Stage 6: Go/No-Go Decision &amp; Phase II Protocol Development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evidence into clinical development recommendations, create Phase II protocol outline, and establish success criteria for synucleinopathy synaptic transmission biomarker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 candidates from Stage 5 (integrated efficacy, safety, and BBB/PK data)</w:t>
      </w:r>
    </w:p>
    <w:p>
      <w:pPr>
        <w:pStyle w:val="ListParagraph"/>
        <w:numPr>
          <w:ilvl w:val="0"/>
          <w:numId w:val="2"/>
        </w:numPr>
        <w:spacing w:after="100" w:line="360"/>
      </w:pPr>
      <w:r>
        <w:rPr>
          <w:rFonts w:ascii="Arial" w:cs="Arial" w:eastAsia="Arial" w:hAnsi="Arial"/>
          <w:sz w:val="24"/>
          <w:szCs w:val="24"/>
        </w:rPr>
        <w:t xml:space="preserve">Regulatory guidance documents (FDA neurodegeneration guidance, synucleinopathy biomarker qualification)</w:t>
      </w:r>
    </w:p>
    <w:p>
      <w:pPr>
        <w:pStyle w:val="ListParagraph"/>
        <w:numPr>
          <w:ilvl w:val="0"/>
          <w:numId w:val="2"/>
        </w:numPr>
        <w:spacing w:after="100" w:line="360"/>
      </w:pPr>
      <w:r>
        <w:rPr>
          <w:rFonts w:ascii="Arial" w:cs="Arial" w:eastAsia="Arial" w:hAnsi="Arial"/>
          <w:sz w:val="24"/>
          <w:szCs w:val="24"/>
        </w:rPr>
        <w:t xml:space="preserve">Published Phase II trial designs for Parkinson's disease and synucleinopathy-targeted therapies</w:t>
      </w:r>
    </w:p>
    <w:p>
      <w:pPr>
        <w:pStyle w:val="ListParagraph"/>
        <w:numPr>
          <w:ilvl w:val="0"/>
          <w:numId w:val="2"/>
        </w:numPr>
        <w:spacing w:after="100" w:line="360"/>
      </w:pPr>
      <w:r>
        <w:rPr>
          <w:rFonts w:ascii="Arial" w:cs="Arial" w:eastAsia="Arial" w:hAnsi="Arial"/>
          <w:sz w:val="24"/>
          <w:szCs w:val="24"/>
        </w:rPr>
        <w:t xml:space="preserve">Competitive landscape (other synaptic transmission enhancers, synucleinopathy-targeting candidates in development)</w:t>
      </w:r>
    </w:p>
    <w:p>
      <w:pPr>
        <w:pStyle w:val="ListParagraph"/>
        <w:numPr>
          <w:ilvl w:val="0"/>
          <w:numId w:val="2"/>
        </w:numPr>
        <w:spacing w:after="100" w:line="360"/>
      </w:pPr>
      <w:r>
        <w:rPr>
          <w:rFonts w:ascii="Arial" w:cs="Arial" w:eastAsia="Arial" w:hAnsi="Arial"/>
          <w:sz w:val="24"/>
          <w:szCs w:val="24"/>
        </w:rPr>
        <w:t xml:space="preserve">Budget and timeline forecasting templates for Phase IIa/IIb trial initiation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FDA neurodegeneration and synucleinopathy biomarker guidance documents</w:t>
      </w:r>
    </w:p>
    <w:p>
      <w:pPr>
        <w:pStyle w:val="ListParagraph"/>
        <w:numPr>
          <w:ilvl w:val="0"/>
          <w:numId w:val="2"/>
        </w:numPr>
        <w:spacing w:after="100" w:line="360"/>
      </w:pPr>
      <w:r>
        <w:rPr>
          <w:rFonts w:ascii="Arial" w:cs="Arial" w:eastAsia="Arial" w:hAnsi="Arial"/>
          <w:sz w:val="24"/>
          <w:szCs w:val="24"/>
        </w:rPr>
        <w:t xml:space="preserve">ClinicalTrials.gov database for Phase II trial design benchmarks</w:t>
      </w:r>
    </w:p>
    <w:p>
      <w:pPr>
        <w:pStyle w:val="ListParagraph"/>
        <w:numPr>
          <w:ilvl w:val="0"/>
          <w:numId w:val="2"/>
        </w:numPr>
        <w:spacing w:after="100" w:line="360"/>
      </w:pPr>
      <w:r>
        <w:rPr>
          <w:rFonts w:ascii="Arial" w:cs="Arial" w:eastAsia="Arial" w:hAnsi="Arial"/>
          <w:sz w:val="24"/>
          <w:szCs w:val="24"/>
        </w:rPr>
        <w:t xml:space="preserve">Regulatory intelligence platforms (Cortellis, Adis Insight)</w:t>
      </w:r>
    </w:p>
    <w:p>
      <w:pPr>
        <w:pStyle w:val="ListParagraph"/>
        <w:numPr>
          <w:ilvl w:val="0"/>
          <w:numId w:val="2"/>
        </w:numPr>
        <w:spacing w:after="100" w:line="360"/>
      </w:pPr>
      <w:r>
        <w:rPr>
          <w:rFonts w:ascii="Arial" w:cs="Arial" w:eastAsia="Arial" w:hAnsi="Arial"/>
          <w:sz w:val="24"/>
          <w:szCs w:val="24"/>
        </w:rPr>
        <w:t xml:space="preserve">Go/No-Go decision framework (efficacy strength, safety confidence, competitive advantage, IP positioning)</w:t>
      </w:r>
    </w:p>
    <w:p>
      <w:pPr>
        <w:pStyle w:val="ListParagraph"/>
        <w:numPr>
          <w:ilvl w:val="0"/>
          <w:numId w:val="2"/>
        </w:numPr>
        <w:spacing w:after="100" w:line="360"/>
      </w:pPr>
      <w:r>
        <w:rPr>
          <w:rFonts w:ascii="Arial" w:cs="Arial" w:eastAsia="Arial" w:hAnsi="Arial"/>
          <w:sz w:val="24"/>
          <w:szCs w:val="24"/>
        </w:rPr>
        <w:t xml:space="preserve">Phase II protocol template and budget estimation tools</w:t>
      </w:r>
    </w:p>
    <w:p>
      <w:pPr>
        <w:pStyle w:val="ListParagraph"/>
        <w:numPr>
          <w:ilvl w:val="0"/>
          <w:numId w:val="2"/>
        </w:numPr>
        <w:spacing w:after="100" w:line="360"/>
      </w:pPr>
      <w:r>
        <w:rPr>
          <w:rFonts w:ascii="Arial" w:cs="Arial" w:eastAsia="Arial" w:hAnsi="Arial"/>
          <w:sz w:val="24"/>
          <w:szCs w:val="24"/>
        </w:rPr>
        <w:t xml:space="preserve">Biomarker endpoint qualification pathway (fit-for-purpose validation)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evidence would constitute a successful Phase II proof-of-concept for each top 5 candidate in synucleinopathy?</w:t>
      </w:r>
    </w:p>
    <w:p>
      <w:pPr>
        <w:pStyle w:val="ListParagraph"/>
        <w:numPr>
          <w:ilvl w:val="0"/>
          <w:numId w:val="2"/>
        </w:numPr>
        <w:spacing w:after="100" w:line="360"/>
      </w:pPr>
      <w:r>
        <w:rPr>
          <w:rFonts w:ascii="Arial" w:cs="Arial" w:eastAsia="Arial" w:hAnsi="Arial"/>
          <w:sz w:val="24"/>
          <w:szCs w:val="24"/>
        </w:rPr>
        <w:t xml:space="preserve">How should baseline synucleinopathy EP signatures be incorporated into adaptive trial designs for early termination decisions?</w:t>
      </w:r>
    </w:p>
    <w:p>
      <w:pPr>
        <w:pStyle w:val="ListParagraph"/>
        <w:numPr>
          <w:ilvl w:val="0"/>
          <w:numId w:val="2"/>
        </w:numPr>
        <w:spacing w:after="100" w:line="360"/>
      </w:pPr>
      <w:r>
        <w:rPr>
          <w:rFonts w:ascii="Arial" w:cs="Arial" w:eastAsia="Arial" w:hAnsi="Arial"/>
          <w:sz w:val="24"/>
          <w:szCs w:val="24"/>
        </w:rPr>
        <w:t xml:space="preserve">Which biomarkers (synaptic transmission EP signatures, CSF alpha-synuclein phosphorylation, neurodegeneration imaging) should be co-primary vs exploratory endpoints?</w:t>
      </w:r>
    </w:p>
    <w:p>
      <w:pPr>
        <w:pStyle w:val="ListParagraph"/>
        <w:numPr>
          <w:ilvl w:val="0"/>
          <w:numId w:val="2"/>
        </w:numPr>
        <w:spacing w:after="100" w:line="360"/>
      </w:pPr>
      <w:r>
        <w:rPr>
          <w:rFonts w:ascii="Arial" w:cs="Arial" w:eastAsia="Arial" w:hAnsi="Arial"/>
          <w:sz w:val="24"/>
          <w:szCs w:val="24"/>
        </w:rPr>
        <w:t xml:space="preserve">What is the intellectual property landscape (patent expiration, formulation improvements, use-case exclusivity) for each top 5 candidate?</w:t>
      </w:r>
    </w:p>
    <w:p>
      <w:pPr>
        <w:pStyle w:val="ListParagraph"/>
        <w:numPr>
          <w:ilvl w:val="0"/>
          <w:numId w:val="2"/>
        </w:numPr>
        <w:spacing w:after="100" w:line="360"/>
      </w:pPr>
      <w:r>
        <w:rPr>
          <w:rFonts w:ascii="Arial" w:cs="Arial" w:eastAsia="Arial" w:hAnsi="Arial"/>
          <w:sz w:val="24"/>
          <w:szCs w:val="24"/>
        </w:rPr>
        <w:t xml:space="preserve">Which top 5 candidate should be prioritized for IND-enabling studies and Phase II initiation based on integrated evidence strength and competitive positioning?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Go/No-Go recommendations for each top 5 candidate with justification</w:t>
      </w:r>
    </w:p>
    <w:p>
      <w:pPr>
        <w:pStyle w:val="ListParagraph"/>
        <w:numPr>
          <w:ilvl w:val="0"/>
          <w:numId w:val="2"/>
        </w:numPr>
        <w:spacing w:after="100" w:line="360"/>
      </w:pPr>
      <w:r>
        <w:rPr>
          <w:rFonts w:ascii="Arial" w:cs="Arial" w:eastAsia="Arial" w:hAnsi="Arial"/>
          <w:sz w:val="24"/>
          <w:szCs w:val="24"/>
        </w:rPr>
        <w:t xml:space="preserve">Ranked priority list (1-5) for development advancement with explicit decision rationale</w:t>
      </w:r>
    </w:p>
    <w:p>
      <w:pPr>
        <w:pStyle w:val="ListParagraph"/>
        <w:numPr>
          <w:ilvl w:val="0"/>
          <w:numId w:val="2"/>
        </w:numPr>
        <w:spacing w:after="100" w:line="360"/>
      </w:pPr>
      <w:r>
        <w:rPr>
          <w:rFonts w:ascii="Arial" w:cs="Arial" w:eastAsia="Arial" w:hAnsi="Arial"/>
          <w:sz w:val="24"/>
          <w:szCs w:val="24"/>
        </w:rPr>
        <w:t xml:space="preserve">Phase II trial protocol outline (population, inclusion/exclusion, primary/secondary endpoints, safety monitoring, duration, n)</w:t>
      </w:r>
    </w:p>
    <w:p>
      <w:pPr>
        <w:pStyle w:val="ListParagraph"/>
        <w:numPr>
          <w:ilvl w:val="0"/>
          <w:numId w:val="2"/>
        </w:numPr>
        <w:spacing w:after="100" w:line="360"/>
      </w:pPr>
      <w:r>
        <w:rPr>
          <w:rFonts w:ascii="Arial" w:cs="Arial" w:eastAsia="Arial" w:hAnsi="Arial"/>
          <w:sz w:val="24"/>
          <w:szCs w:val="24"/>
        </w:rPr>
        <w:t xml:space="preserve">Biomarker strategy with EP signatures as pharmacodynamic endpoints and translational validation measures</w:t>
      </w:r>
    </w:p>
    <w:p>
      <w:pPr>
        <w:pStyle w:val="ListParagraph"/>
        <w:numPr>
          <w:ilvl w:val="0"/>
          <w:numId w:val="2"/>
        </w:numPr>
        <w:spacing w:after="100" w:line="360"/>
      </w:pPr>
      <w:r>
        <w:rPr>
          <w:rFonts w:ascii="Arial" w:cs="Arial" w:eastAsia="Arial" w:hAnsi="Arial"/>
          <w:sz w:val="24"/>
          <w:szCs w:val="24"/>
        </w:rPr>
        <w:t xml:space="preserve">Regulatory pathway recommendation (standard vs accelerated paths) and anticipated timeline to Phase II initiation</w:t>
      </w:r>
    </w:p>
    <w:p>
      <w:pPr>
        <w:pStyle w:val="ListParagraph"/>
        <w:numPr>
          <w:ilvl w:val="0"/>
          <w:numId w:val="2"/>
        </w:numPr>
        <w:spacing w:after="100" w:line="360"/>
      </w:pPr>
      <w:r>
        <w:rPr>
          <w:rFonts w:ascii="Arial" w:cs="Arial" w:eastAsia="Arial" w:hAnsi="Arial"/>
          <w:sz w:val="24"/>
          <w:szCs w:val="24"/>
        </w:rPr>
        <w:t xml:space="preserve">Competitive positioning and intellectual property strategy for prioritized candidate(s)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(Word/PDF) with go/no-go matrix, trial protocol outline, biomarker strategy, and development roadmap</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(18k gene perturbations, 500+ features, primary screening platform)</w:t>
      </w:r>
    </w:p>
    <w:p>
      <w:pPr>
        <w:pStyle w:val="ListParagraph"/>
        <w:numPr>
          <w:ilvl w:val="0"/>
          <w:numId w:val="2"/>
        </w:numPr>
        <w:spacing w:after="100" w:line="360"/>
      </w:pPr>
      <w:r>
        <w:rPr>
          <w:rFonts w:ascii="Arial" w:cs="Arial" w:eastAsia="Arial" w:hAnsi="Arial"/>
          <w:sz w:val="24"/>
          <w:szCs w:val="24"/>
        </w:rPr>
        <w:t xml:space="preserve">Quiver EP Compound Library (3,500+ FDA-approved, investigational, and natural product compounds)</w:t>
      </w:r>
    </w:p>
    <w:p>
      <w:pPr>
        <w:pStyle w:val="ListParagraph"/>
        <w:numPr>
          <w:ilvl w:val="0"/>
          <w:numId w:val="2"/>
        </w:numPr>
        <w:spacing w:after="100" w:line="360"/>
      </w:pPr>
      <w:r>
        <w:rPr>
          <w:rFonts w:ascii="Arial" w:cs="Arial" w:eastAsia="Arial" w:hAnsi="Arial"/>
          <w:sz w:val="24"/>
          <w:szCs w:val="24"/>
        </w:rPr>
        <w:t xml:space="preserve">KEGG Pathway Database (PATHWAY, ortholog, disease association mapping)</w:t>
      </w:r>
    </w:p>
    <w:p>
      <w:pPr>
        <w:pStyle w:val="ListParagraph"/>
        <w:numPr>
          <w:ilvl w:val="0"/>
          <w:numId w:val="2"/>
        </w:numPr>
        <w:spacing w:after="100" w:line="360"/>
      </w:pPr>
      <w:r>
        <w:rPr>
          <w:rFonts w:ascii="Arial" w:cs="Arial" w:eastAsia="Arial" w:hAnsi="Arial"/>
          <w:sz w:val="24"/>
          <w:szCs w:val="24"/>
        </w:rPr>
        <w:t xml:space="preserve">Reactome Pathway Analysis (mechanistic pathway diagrams, causal relationships, pathway hierarchy)</w:t>
      </w:r>
    </w:p>
    <w:p>
      <w:pPr>
        <w:pStyle w:val="ListParagraph"/>
        <w:numPr>
          <w:ilvl w:val="0"/>
          <w:numId w:val="2"/>
        </w:numPr>
        <w:spacing w:after="100" w:line="360"/>
      </w:pPr>
      <w:r>
        <w:rPr>
          <w:rFonts w:ascii="Arial" w:cs="Arial" w:eastAsia="Arial" w:hAnsi="Arial"/>
          <w:sz w:val="24"/>
          <w:szCs w:val="24"/>
        </w:rPr>
        <w:t xml:space="preserve">STRING Protein Interaction Network (protein-protein interactions, functional associations)</w:t>
      </w:r>
    </w:p>
    <w:p>
      <w:pPr>
        <w:pStyle w:val="ListParagraph"/>
        <w:numPr>
          <w:ilvl w:val="0"/>
          <w:numId w:val="2"/>
        </w:numPr>
        <w:spacing w:after="100" w:line="360"/>
      </w:pPr>
      <w:r>
        <w:rPr>
          <w:rFonts w:ascii="Arial" w:cs="Arial" w:eastAsia="Arial" w:hAnsi="Arial"/>
          <w:sz w:val="24"/>
          <w:szCs w:val="24"/>
        </w:rPr>
        <w:t xml:space="preserve">ChEMBL Compound Database (chemical structures, targets, bioactivity data, ADMET predictions)</w:t>
      </w:r>
    </w:p>
    <w:p>
      <w:pPr>
        <w:pStyle w:val="ListParagraph"/>
        <w:numPr>
          <w:ilvl w:val="0"/>
          <w:numId w:val="2"/>
        </w:numPr>
        <w:spacing w:after="100" w:line="360"/>
      </w:pPr>
      <w:r>
        <w:rPr>
          <w:rFonts w:ascii="Arial" w:cs="Arial" w:eastAsia="Arial" w:hAnsi="Arial"/>
          <w:sz w:val="24"/>
          <w:szCs w:val="24"/>
        </w:rPr>
        <w:t xml:space="preserve">FDA Pharmacology Reviews and Orange Book (clinical approval history, safety summaries, label information)</w:t>
      </w:r>
    </w:p>
    <w:p>
      <w:pPr>
        <w:pStyle w:val="ListParagraph"/>
        <w:numPr>
          <w:ilvl w:val="0"/>
          <w:numId w:val="2"/>
        </w:numPr>
        <w:spacing w:after="100" w:line="360"/>
      </w:pPr>
      <w:r>
        <w:rPr>
          <w:rFonts w:ascii="Arial" w:cs="Arial" w:eastAsia="Arial" w:hAnsi="Arial"/>
          <w:sz w:val="24"/>
          <w:szCs w:val="24"/>
        </w:rPr>
        <w:t xml:space="preserve">ClinicalTrials.gov (trial design information, enrollment status, published results)</w:t>
      </w:r>
    </w:p>
    <w:p>
      <w:pPr>
        <w:pStyle w:val="ListParagraph"/>
        <w:numPr>
          <w:ilvl w:val="0"/>
          <w:numId w:val="2"/>
        </w:numPr>
        <w:spacing w:after="100" w:line="360"/>
      </w:pPr>
      <w:r>
        <w:rPr>
          <w:rFonts w:ascii="Arial" w:cs="Arial" w:eastAsia="Arial" w:hAnsi="Arial"/>
          <w:sz w:val="24"/>
          <w:szCs w:val="24"/>
        </w:rPr>
        <w:t xml:space="preserve">FAERS Database (FDA adverse event reporting system, pharmacovigilance signal detection)</w:t>
      </w:r>
    </w:p>
    <w:p>
      <w:pPr>
        <w:pStyle w:val="ListParagraph"/>
        <w:numPr>
          <w:ilvl w:val="0"/>
          <w:numId w:val="2"/>
        </w:numPr>
        <w:spacing w:after="100" w:line="360"/>
      </w:pPr>
      <w:r>
        <w:rPr>
          <w:rFonts w:ascii="Arial" w:cs="Arial" w:eastAsia="Arial" w:hAnsi="Arial"/>
          <w:sz w:val="24"/>
          <w:szCs w:val="24"/>
        </w:rPr>
        <w:t xml:space="preserve">DrugBank (drug targets, metabolism, interactions, clinical applications)</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ENCODE/JASPAR Transcription Factor Binding Database (regulatory element prediction, TFEB/TFE3 targets)</w:t>
      </w:r>
    </w:p>
    <w:p>
      <w:pPr>
        <w:pStyle w:val="ListParagraph"/>
        <w:numPr>
          <w:ilvl w:val="0"/>
          <w:numId w:val="2"/>
        </w:numPr>
        <w:spacing w:after="100" w:line="360"/>
      </w:pPr>
      <w:r>
        <w:rPr>
          <w:rFonts w:ascii="Arial" w:cs="Arial" w:eastAsia="Arial" w:hAnsi="Arial"/>
          <w:sz w:val="24"/>
          <w:szCs w:val="24"/>
        </w:rPr>
        <w:t xml:space="preserve">AlzPathy/PDBase Disease-Specific Databases (molecular subtypes, biomarker associations, phenotypic features)</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bioactivity assays, structure similarity)</w:t>
      </w:r>
    </w:p>
    <w:p>
      <w:pPr>
        <w:pStyle w:val="ListParagraph"/>
        <w:numPr>
          <w:ilvl w:val="0"/>
          <w:numId w:val="2"/>
        </w:numPr>
        <w:spacing w:after="100" w:line="360"/>
      </w:pPr>
      <w:r>
        <w:rPr>
          <w:rFonts w:ascii="Arial" w:cs="Arial" w:eastAsia="Arial" w:hAnsi="Arial"/>
          <w:sz w:val="24"/>
          <w:szCs w:val="24"/>
        </w:rPr>
        <w:t xml:space="preserve">Cortellis/Adis Insight Intelligence Platforms (competitive landscape, development stage tracking, regulatory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2026-03-04T02:14:03.137Z</dcterms:created>
  <dcterms:modified xsi:type="dcterms:W3CDTF">2026-03-04T02:14:03.137Z</dcterms:modified>
</cp:coreProperties>
</file>

<file path=docProps/custom.xml><?xml version="1.0" encoding="utf-8"?>
<Properties xmlns="http://schemas.openxmlformats.org/officeDocument/2006/custom-properties" xmlns:vt="http://schemas.openxmlformats.org/officeDocument/2006/docPropsVTypes"/>
</file>