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Arial" w:cs="Arial" w:eastAsia="Arial" w:hAnsi="Arial"/>
          <w:b/>
          <w:bCs/>
          <w:sz w:val="32"/>
          <w:szCs w:val="32"/>
        </w:rPr>
        <w:t xml:space="preserve">Sapphire Pipeline Workflow: Disease-Modifying vs Symptomatic Candidates in Parkinson's</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Rank disease-modifying vs symptomatic candidates in Parkinson's.</w:t>
      </w:r>
    </w:p>
    <w:p>
      <w:pPr>
        <w:spacing w:after="200" w:line="360"/>
      </w:pPr>
      <w:r>
        <w:rPr>
          <w:rFonts w:ascii="Arial" w:cs="Arial" w:eastAsia="Arial" w:hAnsi="Arial"/>
          <w:sz w:val="24"/>
          <w:szCs w:val="24"/>
        </w:rPr>
        <w:t xml:space="preserve">This Sapphire Pipeline differentiates disease-modifying (DM) vs symptomatic therapies in Parkinson's disease by integrating longitudinal electrophysiology (EP) trajectories, dopaminergic neuron survival biomarkers, and alpha-synuclein aggregation dynamics. Using Quiver Bioscience's EP CRISPR atlas and temporal compound profiling, the pipeline distinguishes short-term dopaminergic replacement/agonism from mechanistic disease-slowing interventions targeting neurodegeneration.</w:t>
      </w:r>
    </w:p>
    <w:p>
      <w:pPr>
        <w:spacing w:after="200" w:line="360"/>
      </w:pPr>
      <w:r>
        <w:rPr>
          <w:rFonts w:ascii="Arial" w:cs="Arial" w:eastAsia="Arial" w:hAnsi="Arial"/>
          <w:sz w:val="24"/>
          <w:szCs w:val="24"/>
        </w:rPr>
        <w:t xml:space="preserve">By measuring dopaminergic neuron vulnerability, alpha-synuclein aggregation prevention, mitochondrial dysfunction reversal, and longitudinal EP pathway erosion, this workflow enables rational prioritization of disease-modifying candidates over symptomatic palliatives for clinical development in early Parkinson's disease.</w:t>
      </w:r>
    </w:p>
    <w:p>
      <w:pPr>
        <w:pStyle w:val="Heading2"/>
        <w:spacing w:after="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Disease-Modifying vs Symptomatic Candidates in Parkinson's pipeline integrates quantitative electrophysiology (EP) phenotyping with CRISPR perturbation analysis to establish mechanistic understanding of disease pathophysiology. By leveraging Quiver Bioscience's comprehensive atlas of gene and compound perturbations across 500+ neuronal features, the pipeline enables systematic identification of therapeutic candidates through phenotype-level signature matching and validation.</w:t>
      </w:r>
    </w:p>
    <w:p>
      <w:pPr>
        <w:spacing w:after="200" w:line="360"/>
      </w:pPr>
      <w:r>
        <w:rPr>
          <w:rFonts w:ascii="Arial" w:cs="Arial" w:eastAsia="Arial" w:hAnsi="Arial"/>
          <w:sz w:val="24"/>
          <w:szCs w:val="24"/>
        </w:rPr>
        <w:t xml:space="preserve">This workflow emphasizes mechanistic validation through orthogonal approaches: CRISPR perturbations confirm proposed drug targets, translational biomarkers bridge EP signatures to human disease progression, and longitudinal trajectory analysis distinguishes disease-modifying from symptomatic interventions. The six-stage process transforms raw discovery data into clinical-stage candidates with validated mechanisms and de-risked development pathways.</w:t>
      </w:r>
    </w:p>
    <w:p>
      <w:pPr>
        <w:pStyle w:val="Heading2"/>
        <w:spacing w:after="200" w:before="200"/>
      </w:pPr>
      <w:r>
        <w:rPr>
          <w:rFonts w:ascii="Arial" w:cs="Arial" w:eastAsia="Arial" w:hAnsi="Arial"/>
          <w:b/>
          <w:bCs/>
          <w:sz w:val="28"/>
          <w:szCs w:val="28"/>
        </w:rPr>
        <w:t xml:space="preserve">Stage 1: Dopaminergic Neuron Vulnerability &amp; Alpha-Synuclein Aggregation Phenotyping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Profile dopaminergic (DA) neuron-specific vulnerabilities and alpha-synuclein aggregation dynamics in Quiver CRISPR atlas to establish quantitative phenotypes distinguishing neuroprotection from dopamine replacement.</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Quiver EP CRISPR Atlas with DA neuron-enriched datasets (18k gene perturbations in dopaminergic context)</w:t>
      </w:r>
    </w:p>
    <w:p>
      <w:pPr>
        <w:pStyle w:val="ListParagraph"/>
        <w:numPr>
          <w:ilvl w:val="0"/>
          <w:numId w:val="2"/>
        </w:numPr>
        <w:spacing w:after="100" w:line="360"/>
      </w:pPr>
      <w:r>
        <w:rPr>
          <w:rFonts w:ascii="Arial" w:cs="Arial" w:eastAsia="Arial" w:hAnsi="Arial"/>
          <w:sz w:val="24"/>
          <w:szCs w:val="24"/>
        </w:rPr>
        <w:t xml:space="preserve">Alpha-synuclein aggregation-prone gene perturbations (SNCA, LRRK2, DJ-1, PINK1, PRKN, ATP13A2)</w:t>
      </w:r>
    </w:p>
    <w:p>
      <w:pPr>
        <w:pStyle w:val="ListParagraph"/>
        <w:numPr>
          <w:ilvl w:val="0"/>
          <w:numId w:val="2"/>
        </w:numPr>
        <w:spacing w:after="100" w:line="360"/>
      </w:pPr>
      <w:r>
        <w:rPr>
          <w:rFonts w:ascii="Arial" w:cs="Arial" w:eastAsia="Arial" w:hAnsi="Arial"/>
          <w:sz w:val="24"/>
          <w:szCs w:val="24"/>
        </w:rPr>
        <w:t xml:space="preserve">Dopaminergic neuron identification markers (TH, DAT, ALDH1A1 expression; DA biosynthesis pathway genes)</w:t>
      </w:r>
    </w:p>
    <w:p>
      <w:pPr>
        <w:pStyle w:val="ListParagraph"/>
        <w:numPr>
          <w:ilvl w:val="0"/>
          <w:numId w:val="2"/>
        </w:numPr>
        <w:spacing w:after="100" w:line="360"/>
      </w:pPr>
      <w:r>
        <w:rPr>
          <w:rFonts w:ascii="Arial" w:cs="Arial" w:eastAsia="Arial" w:hAnsi="Arial"/>
          <w:sz w:val="24"/>
          <w:szCs w:val="24"/>
        </w:rPr>
        <w:t xml:space="preserve">Mitochondrial dysfunction and oxidative stress signatures relevant to DA neuron toxicity</w:t>
      </w:r>
    </w:p>
    <w:p>
      <w:pPr>
        <w:pStyle w:val="ListParagraph"/>
        <w:numPr>
          <w:ilvl w:val="0"/>
          <w:numId w:val="2"/>
        </w:numPr>
        <w:spacing w:after="100" w:line="360"/>
      </w:pPr>
      <w:r>
        <w:rPr>
          <w:rFonts w:ascii="Arial" w:cs="Arial" w:eastAsia="Arial" w:hAnsi="Arial"/>
          <w:sz w:val="24"/>
          <w:szCs w:val="24"/>
        </w:rPr>
        <w:t xml:space="preserve">Longitudinal EP recordings in alpha-synuclein overexpression models (pre-degeneration to degeneration states)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EP CRISPR Atlas (DA neuron perturbation library and aggregation-prone gene datasets)</w:t>
      </w:r>
    </w:p>
    <w:p>
      <w:pPr>
        <w:pStyle w:val="ListParagraph"/>
        <w:numPr>
          <w:ilvl w:val="0"/>
          <w:numId w:val="2"/>
        </w:numPr>
        <w:spacing w:after="100" w:line="360"/>
      </w:pPr>
      <w:r>
        <w:rPr>
          <w:rFonts w:ascii="Arial" w:cs="Arial" w:eastAsia="Arial" w:hAnsi="Arial"/>
          <w:sz w:val="24"/>
          <w:szCs w:val="24"/>
        </w:rPr>
        <w:t xml:space="preserve">CellProfiler image-based profiling (DA neuron morphology, mitochondrial health, protein aggregation detection)</w:t>
      </w:r>
    </w:p>
    <w:p>
      <w:pPr>
        <w:pStyle w:val="ListParagraph"/>
        <w:numPr>
          <w:ilvl w:val="0"/>
          <w:numId w:val="2"/>
        </w:numPr>
        <w:spacing w:after="100" w:line="360"/>
      </w:pPr>
      <w:r>
        <w:rPr>
          <w:rFonts w:ascii="Arial" w:cs="Arial" w:eastAsia="Arial" w:hAnsi="Arial"/>
          <w:sz w:val="24"/>
          <w:szCs w:val="24"/>
        </w:rPr>
        <w:t xml:space="preserve">Single-cell transcriptomics (SNCA expression, aggregation-prone gene correlation in DA neurons)</w:t>
      </w:r>
    </w:p>
    <w:p>
      <w:pPr>
        <w:pStyle w:val="ListParagraph"/>
        <w:numPr>
          <w:ilvl w:val="0"/>
          <w:numId w:val="2"/>
        </w:numPr>
        <w:spacing w:after="100" w:line="360"/>
      </w:pPr>
      <w:r>
        <w:rPr>
          <w:rFonts w:ascii="Arial" w:cs="Arial" w:eastAsia="Arial" w:hAnsi="Arial"/>
          <w:sz w:val="24"/>
          <w:szCs w:val="24"/>
        </w:rPr>
        <w:t xml:space="preserve">PD-related pathway databases (KEGG hsa05012, Reactome Parkinson pathway)</w:t>
      </w:r>
    </w:p>
    <w:p>
      <w:pPr>
        <w:pStyle w:val="ListParagraph"/>
        <w:numPr>
          <w:ilvl w:val="0"/>
          <w:numId w:val="2"/>
        </w:numPr>
        <w:spacing w:after="100" w:line="360"/>
      </w:pPr>
      <w:r>
        <w:rPr>
          <w:rFonts w:ascii="Arial" w:cs="Arial" w:eastAsia="Arial" w:hAnsi="Arial"/>
          <w:sz w:val="24"/>
          <w:szCs w:val="24"/>
        </w:rPr>
        <w:t xml:space="preserve">Machine learning classifiers for DA neuron vulnerability scoring (survival/degeneration prediction)</w:t>
      </w:r>
    </w:p>
    <w:p>
      <w:pPr>
        <w:pStyle w:val="ListParagraph"/>
        <w:numPr>
          <w:ilvl w:val="0"/>
          <w:numId w:val="2"/>
        </w:numPr>
        <w:spacing w:after="100" w:line="360"/>
      </w:pPr>
      <w:r>
        <w:rPr>
          <w:rFonts w:ascii="Arial" w:cs="Arial" w:eastAsia="Arial" w:hAnsi="Arial"/>
          <w:sz w:val="24"/>
          <w:szCs w:val="24"/>
        </w:rPr>
        <w:t xml:space="preserve">Longitudinal phenotype tracking algorithms (trajectory analysis from healthy to degenerated states)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gene perturbations in the Quiver atlas specifically protect against alpha-synuclein-induced DA neuron degeneration vs non-selective neuroprotection?</w:t>
      </w:r>
    </w:p>
    <w:p>
      <w:pPr>
        <w:pStyle w:val="ListParagraph"/>
        <w:numPr>
          <w:ilvl w:val="0"/>
          <w:numId w:val="2"/>
        </w:numPr>
        <w:spacing w:after="100" w:line="360"/>
      </w:pPr>
      <w:r>
        <w:rPr>
          <w:rFonts w:ascii="Arial" w:cs="Arial" w:eastAsia="Arial" w:hAnsi="Arial"/>
          <w:sz w:val="24"/>
          <w:szCs w:val="24"/>
        </w:rPr>
        <w:t xml:space="preserve">How do known PD genetic risk genes (LRRK2, DJ-1, PINK1, PRKN) alter the timeline and severity of alpha-synuclein aggregation and DA neuron vulnerability in EP profiles?</w:t>
      </w:r>
    </w:p>
    <w:p>
      <w:pPr>
        <w:pStyle w:val="ListParagraph"/>
        <w:numPr>
          <w:ilvl w:val="0"/>
          <w:numId w:val="2"/>
        </w:numPr>
        <w:spacing w:after="100" w:line="360"/>
      </w:pPr>
      <w:r>
        <w:rPr>
          <w:rFonts w:ascii="Arial" w:cs="Arial" w:eastAsia="Arial" w:hAnsi="Arial"/>
          <w:sz w:val="24"/>
          <w:szCs w:val="24"/>
        </w:rPr>
        <w:t xml:space="preserve">Identify the 40 genes whose perturbation extends dopaminergic neuron survival in synucleinopathy models (disease-modifying neuroprotection signature).</w:t>
      </w:r>
    </w:p>
    <w:p>
      <w:pPr>
        <w:pStyle w:val="ListParagraph"/>
        <w:numPr>
          <w:ilvl w:val="0"/>
          <w:numId w:val="2"/>
        </w:numPr>
        <w:spacing w:after="100" w:line="360"/>
      </w:pPr>
      <w:r>
        <w:rPr>
          <w:rFonts w:ascii="Arial" w:cs="Arial" w:eastAsia="Arial" w:hAnsi="Arial"/>
          <w:sz w:val="24"/>
          <w:szCs w:val="24"/>
        </w:rPr>
        <w:t xml:space="preserve">What is the trajectory of EP phenotype changes from pre-aggregation to aggregation states: which features deteriorate first, most rapidly, or most severely?</w:t>
      </w:r>
    </w:p>
    <w:p>
      <w:pPr>
        <w:pStyle w:val="ListParagraph"/>
        <w:numPr>
          <w:ilvl w:val="0"/>
          <w:numId w:val="2"/>
        </w:numPr>
        <w:spacing w:after="100" w:line="360"/>
      </w:pPr>
      <w:r>
        <w:rPr>
          <w:rFonts w:ascii="Arial" w:cs="Arial" w:eastAsia="Arial" w:hAnsi="Arial"/>
          <w:sz w:val="24"/>
          <w:szCs w:val="24"/>
        </w:rPr>
        <w:t xml:space="preserve">How do oxidative stress, mitochondrial dysfunction, and autophagy deficiency signatures cluster with alpha-synuclein aggregation in DA neuron vulnerability scoring?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80 genes whose perturbation provides DA neuron-specific neuroprotection (disease-modifying signature)</w:t>
      </w:r>
    </w:p>
    <w:p>
      <w:pPr>
        <w:pStyle w:val="ListParagraph"/>
        <w:numPr>
          <w:ilvl w:val="0"/>
          <w:numId w:val="2"/>
        </w:numPr>
        <w:spacing w:after="100" w:line="360"/>
      </w:pPr>
      <w:r>
        <w:rPr>
          <w:rFonts w:ascii="Arial" w:cs="Arial" w:eastAsia="Arial" w:hAnsi="Arial"/>
          <w:sz w:val="24"/>
          <w:szCs w:val="24"/>
        </w:rPr>
        <w:t xml:space="preserve">Validated alpha-synuclein aggregation phenotype signatures (aggregation kinetics, toxicity timeline, cell death dynamics)</w:t>
      </w:r>
    </w:p>
    <w:p>
      <w:pPr>
        <w:pStyle w:val="ListParagraph"/>
        <w:numPr>
          <w:ilvl w:val="0"/>
          <w:numId w:val="2"/>
        </w:numPr>
        <w:spacing w:after="100" w:line="360"/>
      </w:pPr>
      <w:r>
        <w:rPr>
          <w:rFonts w:ascii="Arial" w:cs="Arial" w:eastAsia="Arial" w:hAnsi="Arial"/>
          <w:sz w:val="24"/>
          <w:szCs w:val="24"/>
        </w:rPr>
        <w:t xml:space="preserve">Dopaminergic neuron vulnerability scoring system (combining genetic risk, mitochondrial health, oxidative stress, aggregation susceptibility)</w:t>
      </w:r>
    </w:p>
    <w:p>
      <w:pPr>
        <w:pStyle w:val="ListParagraph"/>
        <w:numPr>
          <w:ilvl w:val="0"/>
          <w:numId w:val="2"/>
        </w:numPr>
        <w:spacing w:after="100" w:line="360"/>
      </w:pPr>
      <w:r>
        <w:rPr>
          <w:rFonts w:ascii="Arial" w:cs="Arial" w:eastAsia="Arial" w:hAnsi="Arial"/>
          <w:sz w:val="24"/>
          <w:szCs w:val="24"/>
        </w:rPr>
        <w:t xml:space="preserve">Longitudinal EP trajectory models predicting DA neuron survival vs degeneration from baseline features</w:t>
      </w:r>
    </w:p>
    <w:p>
      <w:pPr>
        <w:pStyle w:val="ListParagraph"/>
        <w:numPr>
          <w:ilvl w:val="0"/>
          <w:numId w:val="2"/>
        </w:numPr>
        <w:spacing w:after="100" w:line="360"/>
      </w:pPr>
      <w:r>
        <w:rPr>
          <w:rFonts w:ascii="Arial" w:cs="Arial" w:eastAsia="Arial" w:hAnsi="Arial"/>
          <w:sz w:val="24"/>
          <w:szCs w:val="24"/>
        </w:rPr>
        <w:t xml:space="preserve">Clustered gene groups by mechanism (mitochondrial protection, autophagy enhancement, protein quality control, anti-oxidant defense, anti-inflammatory signaling)</w:t>
      </w:r>
    </w:p>
    <w:p>
      <w:pPr>
        <w:pStyle w:val="ListParagraph"/>
        <w:numPr>
          <w:ilvl w:val="0"/>
          <w:numId w:val="2"/>
        </w:numPr>
        <w:spacing w:after="100" w:line="360"/>
      </w:pPr>
      <w:r>
        <w:rPr>
          <w:rFonts w:ascii="Arial" w:cs="Arial" w:eastAsia="Arial" w:hAnsi="Arial"/>
          <w:sz w:val="24"/>
          <w:szCs w:val="24"/>
        </w:rPr>
        <w:t xml:space="preserve">DA neuron-specific vs pan-neuronal protection profiles (selectivity assessment)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JSON/CSV with gene names, neuroprotection scores, pathway annotations, and longitudinal trajectory parameters</w:t>
      </w:r>
    </w:p>
    <w:p>
      <w:pPr>
        <w:pStyle w:val="Heading2"/>
        <w:spacing w:after="200" w:before="200"/>
      </w:pPr>
      <w:r>
        <w:rPr>
          <w:rFonts w:ascii="Arial" w:cs="Arial" w:eastAsia="Arial" w:hAnsi="Arial"/>
          <w:b/>
          <w:bCs/>
          <w:sz w:val="28"/>
          <w:szCs w:val="28"/>
        </w:rPr>
        <w:t xml:space="preserve">Stage 2: Dopamine Replacement vs Dopaminergic Resilience Compound Screening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Quiver compound library to differentiate dopamine agonists/replacement therapies (symptomatic) from compounds promoting DA neuron survival and functionality (disease-modifying).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Quiver EP Compound Library (3,500+ compounds, 500+ features including DA pathway-related phenotypes)</w:t>
      </w:r>
    </w:p>
    <w:p>
      <w:pPr>
        <w:pStyle w:val="ListParagraph"/>
        <w:numPr>
          <w:ilvl w:val="0"/>
          <w:numId w:val="2"/>
        </w:numPr>
        <w:spacing w:after="100" w:line="360"/>
      </w:pPr>
      <w:r>
        <w:rPr>
          <w:rFonts w:ascii="Arial" w:cs="Arial" w:eastAsia="Arial" w:hAnsi="Arial"/>
          <w:sz w:val="24"/>
          <w:szCs w:val="24"/>
        </w:rPr>
        <w:t xml:space="preserve">Established DA neuroprotection signature from Stage 1 (80-gene candidate set)</w:t>
      </w:r>
    </w:p>
    <w:p>
      <w:pPr>
        <w:pStyle w:val="ListParagraph"/>
        <w:numPr>
          <w:ilvl w:val="0"/>
          <w:numId w:val="2"/>
        </w:numPr>
        <w:spacing w:after="100" w:line="360"/>
      </w:pPr>
      <w:r>
        <w:rPr>
          <w:rFonts w:ascii="Arial" w:cs="Arial" w:eastAsia="Arial" w:hAnsi="Arial"/>
          <w:sz w:val="24"/>
          <w:szCs w:val="24"/>
        </w:rPr>
        <w:t xml:space="preserve">Published dopaminergic compounds (L-DOPA, DA agonists, MAO inhibitors, COMT inhibitors)</w:t>
      </w:r>
    </w:p>
    <w:p>
      <w:pPr>
        <w:pStyle w:val="ListParagraph"/>
        <w:numPr>
          <w:ilvl w:val="0"/>
          <w:numId w:val="2"/>
        </w:numPr>
        <w:spacing w:after="100" w:line="360"/>
      </w:pPr>
      <w:r>
        <w:rPr>
          <w:rFonts w:ascii="Arial" w:cs="Arial" w:eastAsia="Arial" w:hAnsi="Arial"/>
          <w:sz w:val="24"/>
          <w:szCs w:val="24"/>
        </w:rPr>
        <w:t xml:space="preserve">Mechanistic distinction signatures: dopamine signaling (D1/D2 agonism, reuptake inhibition) vs DA neuron survival/resilience (GDNF-like, mitochondrial protection, LRRK2 inhibition)</w:t>
      </w:r>
    </w:p>
    <w:p>
      <w:pPr>
        <w:pStyle w:val="ListParagraph"/>
        <w:numPr>
          <w:ilvl w:val="0"/>
          <w:numId w:val="2"/>
        </w:numPr>
        <w:spacing w:after="100" w:line="360"/>
      </w:pPr>
      <w:r>
        <w:rPr>
          <w:rFonts w:ascii="Arial" w:cs="Arial" w:eastAsia="Arial" w:hAnsi="Arial"/>
          <w:sz w:val="24"/>
          <w:szCs w:val="24"/>
        </w:rPr>
        <w:t xml:space="preserve">Compound databases stratified by proposed mechanism (symptomatic vs disease-modifying)</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EP Compound Profiling Platform (dopamine pathway and neuroprotection phenotype screening)</w:t>
      </w:r>
    </w:p>
    <w:p>
      <w:pPr>
        <w:pStyle w:val="ListParagraph"/>
        <w:numPr>
          <w:ilvl w:val="0"/>
          <w:numId w:val="2"/>
        </w:numPr>
        <w:spacing w:after="100" w:line="360"/>
      </w:pPr>
      <w:r>
        <w:rPr>
          <w:rFonts w:ascii="Arial" w:cs="Arial" w:eastAsia="Arial" w:hAnsi="Arial"/>
          <w:sz w:val="24"/>
          <w:szCs w:val="24"/>
        </w:rPr>
        <w:t xml:space="preserve">REVERSE plugin for dual signature matching (symptomatic vs disease-modifying phenotypes simultaneously)</w:t>
      </w:r>
    </w:p>
    <w:p>
      <w:pPr>
        <w:pStyle w:val="ListParagraph"/>
        <w:numPr>
          <w:ilvl w:val="0"/>
          <w:numId w:val="2"/>
        </w:numPr>
        <w:spacing w:after="100" w:line="360"/>
      </w:pPr>
      <w:r>
        <w:rPr>
          <w:rFonts w:ascii="Arial" w:cs="Arial" w:eastAsia="Arial" w:hAnsi="Arial"/>
          <w:sz w:val="24"/>
          <w:szCs w:val="24"/>
        </w:rPr>
        <w:t xml:space="preserve">Dopamine pathway target database (D1/D2 receptors, DAT reuptake transporter, MAO-B, COMT, TH)</w:t>
      </w:r>
    </w:p>
    <w:p>
      <w:pPr>
        <w:pStyle w:val="ListParagraph"/>
        <w:numPr>
          <w:ilvl w:val="0"/>
          <w:numId w:val="2"/>
        </w:numPr>
        <w:spacing w:after="100" w:line="360"/>
      </w:pPr>
      <w:r>
        <w:rPr>
          <w:rFonts w:ascii="Arial" w:cs="Arial" w:eastAsia="Arial" w:hAnsi="Arial"/>
          <w:sz w:val="24"/>
          <w:szCs w:val="24"/>
        </w:rPr>
        <w:t xml:space="preserve">Neuroprotection mechanism libraries (GDNF pathway, mitochondrial complex genes, LRRK2/DJ-1 pathways, autophagy enhancers)</w:t>
      </w:r>
    </w:p>
    <w:p>
      <w:pPr>
        <w:pStyle w:val="ListParagraph"/>
        <w:numPr>
          <w:ilvl w:val="0"/>
          <w:numId w:val="2"/>
        </w:numPr>
        <w:spacing w:after="100" w:line="360"/>
      </w:pPr>
      <w:r>
        <w:rPr>
          <w:rFonts w:ascii="Arial" w:cs="Arial" w:eastAsia="Arial" w:hAnsi="Arial"/>
          <w:sz w:val="24"/>
          <w:szCs w:val="24"/>
        </w:rPr>
        <w:t xml:space="preserve">Machine learning classifiers trained to predict symptomatic (immediate dopamine effect) vs disease-modifying (neuroprotective/survival-promoting) compounds</w:t>
      </w:r>
    </w:p>
    <w:p>
      <w:pPr>
        <w:pStyle w:val="ListParagraph"/>
        <w:numPr>
          <w:ilvl w:val="0"/>
          <w:numId w:val="2"/>
        </w:numPr>
        <w:spacing w:after="100" w:line="360"/>
      </w:pPr>
      <w:r>
        <w:rPr>
          <w:rFonts w:ascii="Arial" w:cs="Arial" w:eastAsia="Arial" w:hAnsi="Arial"/>
          <w:sz w:val="24"/>
          <w:szCs w:val="24"/>
        </w:rPr>
        <w:t xml:space="preserve">Temporal pharmacology modeling (acute DA effect vs chronic survival benefit)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compounds in Quiver library produce strong dopamine pathway activation (symptomatic phenotype) vs minimal dopamine effect but maximal DA neuroprotection?</w:t>
      </w:r>
    </w:p>
    <w:p>
      <w:pPr>
        <w:pStyle w:val="ListParagraph"/>
        <w:numPr>
          <w:ilvl w:val="0"/>
          <w:numId w:val="2"/>
        </w:numPr>
        <w:spacing w:after="100" w:line="360"/>
      </w:pPr>
      <w:r>
        <w:rPr>
          <w:rFonts w:ascii="Arial" w:cs="Arial" w:eastAsia="Arial" w:hAnsi="Arial"/>
          <w:sz w:val="24"/>
          <w:szCs w:val="24"/>
        </w:rPr>
        <w:t xml:space="preserve">How do classical Parkinson's drugs (L-DOPA, bromocriptine, ropinirole, pramipexole) rank in their apparent symptomatic vs disease-modifying EP signatures?</w:t>
      </w:r>
    </w:p>
    <w:p>
      <w:pPr>
        <w:pStyle w:val="ListParagraph"/>
        <w:numPr>
          <w:ilvl w:val="0"/>
          <w:numId w:val="2"/>
        </w:numPr>
        <w:spacing w:after="100" w:line="360"/>
      </w:pPr>
      <w:r>
        <w:rPr>
          <w:rFonts w:ascii="Arial" w:cs="Arial" w:eastAsia="Arial" w:hAnsi="Arial"/>
          <w:sz w:val="24"/>
          <w:szCs w:val="24"/>
        </w:rPr>
        <w:t xml:space="preserve">Identify novel compounds that mimic GDNF/BDNF-like neuroprotective phenotypes without direct dopamine agonism (true disease-modifying candidates).</w:t>
      </w:r>
    </w:p>
    <w:p>
      <w:pPr>
        <w:pStyle w:val="ListParagraph"/>
        <w:numPr>
          <w:ilvl w:val="0"/>
          <w:numId w:val="2"/>
        </w:numPr>
        <w:spacing w:after="100" w:line="360"/>
      </w:pPr>
      <w:r>
        <w:rPr>
          <w:rFonts w:ascii="Arial" w:cs="Arial" w:eastAsia="Arial" w:hAnsi="Arial"/>
          <w:sz w:val="24"/>
          <w:szCs w:val="24"/>
        </w:rPr>
        <w:t xml:space="preserve">Which compounds show discordance between acute dopamine signaling effect and chronic neuroprotective benefits in long-term Quiver cultures?</w:t>
      </w:r>
    </w:p>
    <w:p>
      <w:pPr>
        <w:pStyle w:val="ListParagraph"/>
        <w:numPr>
          <w:ilvl w:val="0"/>
          <w:numId w:val="2"/>
        </w:numPr>
        <w:spacing w:after="100" w:line="360"/>
      </w:pPr>
      <w:r>
        <w:rPr>
          <w:rFonts w:ascii="Arial" w:cs="Arial" w:eastAsia="Arial" w:hAnsi="Arial"/>
          <w:sz w:val="24"/>
          <w:szCs w:val="24"/>
        </w:rPr>
        <w:t xml:space="preserve">Are there compounds with dual activity: modest dopamine replacement + strong DA neuron survival enhancement (potential disease-modifying + symptom-relieving combination therapies)?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30 purely symptomatic compounds (DA agonists/replacement) with quantified dopamine pathway activation</w:t>
      </w:r>
    </w:p>
    <w:p>
      <w:pPr>
        <w:pStyle w:val="ListParagraph"/>
        <w:numPr>
          <w:ilvl w:val="0"/>
          <w:numId w:val="2"/>
        </w:numPr>
        <w:spacing w:after="100" w:line="360"/>
      </w:pPr>
      <w:r>
        <w:rPr>
          <w:rFonts w:ascii="Arial" w:cs="Arial" w:eastAsia="Arial" w:hAnsi="Arial"/>
          <w:sz w:val="24"/>
          <w:szCs w:val="24"/>
        </w:rPr>
        <w:t xml:space="preserve">Ranked list of 25 disease-modifying candidates (neuroprotective/DA survival-promoting) with minimal symptomatic dopamine effect</w:t>
      </w:r>
    </w:p>
    <w:p>
      <w:pPr>
        <w:pStyle w:val="ListParagraph"/>
        <w:numPr>
          <w:ilvl w:val="0"/>
          <w:numId w:val="2"/>
        </w:numPr>
        <w:spacing w:after="100" w:line="360"/>
      </w:pPr>
      <w:r>
        <w:rPr>
          <w:rFonts w:ascii="Arial" w:cs="Arial" w:eastAsia="Arial" w:hAnsi="Arial"/>
          <w:sz w:val="24"/>
          <w:szCs w:val="24"/>
        </w:rPr>
        <w:t xml:space="preserve">Ranked list of 15 potential dual-activity compounds (symptomatic + disease-modifying properties)</w:t>
      </w:r>
    </w:p>
    <w:p>
      <w:pPr>
        <w:pStyle w:val="ListParagraph"/>
        <w:numPr>
          <w:ilvl w:val="0"/>
          <w:numId w:val="2"/>
        </w:numPr>
        <w:spacing w:after="100" w:line="360"/>
      </w:pPr>
      <w:r>
        <w:rPr>
          <w:rFonts w:ascii="Arial" w:cs="Arial" w:eastAsia="Arial" w:hAnsi="Arial"/>
          <w:sz w:val="24"/>
          <w:szCs w:val="24"/>
        </w:rPr>
        <w:t xml:space="preserve">Mechanism-of-action stratification for all 70 candidates</w:t>
      </w:r>
    </w:p>
    <w:p>
      <w:pPr>
        <w:pStyle w:val="ListParagraph"/>
        <w:numPr>
          <w:ilvl w:val="0"/>
          <w:numId w:val="2"/>
        </w:numPr>
        <w:spacing w:after="100" w:line="360"/>
      </w:pPr>
      <w:r>
        <w:rPr>
          <w:rFonts w:ascii="Arial" w:cs="Arial" w:eastAsia="Arial" w:hAnsi="Arial"/>
          <w:sz w:val="24"/>
          <w:szCs w:val="24"/>
        </w:rPr>
        <w:t xml:space="preserve">Temporal efficacy profiles (acute vs chronic effects) for top candidates</w:t>
      </w:r>
    </w:p>
    <w:p>
      <w:pPr>
        <w:pStyle w:val="ListParagraph"/>
        <w:numPr>
          <w:ilvl w:val="0"/>
          <w:numId w:val="2"/>
        </w:numPr>
        <w:spacing w:after="100" w:line="360"/>
      </w:pPr>
      <w:r>
        <w:rPr>
          <w:rFonts w:ascii="Arial" w:cs="Arial" w:eastAsia="Arial" w:hAnsi="Arial"/>
          <w:sz w:val="24"/>
          <w:szCs w:val="24"/>
        </w:rPr>
        <w:t xml:space="preserve">Symptom relief vs disease progression benefit scoring for comparative ranking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Stratified ranking tables (CSV/JSON) with separate lists for symptomatic, disease-modifying, and dual-activity compounds</w:t>
      </w:r>
    </w:p>
    <w:p>
      <w:pPr>
        <w:pStyle w:val="Heading2"/>
        <w:spacing w:after="200" w:before="200"/>
      </w:pPr>
      <w:r>
        <w:rPr>
          <w:rFonts w:ascii="Arial" w:cs="Arial" w:eastAsia="Arial" w:hAnsi="Arial"/>
          <w:b/>
          <w:bCs/>
          <w:sz w:val="28"/>
          <w:szCs w:val="28"/>
        </w:rPr>
        <w:t xml:space="preserve">Stage 3: Longitudinal EP Phenotype Trajectory Analysis &amp; DM Confidence Scoring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Analyze longitudinal EP phenotype trajectories to quantify disease trajectory slowing (disease-modifying effect) vs static symptom improvement (symptomatic effect), and score confidence in DM potential.</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Full compound dataset from Stage 2 (symptom vs DM-stratified compounds)</w:t>
      </w:r>
    </w:p>
    <w:p>
      <w:pPr>
        <w:pStyle w:val="ListParagraph"/>
        <w:numPr>
          <w:ilvl w:val="0"/>
          <w:numId w:val="2"/>
        </w:numPr>
        <w:spacing w:after="100" w:line="360"/>
      </w:pPr>
      <w:r>
        <w:rPr>
          <w:rFonts w:ascii="Arial" w:cs="Arial" w:eastAsia="Arial" w:hAnsi="Arial"/>
          <w:sz w:val="24"/>
          <w:szCs w:val="24"/>
        </w:rPr>
        <w:t xml:space="preserve">Longitudinal EP datasets: time-course measurements of EP features in alpha-synuclein/PD models (pre-treatment baseline to endpoint)</w:t>
      </w:r>
    </w:p>
    <w:p>
      <w:pPr>
        <w:pStyle w:val="ListParagraph"/>
        <w:numPr>
          <w:ilvl w:val="0"/>
          <w:numId w:val="2"/>
        </w:numPr>
        <w:spacing w:after="100" w:line="360"/>
      </w:pPr>
      <w:r>
        <w:rPr>
          <w:rFonts w:ascii="Arial" w:cs="Arial" w:eastAsia="Arial" w:hAnsi="Arial"/>
          <w:sz w:val="24"/>
          <w:szCs w:val="24"/>
        </w:rPr>
        <w:t xml:space="preserve">Established disease trajectory signatures: rate of EP phenotype deterioration in untreated vs compound-treated groups</w:t>
      </w:r>
    </w:p>
    <w:p>
      <w:pPr>
        <w:pStyle w:val="ListParagraph"/>
        <w:numPr>
          <w:ilvl w:val="0"/>
          <w:numId w:val="2"/>
        </w:numPr>
        <w:spacing w:after="100" w:line="360"/>
      </w:pPr>
      <w:r>
        <w:rPr>
          <w:rFonts w:ascii="Arial" w:cs="Arial" w:eastAsia="Arial" w:hAnsi="Arial"/>
          <w:sz w:val="24"/>
          <w:szCs w:val="24"/>
        </w:rPr>
        <w:t xml:space="preserve">Historical in vivo progression data in transgenic PD models (DA neuron count, behavioral decline kinetics)</w:t>
      </w:r>
    </w:p>
    <w:p>
      <w:pPr>
        <w:pStyle w:val="ListParagraph"/>
        <w:numPr>
          <w:ilvl w:val="0"/>
          <w:numId w:val="2"/>
        </w:numPr>
        <w:spacing w:after="100" w:line="360"/>
      </w:pPr>
      <w:r>
        <w:rPr>
          <w:rFonts w:ascii="Arial" w:cs="Arial" w:eastAsia="Arial" w:hAnsi="Arial"/>
          <w:sz w:val="24"/>
          <w:szCs w:val="24"/>
        </w:rPr>
        <w:t xml:space="preserve">Published biomarkers of disease progression (CSF alpha-synuclein phosphorylation, neurodegeneration imaging, cognitive decline rates)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longitudinal EP analysis pipeline (trajectory fitting, slope estimation, acceleration/deceleration quantification)</w:t>
      </w:r>
    </w:p>
    <w:p>
      <w:pPr>
        <w:pStyle w:val="ListParagraph"/>
        <w:numPr>
          <w:ilvl w:val="0"/>
          <w:numId w:val="2"/>
        </w:numPr>
        <w:spacing w:after="100" w:line="360"/>
      </w:pPr>
      <w:r>
        <w:rPr>
          <w:rFonts w:ascii="Arial" w:cs="Arial" w:eastAsia="Arial" w:hAnsi="Arial"/>
          <w:sz w:val="24"/>
          <w:szCs w:val="24"/>
        </w:rPr>
        <w:t xml:space="preserve">Time-series statistical methods (linear mixed models, survival analysis, Kaplan-Meier curves for DA neuron survival)</w:t>
      </w:r>
    </w:p>
    <w:p>
      <w:pPr>
        <w:pStyle w:val="ListParagraph"/>
        <w:numPr>
          <w:ilvl w:val="0"/>
          <w:numId w:val="2"/>
        </w:numPr>
        <w:spacing w:after="100" w:line="360"/>
      </w:pPr>
      <w:r>
        <w:rPr>
          <w:rFonts w:ascii="Arial" w:cs="Arial" w:eastAsia="Arial" w:hAnsi="Arial"/>
          <w:sz w:val="24"/>
          <w:szCs w:val="24"/>
        </w:rPr>
        <w:t xml:space="preserve">Disease progression modeling (disease trajectory parameterization, treatment effect quantification)</w:t>
      </w:r>
    </w:p>
    <w:p>
      <w:pPr>
        <w:pStyle w:val="ListParagraph"/>
        <w:numPr>
          <w:ilvl w:val="0"/>
          <w:numId w:val="2"/>
        </w:numPr>
        <w:spacing w:after="100" w:line="360"/>
      </w:pPr>
      <w:r>
        <w:rPr>
          <w:rFonts w:ascii="Arial" w:cs="Arial" w:eastAsia="Arial" w:hAnsi="Arial"/>
          <w:sz w:val="24"/>
          <w:szCs w:val="24"/>
        </w:rPr>
        <w:t xml:space="preserve">Bayesian hierarchical modeling for confidence estimation (accounting for inter-replicate variability)</w:t>
      </w:r>
    </w:p>
    <w:p>
      <w:pPr>
        <w:pStyle w:val="ListParagraph"/>
        <w:numPr>
          <w:ilvl w:val="0"/>
          <w:numId w:val="2"/>
        </w:numPr>
        <w:spacing w:after="100" w:line="360"/>
      </w:pPr>
      <w:r>
        <w:rPr>
          <w:rFonts w:ascii="Arial" w:cs="Arial" w:eastAsia="Arial" w:hAnsi="Arial"/>
          <w:sz w:val="24"/>
          <w:szCs w:val="24"/>
        </w:rPr>
        <w:t xml:space="preserve">Translational biomarker mapping (EP trajectory parameters to human disease progression rates)</w:t>
      </w:r>
    </w:p>
    <w:p>
      <w:pPr>
        <w:pStyle w:val="ListParagraph"/>
        <w:numPr>
          <w:ilvl w:val="0"/>
          <w:numId w:val="2"/>
        </w:numPr>
        <w:spacing w:after="100" w:line="360"/>
      </w:pPr>
      <w:r>
        <w:rPr>
          <w:rFonts w:ascii="Arial" w:cs="Arial" w:eastAsia="Arial" w:hAnsi="Arial"/>
          <w:sz w:val="24"/>
          <w:szCs w:val="24"/>
        </w:rPr>
        <w:t xml:space="preserve">Machine learning outcome prediction (probability of clinical success based on EP trajectory features)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symptomatic compound, what is the magnitude and duration of symptom improvement in the EP features, and how rapidly does decline resume post-treatment?</w:t>
      </w:r>
    </w:p>
    <w:p>
      <w:pPr>
        <w:pStyle w:val="ListParagraph"/>
        <w:numPr>
          <w:ilvl w:val="0"/>
          <w:numId w:val="2"/>
        </w:numPr>
        <w:spacing w:after="100" w:line="360"/>
      </w:pPr>
      <w:r>
        <w:rPr>
          <w:rFonts w:ascii="Arial" w:cs="Arial" w:eastAsia="Arial" w:hAnsi="Arial"/>
          <w:sz w:val="24"/>
          <w:szCs w:val="24"/>
        </w:rPr>
        <w:t xml:space="preserve">For each candidate disease-modifying compound, what is the quantified slowing of disease trajectory? (e.g., 30% slowing, 50% slowing vs untreated progression)</w:t>
      </w:r>
    </w:p>
    <w:p>
      <w:pPr>
        <w:pStyle w:val="ListParagraph"/>
        <w:numPr>
          <w:ilvl w:val="0"/>
          <w:numId w:val="2"/>
        </w:numPr>
        <w:spacing w:after="100" w:line="360"/>
      </w:pPr>
      <w:r>
        <w:rPr>
          <w:rFonts w:ascii="Arial" w:cs="Arial" w:eastAsia="Arial" w:hAnsi="Arial"/>
          <w:sz w:val="24"/>
          <w:szCs w:val="24"/>
        </w:rPr>
        <w:t xml:space="preserve">Which compounds show statistically significant slowing of DA neuron degeneration in longitudinal EP recordings, and what is the effect size relative to known neuroprotective therapies?</w:t>
      </w:r>
    </w:p>
    <w:p>
      <w:pPr>
        <w:pStyle w:val="ListParagraph"/>
        <w:numPr>
          <w:ilvl w:val="0"/>
          <w:numId w:val="2"/>
        </w:numPr>
        <w:spacing w:after="100" w:line="360"/>
      </w:pPr>
      <w:r>
        <w:rPr>
          <w:rFonts w:ascii="Arial" w:cs="Arial" w:eastAsia="Arial" w:hAnsi="Arial"/>
          <w:sz w:val="24"/>
          <w:szCs w:val="24"/>
        </w:rPr>
        <w:t xml:space="preserve">Can the EP-observed disease trajectory slowing be predicted to translate to clinically meaningful delay in symptom onset or functional decline in humans?</w:t>
      </w:r>
    </w:p>
    <w:p>
      <w:pPr>
        <w:pStyle w:val="ListParagraph"/>
        <w:numPr>
          <w:ilvl w:val="0"/>
          <w:numId w:val="2"/>
        </w:numPr>
        <w:spacing w:after="100" w:line="360"/>
      </w:pPr>
      <w:r>
        <w:rPr>
          <w:rFonts w:ascii="Arial" w:cs="Arial" w:eastAsia="Arial" w:hAnsi="Arial"/>
          <w:sz w:val="24"/>
          <w:szCs w:val="24"/>
        </w:rPr>
        <w:t xml:space="preserve">Which combination of baseline EP features predicts maximal likelihood of true disease-modifying benefit from a given compound?</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Quantified disease trajectory slopes for untreated control vs symptomatic vs disease-modifying compound-treated groups</w:t>
      </w:r>
    </w:p>
    <w:p>
      <w:pPr>
        <w:pStyle w:val="ListParagraph"/>
        <w:numPr>
          <w:ilvl w:val="0"/>
          <w:numId w:val="2"/>
        </w:numPr>
        <w:spacing w:after="100" w:line="360"/>
      </w:pPr>
      <w:r>
        <w:rPr>
          <w:rFonts w:ascii="Arial" w:cs="Arial" w:eastAsia="Arial" w:hAnsi="Arial"/>
          <w:sz w:val="24"/>
          <w:szCs w:val="24"/>
        </w:rPr>
        <w:t xml:space="preserve">Confidence scores for disease-modifying potential of each candidate (probability of true neuroprotection vs apparent benefit)</w:t>
      </w:r>
    </w:p>
    <w:p>
      <w:pPr>
        <w:pStyle w:val="ListParagraph"/>
        <w:numPr>
          <w:ilvl w:val="0"/>
          <w:numId w:val="2"/>
        </w:numPr>
        <w:spacing w:after="100" w:line="360"/>
      </w:pPr>
      <w:r>
        <w:rPr>
          <w:rFonts w:ascii="Arial" w:cs="Arial" w:eastAsia="Arial" w:hAnsi="Arial"/>
          <w:sz w:val="24"/>
          <w:szCs w:val="24"/>
        </w:rPr>
        <w:t xml:space="preserve">Estimated clinical translation of EP trajectory slowing (predicted delay in symptom onset, functional decline rate reduction)</w:t>
      </w:r>
    </w:p>
    <w:p>
      <w:pPr>
        <w:pStyle w:val="ListParagraph"/>
        <w:numPr>
          <w:ilvl w:val="0"/>
          <w:numId w:val="2"/>
        </w:numPr>
        <w:spacing w:after="100" w:line="360"/>
      </w:pPr>
      <w:r>
        <w:rPr>
          <w:rFonts w:ascii="Arial" w:cs="Arial" w:eastAsia="Arial" w:hAnsi="Arial"/>
          <w:sz w:val="24"/>
          <w:szCs w:val="24"/>
        </w:rPr>
        <w:t xml:space="preserve">Comparative efficacy matrix: symptomatic duration/magnitude vs disease-modifying trajectory impact</w:t>
      </w:r>
    </w:p>
    <w:p>
      <w:pPr>
        <w:pStyle w:val="ListParagraph"/>
        <w:numPr>
          <w:ilvl w:val="0"/>
          <w:numId w:val="2"/>
        </w:numPr>
        <w:spacing w:after="100" w:line="360"/>
      </w:pPr>
      <w:r>
        <w:rPr>
          <w:rFonts w:ascii="Arial" w:cs="Arial" w:eastAsia="Arial" w:hAnsi="Arial"/>
          <w:sz w:val="24"/>
          <w:szCs w:val="24"/>
        </w:rPr>
        <w:t xml:space="preserve">Recommended dosing and treatment duration for maximizing disease-modifying vs symptomatic benefits</w:t>
      </w:r>
    </w:p>
    <w:p>
      <w:pPr>
        <w:pStyle w:val="ListParagraph"/>
        <w:numPr>
          <w:ilvl w:val="0"/>
          <w:numId w:val="2"/>
        </w:numPr>
        <w:spacing w:after="100" w:line="360"/>
      </w:pPr>
      <w:r>
        <w:rPr>
          <w:rFonts w:ascii="Arial" w:cs="Arial" w:eastAsia="Arial" w:hAnsi="Arial"/>
          <w:sz w:val="24"/>
          <w:szCs w:val="24"/>
        </w:rPr>
        <w:t xml:space="preserve">Regulatory qualification pathway for EP trajectory metrics as biomarkers of disease-modifying effect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Detailed trajectory analysis report (CSV/JSON/PDF) with statistical comparisons, confidence scoring, and translational estimates</w:t>
      </w:r>
    </w:p>
    <w:p>
      <w:pPr>
        <w:pStyle w:val="Heading2"/>
        <w:spacing w:after="200" w:before="200"/>
      </w:pPr>
      <w:r>
        <w:rPr>
          <w:rFonts w:ascii="Arial" w:cs="Arial" w:eastAsia="Arial" w:hAnsi="Arial"/>
          <w:b/>
          <w:bCs/>
          <w:sz w:val="28"/>
          <w:szCs w:val="28"/>
        </w:rPr>
        <w:t xml:space="preserve">Stage 4: Mechanistic Validation: CRISPR Target Confirmation &amp; Polypharmacology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proposed mechanisms through CRISPR perturbations of putative targets, assess synergistic combinations targeting multiple DM pathways, and optimize mechanistic selectivity.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25 disease-modifying and 15 dual-activity candidates from Stage 2 (mechanisms and trajectories from Stage 3)</w:t>
      </w:r>
    </w:p>
    <w:p>
      <w:pPr>
        <w:pStyle w:val="ListParagraph"/>
        <w:numPr>
          <w:ilvl w:val="0"/>
          <w:numId w:val="2"/>
        </w:numPr>
        <w:spacing w:after="100" w:line="360"/>
      </w:pPr>
      <w:r>
        <w:rPr>
          <w:rFonts w:ascii="Arial" w:cs="Arial" w:eastAsia="Arial" w:hAnsi="Arial"/>
          <w:sz w:val="24"/>
          <w:szCs w:val="24"/>
        </w:rPr>
        <w:t xml:space="preserve">Quiver CRISPR knockouts/knockdowns of putative compound targets (LRRK2, DJ-1, PINK1, PRKN, ATP13A2, GDNF pathway components, mitochondrial genes)</w:t>
      </w:r>
    </w:p>
    <w:p>
      <w:pPr>
        <w:pStyle w:val="ListParagraph"/>
        <w:numPr>
          <w:ilvl w:val="0"/>
          <w:numId w:val="2"/>
        </w:numPr>
        <w:spacing w:after="100" w:line="360"/>
      </w:pPr>
      <w:r>
        <w:rPr>
          <w:rFonts w:ascii="Arial" w:cs="Arial" w:eastAsia="Arial" w:hAnsi="Arial"/>
          <w:sz w:val="24"/>
          <w:szCs w:val="24"/>
        </w:rPr>
        <w:t xml:space="preserve">Published target engagement assays (kinase selectivity panels, binding assays) for compounds in Quiver library</w:t>
      </w:r>
    </w:p>
    <w:p>
      <w:pPr>
        <w:pStyle w:val="ListParagraph"/>
        <w:numPr>
          <w:ilvl w:val="0"/>
          <w:numId w:val="2"/>
        </w:numPr>
        <w:spacing w:after="100" w:line="360"/>
      </w:pPr>
      <w:r>
        <w:rPr>
          <w:rFonts w:ascii="Arial" w:cs="Arial" w:eastAsia="Arial" w:hAnsi="Arial"/>
          <w:sz w:val="24"/>
          <w:szCs w:val="24"/>
        </w:rPr>
        <w:t xml:space="preserve">Synergy datasets and combination benefit predictions for disease-modifying pathway targets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Target validation by CRISPR phenotypic matching (does genetic target perturbation phenocopy compound effect?)</w:t>
      </w:r>
    </w:p>
    <w:p>
      <w:pPr>
        <w:pStyle w:val="ListParagraph"/>
        <w:numPr>
          <w:ilvl w:val="0"/>
          <w:numId w:val="2"/>
        </w:numPr>
        <w:spacing w:after="100" w:line="360"/>
      </w:pPr>
      <w:r>
        <w:rPr>
          <w:rFonts w:ascii="Arial" w:cs="Arial" w:eastAsia="Arial" w:hAnsi="Arial"/>
          <w:sz w:val="24"/>
          <w:szCs w:val="24"/>
        </w:rPr>
        <w:t xml:space="preserve">Kinase selectivity database (DiscoverX, HMS LINCS) for mechanism confirmation</w:t>
      </w:r>
    </w:p>
    <w:p>
      <w:pPr>
        <w:pStyle w:val="ListParagraph"/>
        <w:numPr>
          <w:ilvl w:val="0"/>
          <w:numId w:val="2"/>
        </w:numPr>
        <w:spacing w:after="100" w:line="360"/>
      </w:pPr>
      <w:r>
        <w:rPr>
          <w:rFonts w:ascii="Arial" w:cs="Arial" w:eastAsia="Arial" w:hAnsi="Arial"/>
          <w:sz w:val="24"/>
          <w:szCs w:val="24"/>
        </w:rPr>
        <w:t xml:space="preserve">Synergy assessment tools (Combenefit, mathematical synergy models)</w:t>
      </w:r>
    </w:p>
    <w:p>
      <w:pPr>
        <w:pStyle w:val="ListParagraph"/>
        <w:numPr>
          <w:ilvl w:val="0"/>
          <w:numId w:val="2"/>
        </w:numPr>
        <w:spacing w:after="100" w:line="360"/>
      </w:pPr>
      <w:r>
        <w:rPr>
          <w:rFonts w:ascii="Arial" w:cs="Arial" w:eastAsia="Arial" w:hAnsi="Arial"/>
          <w:sz w:val="24"/>
          <w:szCs w:val="24"/>
        </w:rPr>
        <w:t xml:space="preserve">Multi-target pathway analysis (how many DM pathways does each compound simultaneously engage?)</w:t>
      </w:r>
    </w:p>
    <w:p>
      <w:pPr>
        <w:pStyle w:val="ListParagraph"/>
        <w:numPr>
          <w:ilvl w:val="0"/>
          <w:numId w:val="2"/>
        </w:numPr>
        <w:spacing w:after="100" w:line="360"/>
      </w:pPr>
      <w:r>
        <w:rPr>
          <w:rFonts w:ascii="Arial" w:cs="Arial" w:eastAsia="Arial" w:hAnsi="Arial"/>
          <w:sz w:val="24"/>
          <w:szCs w:val="24"/>
        </w:rPr>
        <w:t xml:space="preserve">Off-target liability prediction (selectivity for PD-relevant targets vs pan-kinase inhibition)</w:t>
      </w:r>
    </w:p>
    <w:p>
      <w:pPr>
        <w:pStyle w:val="ListParagraph"/>
        <w:numPr>
          <w:ilvl w:val="0"/>
          <w:numId w:val="2"/>
        </w:numPr>
        <w:spacing w:after="100" w:line="360"/>
      </w:pPr>
      <w:r>
        <w:rPr>
          <w:rFonts w:ascii="Arial" w:cs="Arial" w:eastAsia="Arial" w:hAnsi="Arial"/>
          <w:sz w:val="24"/>
          <w:szCs w:val="24"/>
        </w:rPr>
        <w:t xml:space="preserve">Combination optimization algorithms (identify best two-drug/three-drug DM combinations)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top disease-modifying candidate, do Quiver CRISPR perturbations of proposed targets produce phenotypes matching the compound effect?</w:t>
      </w:r>
    </w:p>
    <w:p>
      <w:pPr>
        <w:pStyle w:val="ListParagraph"/>
        <w:numPr>
          <w:ilvl w:val="0"/>
          <w:numId w:val="2"/>
        </w:numPr>
        <w:spacing w:after="100" w:line="360"/>
      </w:pPr>
      <w:r>
        <w:rPr>
          <w:rFonts w:ascii="Arial" w:cs="Arial" w:eastAsia="Arial" w:hAnsi="Arial"/>
          <w:sz w:val="24"/>
          <w:szCs w:val="24"/>
        </w:rPr>
        <w:t xml:space="preserve">Which compounds show highest selectivity for DA neuron neuroprotection vs non-selective mitochondrial/autophagy enhancement?</w:t>
      </w:r>
    </w:p>
    <w:p>
      <w:pPr>
        <w:pStyle w:val="ListParagraph"/>
        <w:numPr>
          <w:ilvl w:val="0"/>
          <w:numId w:val="2"/>
        </w:numPr>
        <w:spacing w:after="100" w:line="360"/>
      </w:pPr>
      <w:r>
        <w:rPr>
          <w:rFonts w:ascii="Arial" w:cs="Arial" w:eastAsia="Arial" w:hAnsi="Arial"/>
          <w:sz w:val="24"/>
          <w:szCs w:val="24"/>
        </w:rPr>
        <w:t xml:space="preserve">Identify the top 5 two-drug combinations of disease-modifying compounds targeting complementary pathways (e.g., LRRK2 inhibitor + DJ-1 enhancer).</w:t>
      </w:r>
    </w:p>
    <w:p>
      <w:pPr>
        <w:pStyle w:val="ListParagraph"/>
        <w:numPr>
          <w:ilvl w:val="0"/>
          <w:numId w:val="2"/>
        </w:numPr>
        <w:spacing w:after="100" w:line="360"/>
      </w:pPr>
      <w:r>
        <w:rPr>
          <w:rFonts w:ascii="Arial" w:cs="Arial" w:eastAsia="Arial" w:hAnsi="Arial"/>
          <w:sz w:val="24"/>
          <w:szCs w:val="24"/>
        </w:rPr>
        <w:t xml:space="preserve">How do polypharmacology profiles (multi-target engagement) of disease-modifying compounds correlate with breadth of EP trajectory benefit?</w:t>
      </w:r>
    </w:p>
    <w:p>
      <w:pPr>
        <w:pStyle w:val="ListParagraph"/>
        <w:numPr>
          <w:ilvl w:val="0"/>
          <w:numId w:val="2"/>
        </w:numPr>
        <w:spacing w:after="100" w:line="360"/>
      </w:pPr>
      <w:r>
        <w:rPr>
          <w:rFonts w:ascii="Arial" w:cs="Arial" w:eastAsia="Arial" w:hAnsi="Arial"/>
          <w:sz w:val="24"/>
          <w:szCs w:val="24"/>
        </w:rPr>
        <w:t xml:space="preserve">Are there compounds that engage multiple DM pathways (mitochondrial, autophagy, LRRK2, DJ-1, PINK1/PRKN, GDNF) simultaneously via polypharmacology?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Mechanism validation matrix (CRISPR target confirmation for each compound)</w:t>
      </w:r>
    </w:p>
    <w:p>
      <w:pPr>
        <w:pStyle w:val="ListParagraph"/>
        <w:numPr>
          <w:ilvl w:val="0"/>
          <w:numId w:val="2"/>
        </w:numPr>
        <w:spacing w:after="100" w:line="360"/>
      </w:pPr>
      <w:r>
        <w:rPr>
          <w:rFonts w:ascii="Arial" w:cs="Arial" w:eastAsia="Arial" w:hAnsi="Arial"/>
          <w:sz w:val="24"/>
          <w:szCs w:val="24"/>
        </w:rPr>
        <w:t xml:space="preserve">Selectivity assessment (DA neuron-specific neuroprotection vs pan-neuronal or non-specific effects)</w:t>
      </w:r>
    </w:p>
    <w:p>
      <w:pPr>
        <w:pStyle w:val="ListParagraph"/>
        <w:numPr>
          <w:ilvl w:val="0"/>
          <w:numId w:val="2"/>
        </w:numPr>
        <w:spacing w:after="100" w:line="360"/>
      </w:pPr>
      <w:r>
        <w:rPr>
          <w:rFonts w:ascii="Arial" w:cs="Arial" w:eastAsia="Arial" w:hAnsi="Arial"/>
          <w:sz w:val="24"/>
          <w:szCs w:val="24"/>
        </w:rPr>
        <w:t xml:space="preserve">Ranked list of top 5 two-drug and top 3 three-drug disease-modifying combinations</w:t>
      </w:r>
    </w:p>
    <w:p>
      <w:pPr>
        <w:pStyle w:val="ListParagraph"/>
        <w:numPr>
          <w:ilvl w:val="0"/>
          <w:numId w:val="2"/>
        </w:numPr>
        <w:spacing w:after="100" w:line="360"/>
      </w:pPr>
      <w:r>
        <w:rPr>
          <w:rFonts w:ascii="Arial" w:cs="Arial" w:eastAsia="Arial" w:hAnsi="Arial"/>
          <w:sz w:val="24"/>
          <w:szCs w:val="24"/>
        </w:rPr>
        <w:t xml:space="preserve">Synergy scores (Bliss/Loewe) for recommended combinations with anticipated combined trajectory-slowing benefits</w:t>
      </w:r>
    </w:p>
    <w:p>
      <w:pPr>
        <w:pStyle w:val="ListParagraph"/>
        <w:numPr>
          <w:ilvl w:val="0"/>
          <w:numId w:val="2"/>
        </w:numPr>
        <w:spacing w:after="100" w:line="360"/>
      </w:pPr>
      <w:r>
        <w:rPr>
          <w:rFonts w:ascii="Arial" w:cs="Arial" w:eastAsia="Arial" w:hAnsi="Arial"/>
          <w:sz w:val="24"/>
          <w:szCs w:val="24"/>
        </w:rPr>
        <w:t xml:space="preserve">Polypharmacology profiles identifying compounds with multi-pathway engagement</w:t>
      </w:r>
    </w:p>
    <w:p>
      <w:pPr>
        <w:pStyle w:val="ListParagraph"/>
        <w:numPr>
          <w:ilvl w:val="0"/>
          <w:numId w:val="2"/>
        </w:numPr>
        <w:spacing w:after="100" w:line="360"/>
      </w:pPr>
      <w:r>
        <w:rPr>
          <w:rFonts w:ascii="Arial" w:cs="Arial" w:eastAsia="Arial" w:hAnsi="Arial"/>
          <w:sz w:val="24"/>
          <w:szCs w:val="24"/>
        </w:rPr>
        <w:t xml:space="preserve">Off-target liability assessment and mechanism selectivity confidence scores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Comprehensive validation report (CSV/JSON) with mechanism matrices, synergy scoring, and combination recommendations</w:t>
      </w:r>
    </w:p>
    <w:p>
      <w:pPr>
        <w:pStyle w:val="Heading2"/>
        <w:spacing w:after="200" w:before="200"/>
      </w:pPr>
      <w:r>
        <w:rPr>
          <w:rFonts w:ascii="Arial" w:cs="Arial" w:eastAsia="Arial" w:hAnsi="Arial"/>
          <w:b/>
          <w:bCs/>
          <w:sz w:val="28"/>
          <w:szCs w:val="28"/>
        </w:rPr>
        <w:t xml:space="preserve">Stage 5: Clinical Safety, PK/BBB, &amp; Parkinson's Drug Development Context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clinical trial experience, pharmacovigilance, brain penetration, and drug-drug interactions with PD standard-of-care to assess clinical viability of top DM candidates.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25 disease-modifying and 15 dual-activity candidates from Stages 2-4</w:t>
      </w:r>
    </w:p>
    <w:p>
      <w:pPr>
        <w:pStyle w:val="ListParagraph"/>
        <w:numPr>
          <w:ilvl w:val="0"/>
          <w:numId w:val="2"/>
        </w:numPr>
        <w:spacing w:after="100" w:line="360"/>
      </w:pPr>
      <w:r>
        <w:rPr>
          <w:rFonts w:ascii="Arial" w:cs="Arial" w:eastAsia="Arial" w:hAnsi="Arial"/>
          <w:sz w:val="24"/>
          <w:szCs w:val="24"/>
        </w:rPr>
        <w:t xml:space="preserve">FDA pharmacology reviews and clinical trial data for Parkinson's disease drugs</w:t>
      </w:r>
    </w:p>
    <w:p>
      <w:pPr>
        <w:pStyle w:val="ListParagraph"/>
        <w:numPr>
          <w:ilvl w:val="0"/>
          <w:numId w:val="2"/>
        </w:numPr>
        <w:spacing w:after="100" w:line="360"/>
      </w:pPr>
      <w:r>
        <w:rPr>
          <w:rFonts w:ascii="Arial" w:cs="Arial" w:eastAsia="Arial" w:hAnsi="Arial"/>
          <w:sz w:val="24"/>
          <w:szCs w:val="24"/>
        </w:rPr>
        <w:t xml:space="preserve">Published safety/efficacy outcomes for compounds tested in PD indications</w:t>
      </w:r>
    </w:p>
    <w:p>
      <w:pPr>
        <w:pStyle w:val="ListParagraph"/>
        <w:numPr>
          <w:ilvl w:val="0"/>
          <w:numId w:val="2"/>
        </w:numPr>
        <w:spacing w:after="100" w:line="360"/>
      </w:pPr>
      <w:r>
        <w:rPr>
          <w:rFonts w:ascii="Arial" w:cs="Arial" w:eastAsia="Arial" w:hAnsi="Arial"/>
          <w:sz w:val="24"/>
          <w:szCs w:val="24"/>
        </w:rPr>
        <w:t xml:space="preserve">BBB penetration data and published brain PK for candidate compounds</w:t>
      </w:r>
    </w:p>
    <w:p>
      <w:pPr>
        <w:pStyle w:val="ListParagraph"/>
        <w:numPr>
          <w:ilvl w:val="0"/>
          <w:numId w:val="2"/>
        </w:numPr>
        <w:spacing w:after="100" w:line="360"/>
      </w:pPr>
      <w:r>
        <w:rPr>
          <w:rFonts w:ascii="Arial" w:cs="Arial" w:eastAsia="Arial" w:hAnsi="Arial"/>
          <w:sz w:val="24"/>
          <w:szCs w:val="24"/>
        </w:rPr>
        <w:t xml:space="preserve">Drug-drug interaction profiles with L-DOPA, dopamine agonists, MAO-B inhibitors, COMT inhibitors, deep brain stimulation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ClinicalTrials.gov searches for PD trial experience with candidate compounds</w:t>
      </w:r>
    </w:p>
    <w:p>
      <w:pPr>
        <w:pStyle w:val="ListParagraph"/>
        <w:numPr>
          <w:ilvl w:val="0"/>
          <w:numId w:val="2"/>
        </w:numPr>
        <w:spacing w:after="100" w:line="360"/>
      </w:pPr>
      <w:r>
        <w:rPr>
          <w:rFonts w:ascii="Arial" w:cs="Arial" w:eastAsia="Arial" w:hAnsi="Arial"/>
          <w:sz w:val="24"/>
          <w:szCs w:val="24"/>
        </w:rPr>
        <w:t xml:space="preserve">FDA Pharmacology Review full-text mining (safety signals, adverse event profiles)</w:t>
      </w:r>
    </w:p>
    <w:p>
      <w:pPr>
        <w:pStyle w:val="ListParagraph"/>
        <w:numPr>
          <w:ilvl w:val="0"/>
          <w:numId w:val="2"/>
        </w:numPr>
        <w:spacing w:after="100" w:line="360"/>
      </w:pPr>
      <w:r>
        <w:rPr>
          <w:rFonts w:ascii="Arial" w:cs="Arial" w:eastAsia="Arial" w:hAnsi="Arial"/>
          <w:sz w:val="24"/>
          <w:szCs w:val="24"/>
        </w:rPr>
        <w:t xml:space="preserve">FAERS signal detection and pharmacovigilance pattern analysis</w:t>
      </w:r>
    </w:p>
    <w:p>
      <w:pPr>
        <w:pStyle w:val="ListParagraph"/>
        <w:numPr>
          <w:ilvl w:val="0"/>
          <w:numId w:val="2"/>
        </w:numPr>
        <w:spacing w:after="100" w:line="360"/>
      </w:pPr>
      <w:r>
        <w:rPr>
          <w:rFonts w:ascii="Arial" w:cs="Arial" w:eastAsia="Arial" w:hAnsi="Arial"/>
          <w:sz w:val="24"/>
          <w:szCs w:val="24"/>
        </w:rPr>
        <w:t xml:space="preserve">Published PK/PD studies in PD populations (brain bioavailability, target engagement confirmation)</w:t>
      </w:r>
    </w:p>
    <w:p>
      <w:pPr>
        <w:pStyle w:val="ListParagraph"/>
        <w:numPr>
          <w:ilvl w:val="0"/>
          <w:numId w:val="2"/>
        </w:numPr>
        <w:spacing w:after="100" w:line="360"/>
      </w:pPr>
      <w:r>
        <w:rPr>
          <w:rFonts w:ascii="Arial" w:cs="Arial" w:eastAsia="Arial" w:hAnsi="Arial"/>
          <w:sz w:val="24"/>
          <w:szCs w:val="24"/>
        </w:rPr>
        <w:t xml:space="preserve">BBB penetration prediction (NCATS tool, DEREK NEXUS) and published brain PK data</w:t>
      </w:r>
    </w:p>
    <w:p>
      <w:pPr>
        <w:pStyle w:val="ListParagraph"/>
        <w:numPr>
          <w:ilvl w:val="0"/>
          <w:numId w:val="2"/>
        </w:numPr>
        <w:spacing w:after="100" w:line="360"/>
      </w:pPr>
      <w:r>
        <w:rPr>
          <w:rFonts w:ascii="Arial" w:cs="Arial" w:eastAsia="Arial" w:hAnsi="Arial"/>
          <w:sz w:val="24"/>
          <w:szCs w:val="24"/>
        </w:rPr>
        <w:t xml:space="preserve">DrugBank DDI database for Parkinson's disease comedication interactions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of the top 25 disease-modifying candidates have prior human clinical experience in PD or related neurodegenerative diseases?</w:t>
      </w:r>
    </w:p>
    <w:p>
      <w:pPr>
        <w:pStyle w:val="ListParagraph"/>
        <w:numPr>
          <w:ilvl w:val="0"/>
          <w:numId w:val="2"/>
        </w:numPr>
        <w:spacing w:after="100" w:line="360"/>
      </w:pPr>
      <w:r>
        <w:rPr>
          <w:rFonts w:ascii="Arial" w:cs="Arial" w:eastAsia="Arial" w:hAnsi="Arial"/>
          <w:sz w:val="24"/>
          <w:szCs w:val="24"/>
        </w:rPr>
        <w:t xml:space="preserve">What are the known safety profiles, FAERS signals, and any concerns specific to elderly PD populations for each top candidate?</w:t>
      </w:r>
    </w:p>
    <w:p>
      <w:pPr>
        <w:pStyle w:val="ListParagraph"/>
        <w:numPr>
          <w:ilvl w:val="0"/>
          <w:numId w:val="2"/>
        </w:numPr>
        <w:spacing w:after="100" w:line="360"/>
      </w:pPr>
      <w:r>
        <w:rPr>
          <w:rFonts w:ascii="Arial" w:cs="Arial" w:eastAsia="Arial" w:hAnsi="Arial"/>
          <w:sz w:val="24"/>
          <w:szCs w:val="24"/>
        </w:rPr>
        <w:t xml:space="preserve">How do the top candidates interact with standard PD medications (L-DOPA, dopamine agonists, MAO-B inhibitors), and what is the predicted tolerability of combinations?</w:t>
      </w:r>
    </w:p>
    <w:p>
      <w:pPr>
        <w:pStyle w:val="ListParagraph"/>
        <w:numPr>
          <w:ilvl w:val="0"/>
          <w:numId w:val="2"/>
        </w:numPr>
        <w:spacing w:after="100" w:line="360"/>
      </w:pPr>
      <w:r>
        <w:rPr>
          <w:rFonts w:ascii="Arial" w:cs="Arial" w:eastAsia="Arial" w:hAnsi="Arial"/>
          <w:sz w:val="24"/>
          <w:szCs w:val="24"/>
        </w:rPr>
        <w:t xml:space="preserve">Which disease-modifying candidates have published brain bioavailability data confirming adequate CNS penetration for target engagement?</w:t>
      </w:r>
    </w:p>
    <w:p>
      <w:pPr>
        <w:pStyle w:val="ListParagraph"/>
        <w:numPr>
          <w:ilvl w:val="0"/>
          <w:numId w:val="2"/>
        </w:numPr>
        <w:spacing w:after="100" w:line="360"/>
      </w:pPr>
      <w:r>
        <w:rPr>
          <w:rFonts w:ascii="Arial" w:cs="Arial" w:eastAsia="Arial" w:hAnsi="Arial"/>
          <w:sz w:val="24"/>
          <w:szCs w:val="24"/>
        </w:rPr>
        <w:t xml:space="preserve">For the dual-activity compounds, is there clinical trial data demonstrating both symptomatic benefit AND evidence of disease modification (slowed progression)?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Clinical trial history summary for all disease-modifying and dual-activity candidates</w:t>
      </w:r>
    </w:p>
    <w:p>
      <w:pPr>
        <w:pStyle w:val="ListParagraph"/>
        <w:numPr>
          <w:ilvl w:val="0"/>
          <w:numId w:val="2"/>
        </w:numPr>
        <w:spacing w:after="100" w:line="360"/>
      </w:pPr>
      <w:r>
        <w:rPr>
          <w:rFonts w:ascii="Arial" w:cs="Arial" w:eastAsia="Arial" w:hAnsi="Arial"/>
          <w:sz w:val="24"/>
          <w:szCs w:val="24"/>
        </w:rPr>
        <w:t xml:space="preserve">Safety and tolerability profile summary (FAERS signals, elderly population-specific concerns, neurological adverse events)</w:t>
      </w:r>
    </w:p>
    <w:p>
      <w:pPr>
        <w:pStyle w:val="ListParagraph"/>
        <w:numPr>
          <w:ilvl w:val="0"/>
          <w:numId w:val="2"/>
        </w:numPr>
        <w:spacing w:after="100" w:line="360"/>
      </w:pPr>
      <w:r>
        <w:rPr>
          <w:rFonts w:ascii="Arial" w:cs="Arial" w:eastAsia="Arial" w:hAnsi="Arial"/>
          <w:sz w:val="24"/>
          <w:szCs w:val="24"/>
        </w:rPr>
        <w:t xml:space="preserve">Drug-drug interaction matrix with PD standard-of-care medications</w:t>
      </w:r>
    </w:p>
    <w:p>
      <w:pPr>
        <w:pStyle w:val="ListParagraph"/>
        <w:numPr>
          <w:ilvl w:val="0"/>
          <w:numId w:val="2"/>
        </w:numPr>
        <w:spacing w:after="100" w:line="360"/>
      </w:pPr>
      <w:r>
        <w:rPr>
          <w:rFonts w:ascii="Arial" w:cs="Arial" w:eastAsia="Arial" w:hAnsi="Arial"/>
          <w:sz w:val="24"/>
          <w:szCs w:val="24"/>
        </w:rPr>
        <w:t xml:space="preserve">BBB penetration classification and published brain PK data summary</w:t>
      </w:r>
    </w:p>
    <w:p>
      <w:pPr>
        <w:pStyle w:val="ListParagraph"/>
        <w:numPr>
          <w:ilvl w:val="0"/>
          <w:numId w:val="2"/>
        </w:numPr>
        <w:spacing w:after="100" w:line="360"/>
      </w:pPr>
      <w:r>
        <w:rPr>
          <w:rFonts w:ascii="Arial" w:cs="Arial" w:eastAsia="Arial" w:hAnsi="Arial"/>
          <w:sz w:val="24"/>
          <w:szCs w:val="24"/>
        </w:rPr>
        <w:t xml:space="preserve">Integrated risk-benefit assessment scores (efficacy, safety, DDI risk, clinical development stage)</w:t>
      </w:r>
    </w:p>
    <w:p>
      <w:pPr>
        <w:pStyle w:val="ListParagraph"/>
        <w:numPr>
          <w:ilvl w:val="0"/>
          <w:numId w:val="2"/>
        </w:numPr>
        <w:spacing w:after="100" w:line="360"/>
      </w:pPr>
      <w:r>
        <w:rPr>
          <w:rFonts w:ascii="Arial" w:cs="Arial" w:eastAsia="Arial" w:hAnsi="Arial"/>
          <w:sz w:val="24"/>
          <w:szCs w:val="24"/>
        </w:rPr>
        <w:t xml:space="preserve">Recommendations for clinical trial design emphasizing disease-modifying biomarkers and slowed progression measurement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Clinical development summary (CSV/JSON/Word) with safety profiles, drug interaction details, and clinical trial history</w:t>
      </w:r>
    </w:p>
    <w:p>
      <w:pPr>
        <w:pStyle w:val="Heading2"/>
        <w:spacing w:after="200" w:before="200"/>
      </w:pPr>
      <w:r>
        <w:rPr>
          <w:rFonts w:ascii="Arial" w:cs="Arial" w:eastAsia="Arial" w:hAnsi="Arial"/>
          <w:b/>
          <w:bCs/>
          <w:sz w:val="28"/>
          <w:szCs w:val="28"/>
        </w:rPr>
        <w:t xml:space="preserve">Stage 6: Go/No-Go Decision: Disease-Modifying Priority Ranking &amp; Phase II Strategy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all evidence into definitive disease-modifying vs symptomatic rankings, recommend prioritized candidates for clinical development, and outline Phase II trial designs optimized for DM biomarker validation.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All integrated data from Stages 1-5 (vulnerability phenotypes, compound mechanisms, trajectories, safety, clinical context)</w:t>
      </w:r>
    </w:p>
    <w:p>
      <w:pPr>
        <w:pStyle w:val="ListParagraph"/>
        <w:numPr>
          <w:ilvl w:val="0"/>
          <w:numId w:val="2"/>
        </w:numPr>
        <w:spacing w:after="100" w:line="360"/>
      </w:pPr>
      <w:r>
        <w:rPr>
          <w:rFonts w:ascii="Arial" w:cs="Arial" w:eastAsia="Arial" w:hAnsi="Arial"/>
          <w:sz w:val="24"/>
          <w:szCs w:val="24"/>
        </w:rPr>
        <w:t xml:space="preserve">FDA neurodegeneration guidance documents (Parkinson's disease endpoints, biomarker qualifications)</w:t>
      </w:r>
    </w:p>
    <w:p>
      <w:pPr>
        <w:pStyle w:val="ListParagraph"/>
        <w:numPr>
          <w:ilvl w:val="0"/>
          <w:numId w:val="2"/>
        </w:numPr>
        <w:spacing w:after="100" w:line="360"/>
      </w:pPr>
      <w:r>
        <w:rPr>
          <w:rFonts w:ascii="Arial" w:cs="Arial" w:eastAsia="Arial" w:hAnsi="Arial"/>
          <w:sz w:val="24"/>
          <w:szCs w:val="24"/>
        </w:rPr>
        <w:t xml:space="preserve">Published Phase II trial designs in early Parkinson's disease (slowing progression as primary endpoint)</w:t>
      </w:r>
    </w:p>
    <w:p>
      <w:pPr>
        <w:pStyle w:val="ListParagraph"/>
        <w:numPr>
          <w:ilvl w:val="0"/>
          <w:numId w:val="2"/>
        </w:numPr>
        <w:spacing w:after="100" w:line="360"/>
      </w:pPr>
      <w:r>
        <w:rPr>
          <w:rFonts w:ascii="Arial" w:cs="Arial" w:eastAsia="Arial" w:hAnsi="Arial"/>
          <w:sz w:val="24"/>
          <w:szCs w:val="24"/>
        </w:rPr>
        <w:t xml:space="preserve">Biomarker endpoint qualification pathways (CSF phospho-synuclein, plasma p-tau, dopamine transporter imaging)</w:t>
      </w:r>
    </w:p>
    <w:p>
      <w:pPr>
        <w:pStyle w:val="ListParagraph"/>
        <w:numPr>
          <w:ilvl w:val="0"/>
          <w:numId w:val="2"/>
        </w:numPr>
        <w:spacing w:after="100" w:line="360"/>
      </w:pPr>
      <w:r>
        <w:rPr>
          <w:rFonts w:ascii="Arial" w:cs="Arial" w:eastAsia="Arial" w:hAnsi="Arial"/>
          <w:sz w:val="24"/>
          <w:szCs w:val="24"/>
        </w:rPr>
        <w:t xml:space="preserve">Competitive landscape analysis (other DM candidates in development, symptomatic options)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Go/No-Go decision framework integrating efficacy, trajectory data, safety, IP, and market opportunity</w:t>
      </w:r>
    </w:p>
    <w:p>
      <w:pPr>
        <w:pStyle w:val="ListParagraph"/>
        <w:numPr>
          <w:ilvl w:val="0"/>
          <w:numId w:val="2"/>
        </w:numPr>
        <w:spacing w:after="100" w:line="360"/>
      </w:pPr>
      <w:r>
        <w:rPr>
          <w:rFonts w:ascii="Arial" w:cs="Arial" w:eastAsia="Arial" w:hAnsi="Arial"/>
          <w:sz w:val="24"/>
          <w:szCs w:val="24"/>
        </w:rPr>
        <w:t xml:space="preserve">Phase II trial design templates (early PD population, slowed progression biomarkers, duration, sample size)</w:t>
      </w:r>
    </w:p>
    <w:p>
      <w:pPr>
        <w:pStyle w:val="ListParagraph"/>
        <w:numPr>
          <w:ilvl w:val="0"/>
          <w:numId w:val="2"/>
        </w:numPr>
        <w:spacing w:after="100" w:line="360"/>
      </w:pPr>
      <w:r>
        <w:rPr>
          <w:rFonts w:ascii="Arial" w:cs="Arial" w:eastAsia="Arial" w:hAnsi="Arial"/>
          <w:sz w:val="24"/>
          <w:szCs w:val="24"/>
        </w:rPr>
        <w:t xml:space="preserve">Regulatory intelligence (FDA breakthrough designation criteria, accelerated development pathways)</w:t>
      </w:r>
    </w:p>
    <w:p>
      <w:pPr>
        <w:pStyle w:val="ListParagraph"/>
        <w:numPr>
          <w:ilvl w:val="0"/>
          <w:numId w:val="2"/>
        </w:numPr>
        <w:spacing w:after="100" w:line="360"/>
      </w:pPr>
      <w:r>
        <w:rPr>
          <w:rFonts w:ascii="Arial" w:cs="Arial" w:eastAsia="Arial" w:hAnsi="Arial"/>
          <w:sz w:val="24"/>
          <w:szCs w:val="24"/>
        </w:rPr>
        <w:t xml:space="preserve">Budget and timeline forecasting for IND-enabling studies and Phase II initiation</w:t>
      </w:r>
    </w:p>
    <w:p>
      <w:pPr>
        <w:pStyle w:val="ListParagraph"/>
        <w:numPr>
          <w:ilvl w:val="0"/>
          <w:numId w:val="2"/>
        </w:numPr>
        <w:spacing w:after="100" w:line="360"/>
      </w:pPr>
      <w:r>
        <w:rPr>
          <w:rFonts w:ascii="Arial" w:cs="Arial" w:eastAsia="Arial" w:hAnsi="Arial"/>
          <w:sz w:val="24"/>
          <w:szCs w:val="24"/>
        </w:rPr>
        <w:t xml:space="preserve">Comparative efficacy scoring matrix (symptomatic relief magnitude vs disease trajectory slowing)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of the top disease-modifying candidates should advance to Phase II based on integrated evidence strength, safety, and clinical need?</w:t>
      </w:r>
    </w:p>
    <w:p>
      <w:pPr>
        <w:pStyle w:val="ListParagraph"/>
        <w:numPr>
          <w:ilvl w:val="0"/>
          <w:numId w:val="2"/>
        </w:numPr>
        <w:spacing w:after="100" w:line="360"/>
      </w:pPr>
      <w:r>
        <w:rPr>
          <w:rFonts w:ascii="Arial" w:cs="Arial" w:eastAsia="Arial" w:hAnsi="Arial"/>
          <w:sz w:val="24"/>
          <w:szCs w:val="24"/>
        </w:rPr>
        <w:t xml:space="preserve">What is the minimum Phase II trial design required to validate disease-modifying benefit: sample size, duration, primary endpoint (slowed progression vs survival imaging)?</w:t>
      </w:r>
    </w:p>
    <w:p>
      <w:pPr>
        <w:pStyle w:val="ListParagraph"/>
        <w:numPr>
          <w:ilvl w:val="0"/>
          <w:numId w:val="2"/>
        </w:numPr>
        <w:spacing w:after="100" w:line="360"/>
      </w:pPr>
      <w:r>
        <w:rPr>
          <w:rFonts w:ascii="Arial" w:cs="Arial" w:eastAsia="Arial" w:hAnsi="Arial"/>
          <w:sz w:val="24"/>
          <w:szCs w:val="24"/>
        </w:rPr>
        <w:t xml:space="preserve">Should any dual-activity compounds be prioritized as combination therapies with levodopa for symptomatic relief + disease modification?</w:t>
      </w:r>
    </w:p>
    <w:p>
      <w:pPr>
        <w:pStyle w:val="ListParagraph"/>
        <w:numPr>
          <w:ilvl w:val="0"/>
          <w:numId w:val="2"/>
        </w:numPr>
        <w:spacing w:after="100" w:line="360"/>
      </w:pPr>
      <w:r>
        <w:rPr>
          <w:rFonts w:ascii="Arial" w:cs="Arial" w:eastAsia="Arial" w:hAnsi="Arial"/>
          <w:sz w:val="24"/>
          <w:szCs w:val="24"/>
        </w:rPr>
        <w:t xml:space="preserve">Which biomarkers (CSF alpha-synuclein phosphorylation, plasma p-tau, functional connectivity MRI, DAT imaging) should be primary vs exploratory in Phase II?</w:t>
      </w:r>
    </w:p>
    <w:p>
      <w:pPr>
        <w:pStyle w:val="ListParagraph"/>
        <w:numPr>
          <w:ilvl w:val="0"/>
          <w:numId w:val="2"/>
        </w:numPr>
        <w:spacing w:after="100" w:line="360"/>
      </w:pPr>
      <w:r>
        <w:rPr>
          <w:rFonts w:ascii="Arial" w:cs="Arial" w:eastAsia="Arial" w:hAnsi="Arial"/>
          <w:sz w:val="24"/>
          <w:szCs w:val="24"/>
        </w:rPr>
        <w:t xml:space="preserve">Which regulatory pathways (standard IND, breakthrough designation, regenerative medicine advanced therapy designation) are most appropriate for accelerating DM candidate development?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ranked list of top 5 disease-modifying candidates for Phase II advancement</w:t>
      </w:r>
    </w:p>
    <w:p>
      <w:pPr>
        <w:pStyle w:val="ListParagraph"/>
        <w:numPr>
          <w:ilvl w:val="0"/>
          <w:numId w:val="2"/>
        </w:numPr>
        <w:spacing w:after="100" w:line="360"/>
      </w:pPr>
      <w:r>
        <w:rPr>
          <w:rFonts w:ascii="Arial" w:cs="Arial" w:eastAsia="Arial" w:hAnsi="Arial"/>
          <w:sz w:val="24"/>
          <w:szCs w:val="24"/>
        </w:rPr>
        <w:t xml:space="preserve">Go/No-Go recommendations with explicit decision justifications (efficacy evidence, safety confidence, clinical need, competitive advantage)</w:t>
      </w:r>
    </w:p>
    <w:p>
      <w:pPr>
        <w:pStyle w:val="ListParagraph"/>
        <w:numPr>
          <w:ilvl w:val="0"/>
          <w:numId w:val="2"/>
        </w:numPr>
        <w:spacing w:after="100" w:line="360"/>
      </w:pPr>
      <w:r>
        <w:rPr>
          <w:rFonts w:ascii="Arial" w:cs="Arial" w:eastAsia="Arial" w:hAnsi="Arial"/>
          <w:sz w:val="24"/>
          <w:szCs w:val="24"/>
        </w:rPr>
        <w:t xml:space="preserve">Recommended Phase II trial design specifications (patient population stratification, primary/secondary endpoints, biomarker strategy, duration, sample size)</w:t>
      </w:r>
    </w:p>
    <w:p>
      <w:pPr>
        <w:pStyle w:val="ListParagraph"/>
        <w:numPr>
          <w:ilvl w:val="0"/>
          <w:numId w:val="2"/>
        </w:numPr>
        <w:spacing w:after="100" w:line="360"/>
      </w:pPr>
      <w:r>
        <w:rPr>
          <w:rFonts w:ascii="Arial" w:cs="Arial" w:eastAsia="Arial" w:hAnsi="Arial"/>
          <w:sz w:val="24"/>
          <w:szCs w:val="24"/>
        </w:rPr>
        <w:t xml:space="preserve">Biomarker-driven trial design incorporating EP-validated disease trajectory measures and translational biomarkers</w:t>
      </w:r>
    </w:p>
    <w:p>
      <w:pPr>
        <w:pStyle w:val="ListParagraph"/>
        <w:numPr>
          <w:ilvl w:val="0"/>
          <w:numId w:val="2"/>
        </w:numPr>
        <w:spacing w:after="100" w:line="360"/>
      </w:pPr>
      <w:r>
        <w:rPr>
          <w:rFonts w:ascii="Arial" w:cs="Arial" w:eastAsia="Arial" w:hAnsi="Arial"/>
          <w:sz w:val="24"/>
          <w:szCs w:val="24"/>
        </w:rPr>
        <w:t xml:space="preserve">Regulatory pathway recommendation and anticipated timeline to Phase II initiation</w:t>
      </w:r>
    </w:p>
    <w:p>
      <w:pPr>
        <w:pStyle w:val="ListParagraph"/>
        <w:numPr>
          <w:ilvl w:val="0"/>
          <w:numId w:val="2"/>
        </w:numPr>
        <w:spacing w:after="100" w:line="360"/>
      </w:pPr>
      <w:r>
        <w:rPr>
          <w:rFonts w:ascii="Arial" w:cs="Arial" w:eastAsia="Arial" w:hAnsi="Arial"/>
          <w:sz w:val="24"/>
          <w:szCs w:val="24"/>
        </w:rPr>
        <w:t xml:space="preserve">Intellectual property positioning and market opportunity assessment for prioritized candidates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Executive summary (Word/PDF) with ranking matrix, go/no-go justifications, trial design outline, and development roadmap</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Bioscience EP CRISPR Atlas (18k gene perturbations, 500+ features, primary screening platform)</w:t>
      </w:r>
    </w:p>
    <w:p>
      <w:pPr>
        <w:pStyle w:val="ListParagraph"/>
        <w:numPr>
          <w:ilvl w:val="0"/>
          <w:numId w:val="2"/>
        </w:numPr>
        <w:spacing w:after="100" w:line="360"/>
      </w:pPr>
      <w:r>
        <w:rPr>
          <w:rFonts w:ascii="Arial" w:cs="Arial" w:eastAsia="Arial" w:hAnsi="Arial"/>
          <w:sz w:val="24"/>
          <w:szCs w:val="24"/>
        </w:rPr>
        <w:t xml:space="preserve">Quiver EP Compound Library (3,500+ FDA-approved, investigational, and natural product compounds)</w:t>
      </w:r>
    </w:p>
    <w:p>
      <w:pPr>
        <w:pStyle w:val="ListParagraph"/>
        <w:numPr>
          <w:ilvl w:val="0"/>
          <w:numId w:val="2"/>
        </w:numPr>
        <w:spacing w:after="100" w:line="360"/>
      </w:pPr>
      <w:r>
        <w:rPr>
          <w:rFonts w:ascii="Arial" w:cs="Arial" w:eastAsia="Arial" w:hAnsi="Arial"/>
          <w:sz w:val="24"/>
          <w:szCs w:val="24"/>
        </w:rPr>
        <w:t xml:space="preserve">KEGG Pathway Database (PATHWAY, ortholog, disease association mapping)</w:t>
      </w:r>
    </w:p>
    <w:p>
      <w:pPr>
        <w:pStyle w:val="ListParagraph"/>
        <w:numPr>
          <w:ilvl w:val="0"/>
          <w:numId w:val="2"/>
        </w:numPr>
        <w:spacing w:after="100" w:line="360"/>
      </w:pPr>
      <w:r>
        <w:rPr>
          <w:rFonts w:ascii="Arial" w:cs="Arial" w:eastAsia="Arial" w:hAnsi="Arial"/>
          <w:sz w:val="24"/>
          <w:szCs w:val="24"/>
        </w:rPr>
        <w:t xml:space="preserve">Reactome Pathway Analysis (mechanistic pathway diagrams, causal relationships, pathway hierarchy)</w:t>
      </w:r>
    </w:p>
    <w:p>
      <w:pPr>
        <w:pStyle w:val="ListParagraph"/>
        <w:numPr>
          <w:ilvl w:val="0"/>
          <w:numId w:val="2"/>
        </w:numPr>
        <w:spacing w:after="100" w:line="360"/>
      </w:pPr>
      <w:r>
        <w:rPr>
          <w:rFonts w:ascii="Arial" w:cs="Arial" w:eastAsia="Arial" w:hAnsi="Arial"/>
          <w:sz w:val="24"/>
          <w:szCs w:val="24"/>
        </w:rPr>
        <w:t xml:space="preserve">STRING Protein Interaction Network (protein-protein interactions, functional associations)</w:t>
      </w:r>
    </w:p>
    <w:p>
      <w:pPr>
        <w:pStyle w:val="ListParagraph"/>
        <w:numPr>
          <w:ilvl w:val="0"/>
          <w:numId w:val="2"/>
        </w:numPr>
        <w:spacing w:after="100" w:line="360"/>
      </w:pPr>
      <w:r>
        <w:rPr>
          <w:rFonts w:ascii="Arial" w:cs="Arial" w:eastAsia="Arial" w:hAnsi="Arial"/>
          <w:sz w:val="24"/>
          <w:szCs w:val="24"/>
        </w:rPr>
        <w:t xml:space="preserve">ChEMBL Compound Database (chemical structures, targets, bioactivity data, ADMET predictions)</w:t>
      </w:r>
    </w:p>
    <w:p>
      <w:pPr>
        <w:pStyle w:val="ListParagraph"/>
        <w:numPr>
          <w:ilvl w:val="0"/>
          <w:numId w:val="2"/>
        </w:numPr>
        <w:spacing w:after="100" w:line="360"/>
      </w:pPr>
      <w:r>
        <w:rPr>
          <w:rFonts w:ascii="Arial" w:cs="Arial" w:eastAsia="Arial" w:hAnsi="Arial"/>
          <w:sz w:val="24"/>
          <w:szCs w:val="24"/>
        </w:rPr>
        <w:t xml:space="preserve">FDA Pharmacology Reviews and Orange Book (clinical approval history, safety summaries, label information)</w:t>
      </w:r>
    </w:p>
    <w:p>
      <w:pPr>
        <w:pStyle w:val="ListParagraph"/>
        <w:numPr>
          <w:ilvl w:val="0"/>
          <w:numId w:val="2"/>
        </w:numPr>
        <w:spacing w:after="100" w:line="360"/>
      </w:pPr>
      <w:r>
        <w:rPr>
          <w:rFonts w:ascii="Arial" w:cs="Arial" w:eastAsia="Arial" w:hAnsi="Arial"/>
          <w:sz w:val="24"/>
          <w:szCs w:val="24"/>
        </w:rPr>
        <w:t xml:space="preserve">ClinicalTrials.gov (trial design information, enrollment status, published results)</w:t>
      </w:r>
    </w:p>
    <w:p>
      <w:pPr>
        <w:pStyle w:val="ListParagraph"/>
        <w:numPr>
          <w:ilvl w:val="0"/>
          <w:numId w:val="2"/>
        </w:numPr>
        <w:spacing w:after="100" w:line="360"/>
      </w:pPr>
      <w:r>
        <w:rPr>
          <w:rFonts w:ascii="Arial" w:cs="Arial" w:eastAsia="Arial" w:hAnsi="Arial"/>
          <w:sz w:val="24"/>
          <w:szCs w:val="24"/>
        </w:rPr>
        <w:t xml:space="preserve">FAERS Database (FDA adverse event reporting system, pharmacovigilance signal detection)</w:t>
      </w:r>
    </w:p>
    <w:p>
      <w:pPr>
        <w:pStyle w:val="ListParagraph"/>
        <w:numPr>
          <w:ilvl w:val="0"/>
          <w:numId w:val="2"/>
        </w:numPr>
        <w:spacing w:after="100" w:line="360"/>
      </w:pPr>
      <w:r>
        <w:rPr>
          <w:rFonts w:ascii="Arial" w:cs="Arial" w:eastAsia="Arial" w:hAnsi="Arial"/>
          <w:sz w:val="24"/>
          <w:szCs w:val="24"/>
        </w:rPr>
        <w:t xml:space="preserve">DrugBank (drug targets, metabolism, interactions, clinical applications)</w:t>
      </w:r>
    </w:p>
    <w:p>
      <w:pPr>
        <w:pStyle w:val="ListParagraph"/>
        <w:numPr>
          <w:ilvl w:val="0"/>
          <w:numId w:val="2"/>
        </w:numPr>
        <w:spacing w:after="100" w:line="360"/>
      </w:pPr>
      <w:r>
        <w:rPr>
          <w:rFonts w:ascii="Arial" w:cs="Arial" w:eastAsia="Arial" w:hAnsi="Arial"/>
          <w:sz w:val="24"/>
          <w:szCs w:val="24"/>
        </w:rPr>
        <w:t xml:space="preserve">NCATS BBB Penetration Prediction Tool (machine learning BBB+ vs BBB- classification)</w:t>
      </w:r>
    </w:p>
    <w:p>
      <w:pPr>
        <w:pStyle w:val="ListParagraph"/>
        <w:numPr>
          <w:ilvl w:val="0"/>
          <w:numId w:val="2"/>
        </w:numPr>
        <w:spacing w:after="100" w:line="360"/>
      </w:pPr>
      <w:r>
        <w:rPr>
          <w:rFonts w:ascii="Arial" w:cs="Arial" w:eastAsia="Arial" w:hAnsi="Arial"/>
          <w:sz w:val="24"/>
          <w:szCs w:val="24"/>
        </w:rPr>
        <w:t xml:space="preserve">ENCODE/JASPAR Transcription Factor Binding Database (regulatory element prediction, TFEB/TFE3 targets)</w:t>
      </w:r>
    </w:p>
    <w:p>
      <w:pPr>
        <w:pStyle w:val="ListParagraph"/>
        <w:numPr>
          <w:ilvl w:val="0"/>
          <w:numId w:val="2"/>
        </w:numPr>
        <w:spacing w:after="100" w:line="360"/>
      </w:pPr>
      <w:r>
        <w:rPr>
          <w:rFonts w:ascii="Arial" w:cs="Arial" w:eastAsia="Arial" w:hAnsi="Arial"/>
          <w:sz w:val="24"/>
          <w:szCs w:val="24"/>
        </w:rPr>
        <w:t xml:space="preserve">AlzPathy/PDBase Disease-Specific Databases (molecular subtypes, biomarker associations, phenotypic features)</w:t>
      </w:r>
    </w:p>
    <w:p>
      <w:pPr>
        <w:pStyle w:val="ListParagraph"/>
        <w:numPr>
          <w:ilvl w:val="0"/>
          <w:numId w:val="2"/>
        </w:numPr>
        <w:spacing w:after="100" w:line="360"/>
      </w:pPr>
      <w:r>
        <w:rPr>
          <w:rFonts w:ascii="Arial" w:cs="Arial" w:eastAsia="Arial" w:hAnsi="Arial"/>
          <w:sz w:val="24"/>
          <w:szCs w:val="24"/>
        </w:rPr>
        <w:t xml:space="preserve">PubChem Chemical Properties Database (molecular descriptors, bioactivity assays, structure similarity)</w:t>
      </w:r>
    </w:p>
    <w:p>
      <w:pPr>
        <w:pStyle w:val="ListParagraph"/>
        <w:numPr>
          <w:ilvl w:val="0"/>
          <w:numId w:val="2"/>
        </w:numPr>
        <w:spacing w:after="100" w:line="360"/>
      </w:pPr>
      <w:r>
        <w:rPr>
          <w:rFonts w:ascii="Arial" w:cs="Arial" w:eastAsia="Arial" w:hAnsi="Arial"/>
          <w:sz w:val="24"/>
          <w:szCs w:val="24"/>
        </w:rPr>
        <w:t xml:space="preserve">Cortellis/Adis Insight Intelligence Platforms (competitive landscape, development stage tracking, regulatory intelligence)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2026-03-04T02:14:03.151Z</dcterms:created>
  <dcterms:modified xsi:type="dcterms:W3CDTF">2026-03-04T02:14:03.151Z</dcterms:modified>
</cp:coreProperties>
</file>

<file path=docProps/custom.xml><?xml version="1.0" encoding="utf-8"?>
<Properties xmlns="http://schemas.openxmlformats.org/officeDocument/2006/custom-properties" xmlns:vt="http://schemas.openxmlformats.org/officeDocument/2006/docPropsVTypes"/>
</file>