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Arial" w:cs="Arial" w:eastAsia="Arial" w:hAnsi="Arial"/>
          <w:b/>
          <w:bCs/>
          <w:sz w:val="32"/>
          <w:szCs w:val="32"/>
        </w:rPr>
        <w:t xml:space="preserve">Sapphire Pipeline Workflow: Polypharmacology Strategies for Multi-Pathway Dysfunction</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Identify polypharmacology strategies correcting multi-pathway dysfunction.</w:t>
      </w:r>
    </w:p>
    <w:p>
      <w:pPr>
        <w:spacing w:after="200" w:line="360"/>
      </w:pPr>
      <w:r>
        <w:rPr>
          <w:rFonts w:ascii="Arial" w:cs="Arial" w:eastAsia="Arial" w:hAnsi="Arial"/>
          <w:sz w:val="24"/>
          <w:szCs w:val="24"/>
        </w:rPr>
        <w:t xml:space="preserve">This Sapphire Pipeline identifies single-compound and multi-compound polypharmacology strategies that simultaneously correct multiple dysregulated pathways in neurodegenerative disease by engaging complementary targets. Using Quiver Bioscience's comprehensive EP CRISPR atlas and compound library, the pipeline maps epistatic interactions between pathway perturbations, quantifies synergistic phenotype reversals, and optimizes selectivity to maximize therapeutic benefit while minimizing off-target toxicity.</w:t>
      </w:r>
    </w:p>
    <w:p>
      <w:pPr>
        <w:spacing w:after="200" w:line="360"/>
      </w:pPr>
      <w:r>
        <w:rPr>
          <w:rFonts w:ascii="Arial" w:cs="Arial" w:eastAsia="Arial" w:hAnsi="Arial"/>
          <w:sz w:val="24"/>
          <w:szCs w:val="24"/>
        </w:rPr>
        <w:t xml:space="preserve">By integrating multi-dimensional EP phenotyping across calcium handling, mitochondrial function, synaptic transmission, protein aggregation, and network activity, this workflow enables rational design of polypharmacology strategies that correct interconnected pathway dysfunction more effectively than monotherapies while maintaining clinical tractability.</w:t>
      </w:r>
    </w:p>
    <w:p>
      <w:pPr>
        <w:pStyle w:val="Heading2"/>
        <w:spacing w:after="20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Polypharmacology Strategies for Multi-Pathway Dysfunction pipeline integrates quantitative electrophysiology (EP) phenotyping with CRISPR perturbation analysis to establish mechanistic understanding of disease pathophysiology. By leveraging Quiver Bioscience's comprehensive atlas of gene and compound perturbations across 500+ neuronal features, the pipeline enables systematic identification of therapeutic candidates through phenotype-level signature matching and validation.</w:t>
      </w:r>
    </w:p>
    <w:p>
      <w:pPr>
        <w:spacing w:after="200" w:line="360"/>
      </w:pPr>
      <w:r>
        <w:rPr>
          <w:rFonts w:ascii="Arial" w:cs="Arial" w:eastAsia="Arial" w:hAnsi="Arial"/>
          <w:sz w:val="24"/>
          <w:szCs w:val="24"/>
        </w:rPr>
        <w:t xml:space="preserve">This workflow emphasizes mechanistic validation through orthogonal approaches: CRISPR perturbations confirm proposed drug targets, translational biomarkers bridge EP signatures to human disease progression, and longitudinal trajectory analysis distinguishes disease-modifying from symptomatic interventions. The six-stage process transforms raw discovery data into clinical-stage candidates with validated mechanisms and de-risked development pathways.</w:t>
      </w:r>
    </w:p>
    <w:p>
      <w:pPr>
        <w:pStyle w:val="Heading2"/>
        <w:spacing w:after="200" w:before="200"/>
      </w:pPr>
      <w:r>
        <w:rPr>
          <w:rFonts w:ascii="Arial" w:cs="Arial" w:eastAsia="Arial" w:hAnsi="Arial"/>
          <w:b/>
          <w:bCs/>
          <w:sz w:val="28"/>
          <w:szCs w:val="28"/>
        </w:rPr>
        <w:t xml:space="preserve">Stage 1: Multi-Pathway Dysfunction Clustering &amp; Epistasis Mapping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Map interconnected pathways dysregulated in neurodegeneration using Quiver CRISPR pairwise/combinatorial perturbations to identify epistatic interactions and hierarchical pathway relationships.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Quiver EP CRISPR Atlas single and combinatorial perturbations (18k genes, pairwise interactions subset)</w:t>
      </w:r>
    </w:p>
    <w:p>
      <w:pPr>
        <w:pStyle w:val="ListParagraph"/>
        <w:numPr>
          <w:ilvl w:val="0"/>
          <w:numId w:val="2"/>
        </w:numPr>
        <w:spacing w:after="100" w:line="360"/>
      </w:pPr>
      <w:r>
        <w:rPr>
          <w:rFonts w:ascii="Arial" w:cs="Arial" w:eastAsia="Arial" w:hAnsi="Arial"/>
          <w:sz w:val="24"/>
          <w:szCs w:val="24"/>
        </w:rPr>
        <w:t xml:space="preserve">Neurodegenerative disease (AD, PD, ALS, FTD) pathway databases (KEGG, Reactome, DisGeNET)</w:t>
      </w:r>
    </w:p>
    <w:p>
      <w:pPr>
        <w:pStyle w:val="ListParagraph"/>
        <w:numPr>
          <w:ilvl w:val="0"/>
          <w:numId w:val="2"/>
        </w:numPr>
        <w:spacing w:after="100" w:line="360"/>
      </w:pPr>
      <w:r>
        <w:rPr>
          <w:rFonts w:ascii="Arial" w:cs="Arial" w:eastAsia="Arial" w:hAnsi="Arial"/>
          <w:sz w:val="24"/>
          <w:szCs w:val="24"/>
        </w:rPr>
        <w:t xml:space="preserve">Multi-omic data (transcriptomics, phosphoproteomics, lipidomics) from neurodegenerative disease models</w:t>
      </w:r>
    </w:p>
    <w:p>
      <w:pPr>
        <w:pStyle w:val="ListParagraph"/>
        <w:numPr>
          <w:ilvl w:val="0"/>
          <w:numId w:val="2"/>
        </w:numPr>
        <w:spacing w:after="100" w:line="360"/>
      </w:pPr>
      <w:r>
        <w:rPr>
          <w:rFonts w:ascii="Arial" w:cs="Arial" w:eastAsia="Arial" w:hAnsi="Arial"/>
          <w:sz w:val="24"/>
          <w:szCs w:val="24"/>
        </w:rPr>
        <w:t xml:space="preserve">EP phenotype data across 500+ neuronal features in diverse genetic backgrounds</w:t>
      </w:r>
    </w:p>
    <w:p>
      <w:pPr>
        <w:pStyle w:val="ListParagraph"/>
        <w:numPr>
          <w:ilvl w:val="0"/>
          <w:numId w:val="2"/>
        </w:numPr>
        <w:spacing w:after="100" w:line="360"/>
      </w:pPr>
      <w:r>
        <w:rPr>
          <w:rFonts w:ascii="Arial" w:cs="Arial" w:eastAsia="Arial" w:hAnsi="Arial"/>
          <w:sz w:val="24"/>
          <w:szCs w:val="24"/>
        </w:rPr>
        <w:t xml:space="preserve">Network biology databases (STRING, BioGrid) for pathway connectivity and regulation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Combinatorial CRISPR Screening data (pairwise perturbation phenotypes and epistasis scoring)</w:t>
      </w:r>
    </w:p>
    <w:p>
      <w:pPr>
        <w:pStyle w:val="ListParagraph"/>
        <w:numPr>
          <w:ilvl w:val="0"/>
          <w:numId w:val="2"/>
        </w:numPr>
        <w:spacing w:after="100" w:line="360"/>
      </w:pPr>
      <w:r>
        <w:rPr>
          <w:rFonts w:ascii="Arial" w:cs="Arial" w:eastAsia="Arial" w:hAnsi="Arial"/>
          <w:sz w:val="24"/>
          <w:szCs w:val="24"/>
        </w:rPr>
        <w:t xml:space="preserve">Pathway enrichment analysis (GSEA, ClusterProfiler, Reactome analysis)</w:t>
      </w:r>
    </w:p>
    <w:p>
      <w:pPr>
        <w:pStyle w:val="ListParagraph"/>
        <w:numPr>
          <w:ilvl w:val="0"/>
          <w:numId w:val="2"/>
        </w:numPr>
        <w:spacing w:after="100" w:line="360"/>
      </w:pPr>
      <w:r>
        <w:rPr>
          <w:rFonts w:ascii="Arial" w:cs="Arial" w:eastAsia="Arial" w:hAnsi="Arial"/>
          <w:sz w:val="24"/>
          <w:szCs w:val="24"/>
        </w:rPr>
        <w:t xml:space="preserve">Network analysis tools (Cytoscape, igraph) for pathway hierarchy visualization</w:t>
      </w:r>
    </w:p>
    <w:p>
      <w:pPr>
        <w:pStyle w:val="ListParagraph"/>
        <w:numPr>
          <w:ilvl w:val="0"/>
          <w:numId w:val="2"/>
        </w:numPr>
        <w:spacing w:after="100" w:line="360"/>
      </w:pPr>
      <w:r>
        <w:rPr>
          <w:rFonts w:ascii="Arial" w:cs="Arial" w:eastAsia="Arial" w:hAnsi="Arial"/>
          <w:sz w:val="24"/>
          <w:szCs w:val="24"/>
        </w:rPr>
        <w:t xml:space="preserve">Epistasis modeling (additive vs multiplicative interaction quantification)</w:t>
      </w:r>
    </w:p>
    <w:p>
      <w:pPr>
        <w:pStyle w:val="ListParagraph"/>
        <w:numPr>
          <w:ilvl w:val="0"/>
          <w:numId w:val="2"/>
        </w:numPr>
        <w:spacing w:after="100" w:line="360"/>
      </w:pPr>
      <w:r>
        <w:rPr>
          <w:rFonts w:ascii="Arial" w:cs="Arial" w:eastAsia="Arial" w:hAnsi="Arial"/>
          <w:sz w:val="24"/>
          <w:szCs w:val="24"/>
        </w:rPr>
        <w:t xml:space="preserve">Machine learning clustering (k-means, hierarchical clustering, network modularity analysis)</w:t>
      </w:r>
    </w:p>
    <w:p>
      <w:pPr>
        <w:pStyle w:val="ListParagraph"/>
        <w:numPr>
          <w:ilvl w:val="0"/>
          <w:numId w:val="2"/>
        </w:numPr>
        <w:spacing w:after="100" w:line="360"/>
      </w:pPr>
      <w:r>
        <w:rPr>
          <w:rFonts w:ascii="Arial" w:cs="Arial" w:eastAsia="Arial" w:hAnsi="Arial"/>
          <w:sz w:val="24"/>
          <w:szCs w:val="24"/>
        </w:rPr>
        <w:t xml:space="preserve">Causal inference methods (Bayesian networks, causal forests) for pathway precedence identification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combinations of pathway perturbations show positive epistasis (synergistic phenotype rescue) vs negative epistasis (one pathway dominates) in the Quiver atlas?</w:t>
      </w:r>
    </w:p>
    <w:p>
      <w:pPr>
        <w:pStyle w:val="ListParagraph"/>
        <w:numPr>
          <w:ilvl w:val="0"/>
          <w:numId w:val="2"/>
        </w:numPr>
        <w:spacing w:after="100" w:line="360"/>
      </w:pPr>
      <w:r>
        <w:rPr>
          <w:rFonts w:ascii="Arial" w:cs="Arial" w:eastAsia="Arial" w:hAnsi="Arial"/>
          <w:sz w:val="24"/>
          <w:szCs w:val="24"/>
        </w:rPr>
        <w:t xml:space="preserve">How do energy metabolism (mitochondrial oxidative phosphorylation, glycolysis), calcium homeostasis, protein quality control (autophagy, proteasome, unfolded protein response), and synaptic transmission pathways interact hierarchically?</w:t>
      </w:r>
    </w:p>
    <w:p>
      <w:pPr>
        <w:pStyle w:val="ListParagraph"/>
        <w:numPr>
          <w:ilvl w:val="0"/>
          <w:numId w:val="2"/>
        </w:numPr>
        <w:spacing w:after="100" w:line="360"/>
      </w:pPr>
      <w:r>
        <w:rPr>
          <w:rFonts w:ascii="Arial" w:cs="Arial" w:eastAsia="Arial" w:hAnsi="Arial"/>
          <w:sz w:val="24"/>
          <w:szCs w:val="24"/>
        </w:rPr>
        <w:t xml:space="preserve">Identify the 3-5 core pathway axes (e.g., mitochondrial + autophagy + protein aggregation) that when combined capture &gt;80% of neurodegenerative disease phenotypic variance.</w:t>
      </w:r>
    </w:p>
    <w:p>
      <w:pPr>
        <w:pStyle w:val="ListParagraph"/>
        <w:numPr>
          <w:ilvl w:val="0"/>
          <w:numId w:val="2"/>
        </w:numPr>
        <w:spacing w:after="100" w:line="360"/>
      </w:pPr>
      <w:r>
        <w:rPr>
          <w:rFonts w:ascii="Arial" w:cs="Arial" w:eastAsia="Arial" w:hAnsi="Arial"/>
          <w:sz w:val="24"/>
          <w:szCs w:val="24"/>
        </w:rPr>
        <w:t xml:space="preserve">Which pathway combinations (e.g., LRRK2 + DJ-1 + PINK1) show epistatic buffering (one pathway deficit partially compensates for another)?</w:t>
      </w:r>
    </w:p>
    <w:p>
      <w:pPr>
        <w:pStyle w:val="ListParagraph"/>
        <w:numPr>
          <w:ilvl w:val="0"/>
          <w:numId w:val="2"/>
        </w:numPr>
        <w:spacing w:after="100" w:line="360"/>
      </w:pPr>
      <w:r>
        <w:rPr>
          <w:rFonts w:ascii="Arial" w:cs="Arial" w:eastAsia="Arial" w:hAnsi="Arial"/>
          <w:sz w:val="24"/>
          <w:szCs w:val="24"/>
        </w:rPr>
        <w:t xml:space="preserve">How do neuro-inflammatory and neuronal-intrinsic pathways (microglial activation vs neuronal autophagy) interact in phenotype severity?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Epistasis map of top 50 gene pairs with quantified interaction strength scores</w:t>
      </w:r>
    </w:p>
    <w:p>
      <w:pPr>
        <w:pStyle w:val="ListParagraph"/>
        <w:numPr>
          <w:ilvl w:val="0"/>
          <w:numId w:val="2"/>
        </w:numPr>
        <w:spacing w:after="100" w:line="360"/>
      </w:pPr>
      <w:r>
        <w:rPr>
          <w:rFonts w:ascii="Arial" w:cs="Arial" w:eastAsia="Arial" w:hAnsi="Arial"/>
          <w:sz w:val="24"/>
          <w:szCs w:val="24"/>
        </w:rPr>
        <w:t xml:space="preserve">Hierarchical pathway clustering (core multi-pathway axes, regulatory relationships, epistatic dependencies)</w:t>
      </w:r>
    </w:p>
    <w:p>
      <w:pPr>
        <w:pStyle w:val="ListParagraph"/>
        <w:numPr>
          <w:ilvl w:val="0"/>
          <w:numId w:val="2"/>
        </w:numPr>
        <w:spacing w:after="100" w:line="360"/>
      </w:pPr>
      <w:r>
        <w:rPr>
          <w:rFonts w:ascii="Arial" w:cs="Arial" w:eastAsia="Arial" w:hAnsi="Arial"/>
          <w:sz w:val="24"/>
          <w:szCs w:val="24"/>
        </w:rPr>
        <w:t xml:space="preserve">Validated multi-pathway dysfunction signatures for polypharmacology screening (combination phenotypes requiring multi-target correction)</w:t>
      </w:r>
    </w:p>
    <w:p>
      <w:pPr>
        <w:pStyle w:val="ListParagraph"/>
        <w:numPr>
          <w:ilvl w:val="0"/>
          <w:numId w:val="2"/>
        </w:numPr>
        <w:spacing w:after="100" w:line="360"/>
      </w:pPr>
      <w:r>
        <w:rPr>
          <w:rFonts w:ascii="Arial" w:cs="Arial" w:eastAsia="Arial" w:hAnsi="Arial"/>
          <w:sz w:val="24"/>
          <w:szCs w:val="24"/>
        </w:rPr>
        <w:t xml:space="preserve">Network diagrams showing pathway connectivity and nodes amenable to pharmacological intervention</w:t>
      </w:r>
    </w:p>
    <w:p>
      <w:pPr>
        <w:pStyle w:val="ListParagraph"/>
        <w:numPr>
          <w:ilvl w:val="0"/>
          <w:numId w:val="2"/>
        </w:numPr>
        <w:spacing w:after="100" w:line="360"/>
      </w:pPr>
      <w:r>
        <w:rPr>
          <w:rFonts w:ascii="Arial" w:cs="Arial" w:eastAsia="Arial" w:hAnsi="Arial"/>
          <w:sz w:val="24"/>
          <w:szCs w:val="24"/>
        </w:rPr>
        <w:t xml:space="preserve">Pathway precedence/hierarchy models (which pathway dysregulation is most upstream/consequential)</w:t>
      </w:r>
    </w:p>
    <w:p>
      <w:pPr>
        <w:pStyle w:val="ListParagraph"/>
        <w:numPr>
          <w:ilvl w:val="0"/>
          <w:numId w:val="2"/>
        </w:numPr>
        <w:spacing w:after="100" w:line="360"/>
      </w:pPr>
      <w:r>
        <w:rPr>
          <w:rFonts w:ascii="Arial" w:cs="Arial" w:eastAsia="Arial" w:hAnsi="Arial"/>
          <w:sz w:val="24"/>
          <w:szCs w:val="24"/>
        </w:rPr>
        <w:t xml:space="preserve">Selectivity optimization framework (which pathway combinations minimize off-target effects)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Structured JSON with pathway interaction matrices, epistasis scores, network diagrams, and clustering assignments</w:t>
      </w:r>
    </w:p>
    <w:p>
      <w:pPr>
        <w:pStyle w:val="Heading2"/>
        <w:spacing w:after="200" w:before="200"/>
      </w:pPr>
      <w:r>
        <w:rPr>
          <w:rFonts w:ascii="Arial" w:cs="Arial" w:eastAsia="Arial" w:hAnsi="Arial"/>
          <w:b/>
          <w:bCs/>
          <w:sz w:val="28"/>
          <w:szCs w:val="28"/>
        </w:rPr>
        <w:t xml:space="preserve">Stage 2: Single-Compound Polypharmacology Profiling &amp; Multi-Target Scoring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Screen Quiver compound library for inherent polypharmacology (multi-target engagement) and score compounds by breadth of pathway correction across validated multi-pathway dysfunction signatures.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Quiver EP Compound Library (3,500+ compounds, 500+ neural features per compound)</w:t>
      </w:r>
    </w:p>
    <w:p>
      <w:pPr>
        <w:pStyle w:val="ListParagraph"/>
        <w:numPr>
          <w:ilvl w:val="0"/>
          <w:numId w:val="2"/>
        </w:numPr>
        <w:spacing w:after="100" w:line="360"/>
      </w:pPr>
      <w:r>
        <w:rPr>
          <w:rFonts w:ascii="Arial" w:cs="Arial" w:eastAsia="Arial" w:hAnsi="Arial"/>
          <w:sz w:val="24"/>
          <w:szCs w:val="24"/>
        </w:rPr>
        <w:t xml:space="preserve">Established multi-pathway dysfunction signatures from Stage 1 (synergistic phenotypes requiring multi-target correction)</w:t>
      </w:r>
    </w:p>
    <w:p>
      <w:pPr>
        <w:pStyle w:val="ListParagraph"/>
        <w:numPr>
          <w:ilvl w:val="0"/>
          <w:numId w:val="2"/>
        </w:numPr>
        <w:spacing w:after="100" w:line="360"/>
      </w:pPr>
      <w:r>
        <w:rPr>
          <w:rFonts w:ascii="Arial" w:cs="Arial" w:eastAsia="Arial" w:hAnsi="Arial"/>
          <w:sz w:val="24"/>
          <w:szCs w:val="24"/>
        </w:rPr>
        <w:t xml:space="preserve">Kinase selectivity panels, transcriptomic profiling, and target engagement assays for compounds in Quiver library</w:t>
      </w:r>
    </w:p>
    <w:p>
      <w:pPr>
        <w:pStyle w:val="ListParagraph"/>
        <w:numPr>
          <w:ilvl w:val="0"/>
          <w:numId w:val="2"/>
        </w:numPr>
        <w:spacing w:after="100" w:line="360"/>
      </w:pPr>
      <w:r>
        <w:rPr>
          <w:rFonts w:ascii="Arial" w:cs="Arial" w:eastAsia="Arial" w:hAnsi="Arial"/>
          <w:sz w:val="24"/>
          <w:szCs w:val="24"/>
        </w:rPr>
        <w:t xml:space="preserve">Published mechanisms of action for known polypharmacology drugs (multi-kinase inhibitors, dual-mechanism compounds)</w:t>
      </w:r>
    </w:p>
    <w:p>
      <w:pPr>
        <w:pStyle w:val="ListParagraph"/>
        <w:numPr>
          <w:ilvl w:val="0"/>
          <w:numId w:val="2"/>
        </w:numPr>
        <w:spacing w:after="100" w:line="360"/>
      </w:pPr>
      <w:r>
        <w:rPr>
          <w:rFonts w:ascii="Arial" w:cs="Arial" w:eastAsia="Arial" w:hAnsi="Arial"/>
          <w:sz w:val="24"/>
          <w:szCs w:val="24"/>
        </w:rPr>
        <w:t xml:space="preserve">Compound target databases (ChEMBL, DrugBank, STITCH) with multi-target annotations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EP Compound Profiling Platform (multi-pathway phenotype assessment)</w:t>
      </w:r>
    </w:p>
    <w:p>
      <w:pPr>
        <w:pStyle w:val="ListParagraph"/>
        <w:numPr>
          <w:ilvl w:val="0"/>
          <w:numId w:val="2"/>
        </w:numPr>
        <w:spacing w:after="100" w:line="360"/>
      </w:pPr>
      <w:r>
        <w:rPr>
          <w:rFonts w:ascii="Arial" w:cs="Arial" w:eastAsia="Arial" w:hAnsi="Arial"/>
          <w:sz w:val="24"/>
          <w:szCs w:val="24"/>
        </w:rPr>
        <w:t xml:space="preserve">Kinase inhibitor selectivity databases (DiscoverX KINOMEscan, HMS LINCS, published selectivity reviews)</w:t>
      </w:r>
    </w:p>
    <w:p>
      <w:pPr>
        <w:pStyle w:val="ListParagraph"/>
        <w:numPr>
          <w:ilvl w:val="0"/>
          <w:numId w:val="2"/>
        </w:numPr>
        <w:spacing w:after="100" w:line="360"/>
      </w:pPr>
      <w:r>
        <w:rPr>
          <w:rFonts w:ascii="Arial" w:cs="Arial" w:eastAsia="Arial" w:hAnsi="Arial"/>
          <w:sz w:val="24"/>
          <w:szCs w:val="24"/>
        </w:rPr>
        <w:t xml:space="preserve">Transcriptomic effect profiling (Connectivity Map, LINCS databases) for off-target pathway analysis</w:t>
      </w:r>
    </w:p>
    <w:p>
      <w:pPr>
        <w:pStyle w:val="ListParagraph"/>
        <w:numPr>
          <w:ilvl w:val="0"/>
          <w:numId w:val="2"/>
        </w:numPr>
        <w:spacing w:after="100" w:line="360"/>
      </w:pPr>
      <w:r>
        <w:rPr>
          <w:rFonts w:ascii="Arial" w:cs="Arial" w:eastAsia="Arial" w:hAnsi="Arial"/>
          <w:sz w:val="24"/>
          <w:szCs w:val="24"/>
        </w:rPr>
        <w:t xml:space="preserve">Multi-target scoring algorithm (quantifying breadth of pathway engagement vs potency)</w:t>
      </w:r>
    </w:p>
    <w:p>
      <w:pPr>
        <w:pStyle w:val="ListParagraph"/>
        <w:numPr>
          <w:ilvl w:val="0"/>
          <w:numId w:val="2"/>
        </w:numPr>
        <w:spacing w:after="100" w:line="360"/>
      </w:pPr>
      <w:r>
        <w:rPr>
          <w:rFonts w:ascii="Arial" w:cs="Arial" w:eastAsia="Arial" w:hAnsi="Arial"/>
          <w:sz w:val="24"/>
          <w:szCs w:val="24"/>
        </w:rPr>
        <w:t xml:space="preserve">Machine learning classifiers (XGBoost, neural networks) predicting multi-target benefit from selectivity profiles</w:t>
      </w:r>
    </w:p>
    <w:p>
      <w:pPr>
        <w:pStyle w:val="ListParagraph"/>
        <w:numPr>
          <w:ilvl w:val="0"/>
          <w:numId w:val="2"/>
        </w:numPr>
        <w:spacing w:after="100" w:line="360"/>
      </w:pPr>
      <w:r>
        <w:rPr>
          <w:rFonts w:ascii="Arial" w:cs="Arial" w:eastAsia="Arial" w:hAnsi="Arial"/>
          <w:sz w:val="24"/>
          <w:szCs w:val="24"/>
        </w:rPr>
        <w:t xml:space="preserve">Network pharmacology analysis (target interaction networks, pathway overlap quantification)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compounds in Quiver library simultaneously engage 3-5 key disease-relevant pathway targets (true polypharmacology vs off-target toxicity)?</w:t>
      </w:r>
    </w:p>
    <w:p>
      <w:pPr>
        <w:pStyle w:val="ListParagraph"/>
        <w:numPr>
          <w:ilvl w:val="0"/>
          <w:numId w:val="2"/>
        </w:numPr>
        <w:spacing w:after="100" w:line="360"/>
      </w:pPr>
      <w:r>
        <w:rPr>
          <w:rFonts w:ascii="Arial" w:cs="Arial" w:eastAsia="Arial" w:hAnsi="Arial"/>
          <w:sz w:val="24"/>
          <w:szCs w:val="24"/>
        </w:rPr>
        <w:t xml:space="preserve">How do multi-kinase inhibitors rank in their ability to correct multi-pathway dysfunction signatures vs selective single-target compounds?</w:t>
      </w:r>
    </w:p>
    <w:p>
      <w:pPr>
        <w:pStyle w:val="ListParagraph"/>
        <w:numPr>
          <w:ilvl w:val="0"/>
          <w:numId w:val="2"/>
        </w:numPr>
        <w:spacing w:after="100" w:line="360"/>
      </w:pPr>
      <w:r>
        <w:rPr>
          <w:rFonts w:ascii="Arial" w:cs="Arial" w:eastAsia="Arial" w:hAnsi="Arial"/>
          <w:sz w:val="24"/>
          <w:szCs w:val="24"/>
        </w:rPr>
        <w:t xml:space="preserve">Identify novel polypharmacology compounds that engage unexpected but mechanistically complementary targets (e.g., LRRK2 inhibitor with bonus mitochondrial complex activity).</w:t>
      </w:r>
    </w:p>
    <w:p>
      <w:pPr>
        <w:pStyle w:val="ListParagraph"/>
        <w:numPr>
          <w:ilvl w:val="0"/>
          <w:numId w:val="2"/>
        </w:numPr>
        <w:spacing w:after="100" w:line="360"/>
      </w:pPr>
      <w:r>
        <w:rPr>
          <w:rFonts w:ascii="Arial" w:cs="Arial" w:eastAsia="Arial" w:hAnsi="Arial"/>
          <w:sz w:val="24"/>
          <w:szCs w:val="24"/>
        </w:rPr>
        <w:t xml:space="preserve">For top multi-target compounds, which target combinations contribute most to phenotype reversal (determining core vs non-essential targets)?</w:t>
      </w:r>
    </w:p>
    <w:p>
      <w:pPr>
        <w:pStyle w:val="ListParagraph"/>
        <w:numPr>
          <w:ilvl w:val="0"/>
          <w:numId w:val="2"/>
        </w:numPr>
        <w:spacing w:after="100" w:line="360"/>
      </w:pPr>
      <w:r>
        <w:rPr>
          <w:rFonts w:ascii="Arial" w:cs="Arial" w:eastAsia="Arial" w:hAnsi="Arial"/>
          <w:sz w:val="24"/>
          <w:szCs w:val="24"/>
        </w:rPr>
        <w:t xml:space="preserve">Are there compounds with dual or triple polypharmacology profiles targeting orthogonal pathway axes (e.g., LRRK2 + mitochondrial + autophagy enhancement)?</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list of 50 single compounds with inherent polypharmacology (multi-target profiles)</w:t>
      </w:r>
    </w:p>
    <w:p>
      <w:pPr>
        <w:pStyle w:val="ListParagraph"/>
        <w:numPr>
          <w:ilvl w:val="0"/>
          <w:numId w:val="2"/>
        </w:numPr>
        <w:spacing w:after="100" w:line="360"/>
      </w:pPr>
      <w:r>
        <w:rPr>
          <w:rFonts w:ascii="Arial" w:cs="Arial" w:eastAsia="Arial" w:hAnsi="Arial"/>
          <w:sz w:val="24"/>
          <w:szCs w:val="24"/>
        </w:rPr>
        <w:t xml:space="preserve">Multi-target engagement matrix (which pathways each compound engages, potency per target, selectivity assessment)</w:t>
      </w:r>
    </w:p>
    <w:p>
      <w:pPr>
        <w:pStyle w:val="ListParagraph"/>
        <w:numPr>
          <w:ilvl w:val="0"/>
          <w:numId w:val="2"/>
        </w:numPr>
        <w:spacing w:after="100" w:line="360"/>
      </w:pPr>
      <w:r>
        <w:rPr>
          <w:rFonts w:ascii="Arial" w:cs="Arial" w:eastAsia="Arial" w:hAnsi="Arial"/>
          <w:sz w:val="24"/>
          <w:szCs w:val="24"/>
        </w:rPr>
        <w:t xml:space="preserve">Multi-pathway dysfunction reversal scores for each compound (breadth of phenotype correction)</w:t>
      </w:r>
    </w:p>
    <w:p>
      <w:pPr>
        <w:pStyle w:val="ListParagraph"/>
        <w:numPr>
          <w:ilvl w:val="0"/>
          <w:numId w:val="2"/>
        </w:numPr>
        <w:spacing w:after="100" w:line="360"/>
      </w:pPr>
      <w:r>
        <w:rPr>
          <w:rFonts w:ascii="Arial" w:cs="Arial" w:eastAsia="Arial" w:hAnsi="Arial"/>
          <w:sz w:val="24"/>
          <w:szCs w:val="24"/>
        </w:rPr>
        <w:t xml:space="preserve">Mechanism clustering (compounds grouped by similar target profiles and pathway combinations)</w:t>
      </w:r>
    </w:p>
    <w:p>
      <w:pPr>
        <w:pStyle w:val="ListParagraph"/>
        <w:numPr>
          <w:ilvl w:val="0"/>
          <w:numId w:val="2"/>
        </w:numPr>
        <w:spacing w:after="100" w:line="360"/>
      </w:pPr>
      <w:r>
        <w:rPr>
          <w:rFonts w:ascii="Arial" w:cs="Arial" w:eastAsia="Arial" w:hAnsi="Arial"/>
          <w:sz w:val="24"/>
          <w:szCs w:val="24"/>
        </w:rPr>
        <w:t xml:space="preserve">Polypharmacology potency vs selectivity trade-off analysis</w:t>
      </w:r>
    </w:p>
    <w:p>
      <w:pPr>
        <w:pStyle w:val="ListParagraph"/>
        <w:numPr>
          <w:ilvl w:val="0"/>
          <w:numId w:val="2"/>
        </w:numPr>
        <w:spacing w:after="100" w:line="360"/>
      </w:pPr>
      <w:r>
        <w:rPr>
          <w:rFonts w:ascii="Arial" w:cs="Arial" w:eastAsia="Arial" w:hAnsi="Arial"/>
          <w:sz w:val="24"/>
          <w:szCs w:val="24"/>
        </w:rPr>
        <w:t xml:space="preserve">Off-target liability assessment for each candidate (potential for toxicity from unintended targets)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Ranked CSV/JSON with compound identifiers, target lists, multi-target scores, pathway engagement profiles, and selectivity assessments</w:t>
      </w:r>
    </w:p>
    <w:p>
      <w:pPr>
        <w:pStyle w:val="Heading2"/>
        <w:spacing w:after="200" w:before="200"/>
      </w:pPr>
      <w:r>
        <w:rPr>
          <w:rFonts w:ascii="Arial" w:cs="Arial" w:eastAsia="Arial" w:hAnsi="Arial"/>
          <w:b/>
          <w:bCs/>
          <w:sz w:val="28"/>
          <w:szCs w:val="28"/>
        </w:rPr>
        <w:t xml:space="preserve">Stage 3: Multi-Drug Combination Optimization &amp; Synergy Quantification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and optimize two-drug and three-drug combinations targeting complementary pathway axes, quantify synergistic phenotype reversals, and develop synergy-based selection criteria.</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50 single-compound polypharmacology agents from Stage 2</w:t>
      </w:r>
    </w:p>
    <w:p>
      <w:pPr>
        <w:pStyle w:val="ListParagraph"/>
        <w:numPr>
          <w:ilvl w:val="0"/>
          <w:numId w:val="2"/>
        </w:numPr>
        <w:spacing w:after="100" w:line="360"/>
      </w:pPr>
      <w:r>
        <w:rPr>
          <w:rFonts w:ascii="Arial" w:cs="Arial" w:eastAsia="Arial" w:hAnsi="Arial"/>
          <w:sz w:val="24"/>
          <w:szCs w:val="24"/>
        </w:rPr>
        <w:t xml:space="preserve">Quiver EP compound combination data (pairwise and triplet combinations, phenotype measurements)</w:t>
      </w:r>
    </w:p>
    <w:p>
      <w:pPr>
        <w:pStyle w:val="ListParagraph"/>
        <w:numPr>
          <w:ilvl w:val="0"/>
          <w:numId w:val="2"/>
        </w:numPr>
        <w:spacing w:after="100" w:line="360"/>
      </w:pPr>
      <w:r>
        <w:rPr>
          <w:rFonts w:ascii="Arial" w:cs="Arial" w:eastAsia="Arial" w:hAnsi="Arial"/>
          <w:sz w:val="24"/>
          <w:szCs w:val="24"/>
        </w:rPr>
        <w:t xml:space="preserve">Synergy models and datasets (Bliss independence, Loewe additivity, Hill surface models, published combinations)</w:t>
      </w:r>
    </w:p>
    <w:p>
      <w:pPr>
        <w:pStyle w:val="ListParagraph"/>
        <w:numPr>
          <w:ilvl w:val="0"/>
          <w:numId w:val="2"/>
        </w:numPr>
        <w:spacing w:after="100" w:line="360"/>
      </w:pPr>
      <w:r>
        <w:rPr>
          <w:rFonts w:ascii="Arial" w:cs="Arial" w:eastAsia="Arial" w:hAnsi="Arial"/>
          <w:sz w:val="24"/>
          <w:szCs w:val="24"/>
        </w:rPr>
        <w:t xml:space="preserve">Published successful polypharmacology combinations in neurodegenerative disease (target rationale, efficacy data)</w:t>
      </w:r>
    </w:p>
    <w:p>
      <w:pPr>
        <w:pStyle w:val="ListParagraph"/>
        <w:numPr>
          <w:ilvl w:val="0"/>
          <w:numId w:val="2"/>
        </w:numPr>
        <w:spacing w:after="100" w:line="360"/>
      </w:pPr>
      <w:r>
        <w:rPr>
          <w:rFonts w:ascii="Arial" w:cs="Arial" w:eastAsia="Arial" w:hAnsi="Arial"/>
          <w:sz w:val="24"/>
          <w:szCs w:val="24"/>
        </w:rPr>
        <w:t xml:space="preserve">Dose-response data for single agents enabling synergy modeling at all relevant concentrations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EP Platform for pairwise/triplet compound testing and synergy phenotyping</w:t>
      </w:r>
    </w:p>
    <w:p>
      <w:pPr>
        <w:pStyle w:val="ListParagraph"/>
        <w:numPr>
          <w:ilvl w:val="0"/>
          <w:numId w:val="2"/>
        </w:numPr>
        <w:spacing w:after="100" w:line="360"/>
      </w:pPr>
      <w:r>
        <w:rPr>
          <w:rFonts w:ascii="Arial" w:cs="Arial" w:eastAsia="Arial" w:hAnsi="Arial"/>
          <w:sz w:val="24"/>
          <w:szCs w:val="24"/>
        </w:rPr>
        <w:t xml:space="preserve">Synergy quantification tools (Combenefit, Tidyman R package, Synergyfinder database)</w:t>
      </w:r>
    </w:p>
    <w:p>
      <w:pPr>
        <w:pStyle w:val="ListParagraph"/>
        <w:numPr>
          <w:ilvl w:val="0"/>
          <w:numId w:val="2"/>
        </w:numPr>
        <w:spacing w:after="100" w:line="360"/>
      </w:pPr>
      <w:r>
        <w:rPr>
          <w:rFonts w:ascii="Arial" w:cs="Arial" w:eastAsia="Arial" w:hAnsi="Arial"/>
          <w:sz w:val="24"/>
          <w:szCs w:val="24"/>
        </w:rPr>
        <w:t xml:space="preserve">Multi-dimensional phenotype analysis (PCA, hierarchical clustering) for synergy assessment across 500+ features</w:t>
      </w:r>
    </w:p>
    <w:p>
      <w:pPr>
        <w:pStyle w:val="ListParagraph"/>
        <w:numPr>
          <w:ilvl w:val="0"/>
          <w:numId w:val="2"/>
        </w:numPr>
        <w:spacing w:after="100" w:line="360"/>
      </w:pPr>
      <w:r>
        <w:rPr>
          <w:rFonts w:ascii="Arial" w:cs="Arial" w:eastAsia="Arial" w:hAnsi="Arial"/>
          <w:sz w:val="24"/>
          <w:szCs w:val="24"/>
        </w:rPr>
        <w:t xml:space="preserve">Pharmacological synergy modeling (Bliss, Loewe, Hill surface fitting)</w:t>
      </w:r>
    </w:p>
    <w:p>
      <w:pPr>
        <w:pStyle w:val="ListParagraph"/>
        <w:numPr>
          <w:ilvl w:val="0"/>
          <w:numId w:val="2"/>
        </w:numPr>
        <w:spacing w:after="100" w:line="360"/>
      </w:pPr>
      <w:r>
        <w:rPr>
          <w:rFonts w:ascii="Arial" w:cs="Arial" w:eastAsia="Arial" w:hAnsi="Arial"/>
          <w:sz w:val="24"/>
          <w:szCs w:val="24"/>
        </w:rPr>
        <w:t xml:space="preserve">Optimization algorithms (genetic algorithms, Bayesian optimization) for dose ratio optimization</w:t>
      </w:r>
    </w:p>
    <w:p>
      <w:pPr>
        <w:pStyle w:val="ListParagraph"/>
        <w:numPr>
          <w:ilvl w:val="0"/>
          <w:numId w:val="2"/>
        </w:numPr>
        <w:spacing w:after="100" w:line="360"/>
      </w:pPr>
      <w:r>
        <w:rPr>
          <w:rFonts w:ascii="Arial" w:cs="Arial" w:eastAsia="Arial" w:hAnsi="Arial"/>
          <w:sz w:val="24"/>
          <w:szCs w:val="24"/>
        </w:rPr>
        <w:t xml:space="preserve">Network pharmacology for combination mechanism validation (pathway target coverage analysis)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are the top 10 two-drug combinations showing strongest synergistic multi-pathway dysfunction reversal (Bliss/Loewe synergy scores &gt; 10-20)?</w:t>
      </w:r>
    </w:p>
    <w:p>
      <w:pPr>
        <w:pStyle w:val="ListParagraph"/>
        <w:numPr>
          <w:ilvl w:val="0"/>
          <w:numId w:val="2"/>
        </w:numPr>
        <w:spacing w:after="100" w:line="360"/>
      </w:pPr>
      <w:r>
        <w:rPr>
          <w:rFonts w:ascii="Arial" w:cs="Arial" w:eastAsia="Arial" w:hAnsi="Arial"/>
          <w:sz w:val="24"/>
          <w:szCs w:val="24"/>
        </w:rPr>
        <w:t xml:space="preserve">For synergistic combinations, what is the optimal drug ratio and timing (simultaneous vs sequential dosing)?</w:t>
      </w:r>
    </w:p>
    <w:p>
      <w:pPr>
        <w:pStyle w:val="ListParagraph"/>
        <w:numPr>
          <w:ilvl w:val="0"/>
          <w:numId w:val="2"/>
        </w:numPr>
        <w:spacing w:after="100" w:line="360"/>
      </w:pPr>
      <w:r>
        <w:rPr>
          <w:rFonts w:ascii="Arial" w:cs="Arial" w:eastAsia="Arial" w:hAnsi="Arial"/>
          <w:sz w:val="24"/>
          <w:szCs w:val="24"/>
        </w:rPr>
        <w:t xml:space="preserve">Identify combinations targeting orthogonal pathway axes (e.g., LRRK2 inhibitor + TFEB activator + calcium stabilizer) that show additive or synergistic benefit.</w:t>
      </w:r>
    </w:p>
    <w:p>
      <w:pPr>
        <w:pStyle w:val="ListParagraph"/>
        <w:numPr>
          <w:ilvl w:val="0"/>
          <w:numId w:val="2"/>
        </w:numPr>
        <w:spacing w:after="100" w:line="360"/>
      </w:pPr>
      <w:r>
        <w:rPr>
          <w:rFonts w:ascii="Arial" w:cs="Arial" w:eastAsia="Arial" w:hAnsi="Arial"/>
          <w:sz w:val="24"/>
          <w:szCs w:val="24"/>
        </w:rPr>
        <w:t xml:space="preserve">How does phenotype synergy score correlate with target-level synergy (are phenotypic synergies explainable by target epistasis)?</w:t>
      </w:r>
    </w:p>
    <w:p>
      <w:pPr>
        <w:pStyle w:val="ListParagraph"/>
        <w:numPr>
          <w:ilvl w:val="0"/>
          <w:numId w:val="2"/>
        </w:numPr>
        <w:spacing w:after="100" w:line="360"/>
      </w:pPr>
      <w:r>
        <w:rPr>
          <w:rFonts w:ascii="Arial" w:cs="Arial" w:eastAsia="Arial" w:hAnsi="Arial"/>
          <w:sz w:val="24"/>
          <w:szCs w:val="24"/>
        </w:rPr>
        <w:t xml:space="preserve">Which two-drug combinations could be simplified to single novel polypharmacology compounds (identifying synthesis targets for drug discovery)?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list of top 15 two-drug combinations with comprehensive synergy scores and mechanism justifications</w:t>
      </w:r>
    </w:p>
    <w:p>
      <w:pPr>
        <w:pStyle w:val="ListParagraph"/>
        <w:numPr>
          <w:ilvl w:val="0"/>
          <w:numId w:val="2"/>
        </w:numPr>
        <w:spacing w:after="100" w:line="360"/>
      </w:pPr>
      <w:r>
        <w:rPr>
          <w:rFonts w:ascii="Arial" w:cs="Arial" w:eastAsia="Arial" w:hAnsi="Arial"/>
          <w:sz w:val="24"/>
          <w:szCs w:val="24"/>
        </w:rPr>
        <w:t xml:space="preserve">Ranked list of top 10 three-drug combinations with synergy matrices and optimal dosing recommendations</w:t>
      </w:r>
    </w:p>
    <w:p>
      <w:pPr>
        <w:pStyle w:val="ListParagraph"/>
        <w:numPr>
          <w:ilvl w:val="0"/>
          <w:numId w:val="2"/>
        </w:numPr>
        <w:spacing w:after="100" w:line="360"/>
      </w:pPr>
      <w:r>
        <w:rPr>
          <w:rFonts w:ascii="Arial" w:cs="Arial" w:eastAsia="Arial" w:hAnsi="Arial"/>
          <w:sz w:val="24"/>
          <w:szCs w:val="24"/>
        </w:rPr>
        <w:t xml:space="preserve">Synergy heatmaps (all 500+ phenotypes) showing which features respond synergistically vs non-additively to each combination</w:t>
      </w:r>
    </w:p>
    <w:p>
      <w:pPr>
        <w:pStyle w:val="ListParagraph"/>
        <w:numPr>
          <w:ilvl w:val="0"/>
          <w:numId w:val="2"/>
        </w:numPr>
        <w:spacing w:after="100" w:line="360"/>
      </w:pPr>
      <w:r>
        <w:rPr>
          <w:rFonts w:ascii="Arial" w:cs="Arial" w:eastAsia="Arial" w:hAnsi="Arial"/>
          <w:sz w:val="24"/>
          <w:szCs w:val="24"/>
        </w:rPr>
        <w:t xml:space="preserve">Dose-response models with optimal drug ratios for maximal synergy</w:t>
      </w:r>
    </w:p>
    <w:p>
      <w:pPr>
        <w:pStyle w:val="ListParagraph"/>
        <w:numPr>
          <w:ilvl w:val="0"/>
          <w:numId w:val="2"/>
        </w:numPr>
        <w:spacing w:after="100" w:line="360"/>
      </w:pPr>
      <w:r>
        <w:rPr>
          <w:rFonts w:ascii="Arial" w:cs="Arial" w:eastAsia="Arial" w:hAnsi="Arial"/>
          <w:sz w:val="24"/>
          <w:szCs w:val="24"/>
        </w:rPr>
        <w:t xml:space="preserve">Pharmacodynamic biomarker recommendations for monitoring multi-target engagement in vivo/clinically</w:t>
      </w:r>
    </w:p>
    <w:p>
      <w:pPr>
        <w:pStyle w:val="ListParagraph"/>
        <w:numPr>
          <w:ilvl w:val="0"/>
          <w:numId w:val="2"/>
        </w:numPr>
        <w:spacing w:after="100" w:line="360"/>
      </w:pPr>
      <w:r>
        <w:rPr>
          <w:rFonts w:ascii="Arial" w:cs="Arial" w:eastAsia="Arial" w:hAnsi="Arial"/>
          <w:sz w:val="24"/>
          <w:szCs w:val="24"/>
        </w:rPr>
        <w:t xml:space="preserve">Novel polypharmacology target profiles identified by reverse-engineering successful combinations (potential drug discovery guidance)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Comprehensive combination ranking tables (CSV/JSON/PDF) with synergy matrices, mechanism validation, dose optimization, and biomarker recommendations</w:t>
      </w:r>
    </w:p>
    <w:p>
      <w:pPr>
        <w:pStyle w:val="Heading2"/>
        <w:spacing w:after="200" w:before="200"/>
      </w:pPr>
      <w:r>
        <w:rPr>
          <w:rFonts w:ascii="Arial" w:cs="Arial" w:eastAsia="Arial" w:hAnsi="Arial"/>
          <w:b/>
          <w:bCs/>
          <w:sz w:val="28"/>
          <w:szCs w:val="28"/>
        </w:rPr>
        <w:t xml:space="preserve">Stage 4: Selectivity Optimization, Off-Target Liability Assessment &amp; Tolerability Modeling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Optimize multi-target selectivity to maximize therapeutic pathway engagement while minimizing off-target binding and predicting tolerability/safety profile in clinical translation.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65 candidates (50 single-compound polypharmacology + 15 two/three-drug combinations) from Stages 2-3</w:t>
      </w:r>
    </w:p>
    <w:p>
      <w:pPr>
        <w:pStyle w:val="ListParagraph"/>
        <w:numPr>
          <w:ilvl w:val="0"/>
          <w:numId w:val="2"/>
        </w:numPr>
        <w:spacing w:after="100" w:line="360"/>
      </w:pPr>
      <w:r>
        <w:rPr>
          <w:rFonts w:ascii="Arial" w:cs="Arial" w:eastAsia="Arial" w:hAnsi="Arial"/>
          <w:sz w:val="24"/>
          <w:szCs w:val="24"/>
        </w:rPr>
        <w:t xml:space="preserve">Complete kinase selectivity panels, transcriptomic profiles, and binding data for all compounds</w:t>
      </w:r>
    </w:p>
    <w:p>
      <w:pPr>
        <w:pStyle w:val="ListParagraph"/>
        <w:numPr>
          <w:ilvl w:val="0"/>
          <w:numId w:val="2"/>
        </w:numPr>
        <w:spacing w:after="100" w:line="360"/>
      </w:pPr>
      <w:r>
        <w:rPr>
          <w:rFonts w:ascii="Arial" w:cs="Arial" w:eastAsia="Arial" w:hAnsi="Arial"/>
          <w:sz w:val="24"/>
          <w:szCs w:val="24"/>
        </w:rPr>
        <w:t xml:space="preserve">Off-target toxicity databases (ToxCast, PubChem BioAssay, published toxicity reviews)</w:t>
      </w:r>
    </w:p>
    <w:p>
      <w:pPr>
        <w:pStyle w:val="ListParagraph"/>
        <w:numPr>
          <w:ilvl w:val="0"/>
          <w:numId w:val="2"/>
        </w:numPr>
        <w:spacing w:after="100" w:line="360"/>
      </w:pPr>
      <w:r>
        <w:rPr>
          <w:rFonts w:ascii="Arial" w:cs="Arial" w:eastAsia="Arial" w:hAnsi="Arial"/>
          <w:sz w:val="24"/>
          <w:szCs w:val="24"/>
        </w:rPr>
        <w:t xml:space="preserve">Expression/pathway analysis in non-neuronal tissues (heart, liver, immune cells) to predict organ-specific toxicities</w:t>
      </w:r>
    </w:p>
    <w:p>
      <w:pPr>
        <w:pStyle w:val="ListParagraph"/>
        <w:numPr>
          <w:ilvl w:val="0"/>
          <w:numId w:val="2"/>
        </w:numPr>
        <w:spacing w:after="100" w:line="360"/>
      </w:pPr>
      <w:r>
        <w:rPr>
          <w:rFonts w:ascii="Arial" w:cs="Arial" w:eastAsia="Arial" w:hAnsi="Arial"/>
          <w:sz w:val="24"/>
          <w:szCs w:val="24"/>
        </w:rPr>
        <w:t xml:space="preserve">Published safety signals and adverse event profiles for multi-target inhibitors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Kinase selectivity matrix analysis (DiscoverX KINOMEscan data, HMS LINCS selectivity profiles)</w:t>
      </w:r>
    </w:p>
    <w:p>
      <w:pPr>
        <w:pStyle w:val="ListParagraph"/>
        <w:numPr>
          <w:ilvl w:val="0"/>
          <w:numId w:val="2"/>
        </w:numPr>
        <w:spacing w:after="100" w:line="360"/>
      </w:pPr>
      <w:r>
        <w:rPr>
          <w:rFonts w:ascii="Arial" w:cs="Arial" w:eastAsia="Arial" w:hAnsi="Arial"/>
          <w:sz w:val="24"/>
          <w:szCs w:val="24"/>
        </w:rPr>
        <w:t xml:space="preserve">Transcriptomic off-target effect prediction (comparing candidate profiles to known toxicant signatures in ToxCast)</w:t>
      </w:r>
    </w:p>
    <w:p>
      <w:pPr>
        <w:pStyle w:val="ListParagraph"/>
        <w:numPr>
          <w:ilvl w:val="0"/>
          <w:numId w:val="2"/>
        </w:numPr>
        <w:spacing w:after="100" w:line="360"/>
      </w:pPr>
      <w:r>
        <w:rPr>
          <w:rFonts w:ascii="Arial" w:cs="Arial" w:eastAsia="Arial" w:hAnsi="Arial"/>
          <w:sz w:val="24"/>
          <w:szCs w:val="24"/>
        </w:rPr>
        <w:t xml:space="preserve">Organ-specific expression analysis (GTEx database) for predicting tissue-specific tolerability concerns</w:t>
      </w:r>
    </w:p>
    <w:p>
      <w:pPr>
        <w:pStyle w:val="ListParagraph"/>
        <w:numPr>
          <w:ilvl w:val="0"/>
          <w:numId w:val="2"/>
        </w:numPr>
        <w:spacing w:after="100" w:line="360"/>
      </w:pPr>
      <w:r>
        <w:rPr>
          <w:rFonts w:ascii="Arial" w:cs="Arial" w:eastAsia="Arial" w:hAnsi="Arial"/>
          <w:sz w:val="24"/>
          <w:szCs w:val="24"/>
        </w:rPr>
        <w:t xml:space="preserve">Binding pocket homology analysis (identifying structurally similar off-targets at each main target)</w:t>
      </w:r>
    </w:p>
    <w:p>
      <w:pPr>
        <w:pStyle w:val="ListParagraph"/>
        <w:numPr>
          <w:ilvl w:val="0"/>
          <w:numId w:val="2"/>
        </w:numPr>
        <w:spacing w:after="100" w:line="360"/>
      </w:pPr>
      <w:r>
        <w:rPr>
          <w:rFonts w:ascii="Arial" w:cs="Arial" w:eastAsia="Arial" w:hAnsi="Arial"/>
          <w:sz w:val="24"/>
          <w:szCs w:val="24"/>
        </w:rPr>
        <w:t xml:space="preserve">Machine learning off-target prediction models (trained on published kinase inhibitor adverse events)</w:t>
      </w:r>
    </w:p>
    <w:p>
      <w:pPr>
        <w:pStyle w:val="ListParagraph"/>
        <w:numPr>
          <w:ilvl w:val="0"/>
          <w:numId w:val="2"/>
        </w:numPr>
        <w:spacing w:after="100" w:line="360"/>
      </w:pPr>
      <w:r>
        <w:rPr>
          <w:rFonts w:ascii="Arial" w:cs="Arial" w:eastAsia="Arial" w:hAnsi="Arial"/>
          <w:sz w:val="24"/>
          <w:szCs w:val="24"/>
        </w:rPr>
        <w:t xml:space="preserve">Tolerability scoring integrating selectivity, off-target pathway engagement, and organ vulnerability</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top candidate compound, which off-target kinases or proteins does it engage at therapeutically relevant concentrations?</w:t>
      </w:r>
    </w:p>
    <w:p>
      <w:pPr>
        <w:pStyle w:val="ListParagraph"/>
        <w:numPr>
          <w:ilvl w:val="0"/>
          <w:numId w:val="2"/>
        </w:numPr>
        <w:spacing w:after="100" w:line="360"/>
      </w:pPr>
      <w:r>
        <w:rPr>
          <w:rFonts w:ascii="Arial" w:cs="Arial" w:eastAsia="Arial" w:hAnsi="Arial"/>
          <w:sz w:val="24"/>
          <w:szCs w:val="24"/>
        </w:rPr>
        <w:t xml:space="preserve">How do off-target binding profiles correlate with observed adverse events in published clinical trials of similar compounds?</w:t>
      </w:r>
    </w:p>
    <w:p>
      <w:pPr>
        <w:pStyle w:val="ListParagraph"/>
        <w:numPr>
          <w:ilvl w:val="0"/>
          <w:numId w:val="2"/>
        </w:numPr>
        <w:spacing w:after="100" w:line="360"/>
      </w:pPr>
      <w:r>
        <w:rPr>
          <w:rFonts w:ascii="Arial" w:cs="Arial" w:eastAsia="Arial" w:hAnsi="Arial"/>
          <w:sz w:val="24"/>
          <w:szCs w:val="24"/>
        </w:rPr>
        <w:t xml:space="preserve">Which therapeutic combinations maintain high selectivity for disease-relevant pathways while minimizing off-target binding across the kinome?</w:t>
      </w:r>
    </w:p>
    <w:p>
      <w:pPr>
        <w:pStyle w:val="ListParagraph"/>
        <w:numPr>
          <w:ilvl w:val="0"/>
          <w:numId w:val="2"/>
        </w:numPr>
        <w:spacing w:after="100" w:line="360"/>
      </w:pPr>
      <w:r>
        <w:rPr>
          <w:rFonts w:ascii="Arial" w:cs="Arial" w:eastAsia="Arial" w:hAnsi="Arial"/>
          <w:sz w:val="24"/>
          <w:szCs w:val="24"/>
        </w:rPr>
        <w:t xml:space="preserve">For compounds with suboptimal selectivity, are there structure-activity relationship opportunities to improve selectivity (identifying selectivity-improving chemical modifications)?</w:t>
      </w:r>
    </w:p>
    <w:p>
      <w:pPr>
        <w:pStyle w:val="ListParagraph"/>
        <w:numPr>
          <w:ilvl w:val="0"/>
          <w:numId w:val="2"/>
        </w:numPr>
        <w:spacing w:after="100" w:line="360"/>
      </w:pPr>
      <w:r>
        <w:rPr>
          <w:rFonts w:ascii="Arial" w:cs="Arial" w:eastAsia="Arial" w:hAnsi="Arial"/>
          <w:sz w:val="24"/>
          <w:szCs w:val="24"/>
        </w:rPr>
        <w:t xml:space="preserve">How do off-target liabilities change across the dose range needed to achieve therapeutic pathway engagement (therapeutic window assessment)?</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Comprehensive off-target liability assessment for all 65 candidates (kinase selectivity scores, off-target binding profiles)</w:t>
      </w:r>
    </w:p>
    <w:p>
      <w:pPr>
        <w:pStyle w:val="ListParagraph"/>
        <w:numPr>
          <w:ilvl w:val="0"/>
          <w:numId w:val="2"/>
        </w:numPr>
        <w:spacing w:after="100" w:line="360"/>
      </w:pPr>
      <w:r>
        <w:rPr>
          <w:rFonts w:ascii="Arial" w:cs="Arial" w:eastAsia="Arial" w:hAnsi="Arial"/>
          <w:sz w:val="24"/>
          <w:szCs w:val="24"/>
        </w:rPr>
        <w:t xml:space="preserve">Organ-specific tolerability predictions (cardiac, hepatic, hematologic, neurological safety concerns)</w:t>
      </w:r>
    </w:p>
    <w:p>
      <w:pPr>
        <w:pStyle w:val="ListParagraph"/>
        <w:numPr>
          <w:ilvl w:val="0"/>
          <w:numId w:val="2"/>
        </w:numPr>
        <w:spacing w:after="100" w:line="360"/>
      </w:pPr>
      <w:r>
        <w:rPr>
          <w:rFonts w:ascii="Arial" w:cs="Arial" w:eastAsia="Arial" w:hAnsi="Arial"/>
          <w:sz w:val="24"/>
          <w:szCs w:val="24"/>
        </w:rPr>
        <w:t xml:space="preserve">Selectivity optimization recommendations (chemical modifications, dose optimization, combination selection) to minimize toxicity risk</w:t>
      </w:r>
    </w:p>
    <w:p>
      <w:pPr>
        <w:pStyle w:val="ListParagraph"/>
        <w:numPr>
          <w:ilvl w:val="0"/>
          <w:numId w:val="2"/>
        </w:numPr>
        <w:spacing w:after="100" w:line="360"/>
      </w:pPr>
      <w:r>
        <w:rPr>
          <w:rFonts w:ascii="Arial" w:cs="Arial" w:eastAsia="Arial" w:hAnsi="Arial"/>
          <w:sz w:val="24"/>
          <w:szCs w:val="24"/>
        </w:rPr>
        <w:t xml:space="preserve">Tolerability scoring and ranking of candidates by integrated selectivity and predicted safety</w:t>
      </w:r>
    </w:p>
    <w:p>
      <w:pPr>
        <w:pStyle w:val="ListParagraph"/>
        <w:numPr>
          <w:ilvl w:val="0"/>
          <w:numId w:val="2"/>
        </w:numPr>
        <w:spacing w:after="100" w:line="360"/>
      </w:pPr>
      <w:r>
        <w:rPr>
          <w:rFonts w:ascii="Arial" w:cs="Arial" w:eastAsia="Arial" w:hAnsi="Arial"/>
          <w:sz w:val="24"/>
          <w:szCs w:val="24"/>
        </w:rPr>
        <w:t xml:space="preserve">Identified off-target pathways requiring monitoring in pre-clinical and clinical development</w:t>
      </w:r>
    </w:p>
    <w:p>
      <w:pPr>
        <w:pStyle w:val="ListParagraph"/>
        <w:numPr>
          <w:ilvl w:val="0"/>
          <w:numId w:val="2"/>
        </w:numPr>
        <w:spacing w:after="100" w:line="360"/>
      </w:pPr>
      <w:r>
        <w:rPr>
          <w:rFonts w:ascii="Arial" w:cs="Arial" w:eastAsia="Arial" w:hAnsi="Arial"/>
          <w:sz w:val="24"/>
          <w:szCs w:val="24"/>
        </w:rPr>
        <w:t xml:space="preserve">Refined candidate list (top 30-35) balancing therapeutic polypharmacology with acceptable selectivity/tolerability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Detailed selectivity assessment report (CSV/JSON/Word) with kinase selectivity matrices, off-target profiles, and tolerability predictions</w:t>
      </w:r>
    </w:p>
    <w:p>
      <w:pPr>
        <w:pStyle w:val="Heading2"/>
        <w:spacing w:after="200" w:before="200"/>
      </w:pPr>
      <w:r>
        <w:rPr>
          <w:rFonts w:ascii="Arial" w:cs="Arial" w:eastAsia="Arial" w:hAnsi="Arial"/>
          <w:b/>
          <w:bCs/>
          <w:sz w:val="28"/>
          <w:szCs w:val="28"/>
        </w:rPr>
        <w:t xml:space="preserve">Stage 5: Clinical Safety, PK/PD Integration &amp; Disease-Relevant Biomarker Validation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clinical trial safety data, population pharmacokinetics, and target engagement biomarkers to assess clinical viability of polypharmacology strategies.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30-35 refined candidates from Stage 4 (optimized selectivity profiles)</w:t>
      </w:r>
    </w:p>
    <w:p>
      <w:pPr>
        <w:pStyle w:val="ListParagraph"/>
        <w:numPr>
          <w:ilvl w:val="0"/>
          <w:numId w:val="2"/>
        </w:numPr>
        <w:spacing w:after="100" w:line="360"/>
      </w:pPr>
      <w:r>
        <w:rPr>
          <w:rFonts w:ascii="Arial" w:cs="Arial" w:eastAsia="Arial" w:hAnsi="Arial"/>
          <w:sz w:val="24"/>
          <w:szCs w:val="24"/>
        </w:rPr>
        <w:t xml:space="preserve">FDA pharmacology reviews and clinical trial data for multi-target inhibitor compounds</w:t>
      </w:r>
    </w:p>
    <w:p>
      <w:pPr>
        <w:pStyle w:val="ListParagraph"/>
        <w:numPr>
          <w:ilvl w:val="0"/>
          <w:numId w:val="2"/>
        </w:numPr>
        <w:spacing w:after="100" w:line="360"/>
      </w:pPr>
      <w:r>
        <w:rPr>
          <w:rFonts w:ascii="Arial" w:cs="Arial" w:eastAsia="Arial" w:hAnsi="Arial"/>
          <w:sz w:val="24"/>
          <w:szCs w:val="24"/>
        </w:rPr>
        <w:t xml:space="preserve">Published PK/PD studies demonstrating target engagement at clinically achievable exposures</w:t>
      </w:r>
    </w:p>
    <w:p>
      <w:pPr>
        <w:pStyle w:val="ListParagraph"/>
        <w:numPr>
          <w:ilvl w:val="0"/>
          <w:numId w:val="2"/>
        </w:numPr>
        <w:spacing w:after="100" w:line="360"/>
      </w:pPr>
      <w:r>
        <w:rPr>
          <w:rFonts w:ascii="Arial" w:cs="Arial" w:eastAsia="Arial" w:hAnsi="Arial"/>
          <w:sz w:val="24"/>
          <w:szCs w:val="24"/>
        </w:rPr>
        <w:t xml:space="preserve">Biomarker qualification data (circulating phosphoproteins, imaging biomarkers, cognitive outcomes) linking target engagement to efficacy</w:t>
      </w:r>
    </w:p>
    <w:p>
      <w:pPr>
        <w:pStyle w:val="ListParagraph"/>
        <w:numPr>
          <w:ilvl w:val="0"/>
          <w:numId w:val="2"/>
        </w:numPr>
        <w:spacing w:after="100" w:line="360"/>
      </w:pPr>
      <w:r>
        <w:rPr>
          <w:rFonts w:ascii="Arial" w:cs="Arial" w:eastAsia="Arial" w:hAnsi="Arial"/>
          <w:sz w:val="24"/>
          <w:szCs w:val="24"/>
        </w:rPr>
        <w:t xml:space="preserve">Drug-drug interaction profiles and pharmacogenomic considerations (CYP3A4, transporters, genetic variants)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FDA Pharmacology Review mining (multi-target inhibitor safety summaries, adverse event patterns)</w:t>
      </w:r>
    </w:p>
    <w:p>
      <w:pPr>
        <w:pStyle w:val="ListParagraph"/>
        <w:numPr>
          <w:ilvl w:val="0"/>
          <w:numId w:val="2"/>
        </w:numPr>
        <w:spacing w:after="100" w:line="360"/>
      </w:pPr>
      <w:r>
        <w:rPr>
          <w:rFonts w:ascii="Arial" w:cs="Arial" w:eastAsia="Arial" w:hAnsi="Arial"/>
          <w:sz w:val="24"/>
          <w:szCs w:val="24"/>
        </w:rPr>
        <w:t xml:space="preserve">ClinicalTrials.gov searches for prior clinical experience with candidate compounds</w:t>
      </w:r>
    </w:p>
    <w:p>
      <w:pPr>
        <w:pStyle w:val="ListParagraph"/>
        <w:numPr>
          <w:ilvl w:val="0"/>
          <w:numId w:val="2"/>
        </w:numPr>
        <w:spacing w:after="100" w:line="360"/>
      </w:pPr>
      <w:r>
        <w:rPr>
          <w:rFonts w:ascii="Arial" w:cs="Arial" w:eastAsia="Arial" w:hAnsi="Arial"/>
          <w:sz w:val="24"/>
          <w:szCs w:val="24"/>
        </w:rPr>
        <w:t xml:space="preserve">Published PK/PD datasets (dose-exposure-response relationships, target engagement biomarkers)</w:t>
      </w:r>
    </w:p>
    <w:p>
      <w:pPr>
        <w:pStyle w:val="ListParagraph"/>
        <w:numPr>
          <w:ilvl w:val="0"/>
          <w:numId w:val="2"/>
        </w:numPr>
        <w:spacing w:after="100" w:line="360"/>
      </w:pPr>
      <w:r>
        <w:rPr>
          <w:rFonts w:ascii="Arial" w:cs="Arial" w:eastAsia="Arial" w:hAnsi="Arial"/>
          <w:sz w:val="24"/>
          <w:szCs w:val="24"/>
        </w:rPr>
        <w:t xml:space="preserve">Biomarker-endpoint qualification pathway assessment (fit-for-purpose validation)</w:t>
      </w:r>
    </w:p>
    <w:p>
      <w:pPr>
        <w:pStyle w:val="ListParagraph"/>
        <w:numPr>
          <w:ilvl w:val="0"/>
          <w:numId w:val="2"/>
        </w:numPr>
        <w:spacing w:after="100" w:line="360"/>
      </w:pPr>
      <w:r>
        <w:rPr>
          <w:rFonts w:ascii="Arial" w:cs="Arial" w:eastAsia="Arial" w:hAnsi="Arial"/>
          <w:sz w:val="24"/>
          <w:szCs w:val="24"/>
        </w:rPr>
        <w:t xml:space="preserve">Population pharmacokinetic modeling (age, renal/hepatic function, genetic variants, DDI effects)</w:t>
      </w:r>
    </w:p>
    <w:p>
      <w:pPr>
        <w:pStyle w:val="ListParagraph"/>
        <w:numPr>
          <w:ilvl w:val="0"/>
          <w:numId w:val="2"/>
        </w:numPr>
        <w:spacing w:after="100" w:line="360"/>
      </w:pPr>
      <w:r>
        <w:rPr>
          <w:rFonts w:ascii="Arial" w:cs="Arial" w:eastAsia="Arial" w:hAnsi="Arial"/>
          <w:sz w:val="24"/>
          <w:szCs w:val="24"/>
        </w:rPr>
        <w:t xml:space="preserve">Go/No-Go decision framework incorporating clinical safety, efficacy biomarkers, and development risk</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of the refined candidates have published clinical experience demonstrating both tolerability and evidence of target engagement in humans?</w:t>
      </w:r>
    </w:p>
    <w:p>
      <w:pPr>
        <w:pStyle w:val="ListParagraph"/>
        <w:numPr>
          <w:ilvl w:val="0"/>
          <w:numId w:val="2"/>
        </w:numPr>
        <w:spacing w:after="100" w:line="360"/>
      </w:pPr>
      <w:r>
        <w:rPr>
          <w:rFonts w:ascii="Arial" w:cs="Arial" w:eastAsia="Arial" w:hAnsi="Arial"/>
          <w:sz w:val="24"/>
          <w:szCs w:val="24"/>
        </w:rPr>
        <w:t xml:space="preserve">What pharmacodynamic biomarkers (phospho-protein signatures, neuroimaging measures) validate that clinical doses achieve expected pathway inhibition in target tissues?</w:t>
      </w:r>
    </w:p>
    <w:p>
      <w:pPr>
        <w:pStyle w:val="ListParagraph"/>
        <w:numPr>
          <w:ilvl w:val="0"/>
          <w:numId w:val="2"/>
        </w:numPr>
        <w:spacing w:after="100" w:line="360"/>
      </w:pPr>
      <w:r>
        <w:rPr>
          <w:rFonts w:ascii="Arial" w:cs="Arial" w:eastAsia="Arial" w:hAnsi="Arial"/>
          <w:sz w:val="24"/>
          <w:szCs w:val="24"/>
        </w:rPr>
        <w:t xml:space="preserve">How do CYP3A4 inhibition, transporter interactions, and genetic polymorphisms affect the clinical pharmacology of multi-target compounds?</w:t>
      </w:r>
    </w:p>
    <w:p>
      <w:pPr>
        <w:pStyle w:val="ListParagraph"/>
        <w:numPr>
          <w:ilvl w:val="0"/>
          <w:numId w:val="2"/>
        </w:numPr>
        <w:spacing w:after="100" w:line="360"/>
      </w:pPr>
      <w:r>
        <w:rPr>
          <w:rFonts w:ascii="Arial" w:cs="Arial" w:eastAsia="Arial" w:hAnsi="Arial"/>
          <w:sz w:val="24"/>
          <w:szCs w:val="24"/>
        </w:rPr>
        <w:t xml:space="preserve">Which candidates are appropriate for dose escalation studies in early neurodegeneration populations to establish maximum tolerated dose and optimal biological dose?</w:t>
      </w:r>
    </w:p>
    <w:p>
      <w:pPr>
        <w:pStyle w:val="ListParagraph"/>
        <w:numPr>
          <w:ilvl w:val="0"/>
          <w:numId w:val="2"/>
        </w:numPr>
        <w:spacing w:after="100" w:line="360"/>
      </w:pPr>
      <w:r>
        <w:rPr>
          <w:rFonts w:ascii="Arial" w:cs="Arial" w:eastAsia="Arial" w:hAnsi="Arial"/>
          <w:sz w:val="24"/>
          <w:szCs w:val="24"/>
        </w:rPr>
        <w:t xml:space="preserve">For combinations, what is the predicted pharmacokinetic interaction risk (CYP450 competition, transporter saturation, DDI potential)?</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Clinical trial history and safety profile summary for all refined candidates</w:t>
      </w:r>
    </w:p>
    <w:p>
      <w:pPr>
        <w:pStyle w:val="ListParagraph"/>
        <w:numPr>
          <w:ilvl w:val="0"/>
          <w:numId w:val="2"/>
        </w:numPr>
        <w:spacing w:after="100" w:line="360"/>
      </w:pPr>
      <w:r>
        <w:rPr>
          <w:rFonts w:ascii="Arial" w:cs="Arial" w:eastAsia="Arial" w:hAnsi="Arial"/>
          <w:sz w:val="24"/>
          <w:szCs w:val="24"/>
        </w:rPr>
        <w:t xml:space="preserve">Target engagement biomarker validation (published data confirming therapeutic concentrations achieve expected target modulation)</w:t>
      </w:r>
    </w:p>
    <w:p>
      <w:pPr>
        <w:pStyle w:val="ListParagraph"/>
        <w:numPr>
          <w:ilvl w:val="0"/>
          <w:numId w:val="2"/>
        </w:numPr>
        <w:spacing w:after="100" w:line="360"/>
      </w:pPr>
      <w:r>
        <w:rPr>
          <w:rFonts w:ascii="Arial" w:cs="Arial" w:eastAsia="Arial" w:hAnsi="Arial"/>
          <w:sz w:val="24"/>
          <w:szCs w:val="24"/>
        </w:rPr>
        <w:t xml:space="preserve">Population PK/PD models predicting exposure-response relationships in neurodegeneration patient populations</w:t>
      </w:r>
    </w:p>
    <w:p>
      <w:pPr>
        <w:pStyle w:val="ListParagraph"/>
        <w:numPr>
          <w:ilvl w:val="0"/>
          <w:numId w:val="2"/>
        </w:numPr>
        <w:spacing w:after="100" w:line="360"/>
      </w:pPr>
      <w:r>
        <w:rPr>
          <w:rFonts w:ascii="Arial" w:cs="Arial" w:eastAsia="Arial" w:hAnsi="Arial"/>
          <w:sz w:val="24"/>
          <w:szCs w:val="24"/>
        </w:rPr>
        <w:t xml:space="preserve">Pharmacogenomic considerations and special population adjustments (age, organ impairment, comedications)</w:t>
      </w:r>
    </w:p>
    <w:p>
      <w:pPr>
        <w:pStyle w:val="ListParagraph"/>
        <w:numPr>
          <w:ilvl w:val="0"/>
          <w:numId w:val="2"/>
        </w:numPr>
        <w:spacing w:after="100" w:line="360"/>
      </w:pPr>
      <w:r>
        <w:rPr>
          <w:rFonts w:ascii="Arial" w:cs="Arial" w:eastAsia="Arial" w:hAnsi="Arial"/>
          <w:sz w:val="24"/>
          <w:szCs w:val="24"/>
        </w:rPr>
        <w:t xml:space="preserve">Recommended Phase Ib/IIa study design emphasizing dose optimization and biomarker-driven dosing</w:t>
      </w:r>
    </w:p>
    <w:p>
      <w:pPr>
        <w:pStyle w:val="ListParagraph"/>
        <w:numPr>
          <w:ilvl w:val="0"/>
          <w:numId w:val="2"/>
        </w:numPr>
        <w:spacing w:after="100" w:line="360"/>
      </w:pPr>
      <w:r>
        <w:rPr>
          <w:rFonts w:ascii="Arial" w:cs="Arial" w:eastAsia="Arial" w:hAnsi="Arial"/>
          <w:sz w:val="24"/>
          <w:szCs w:val="24"/>
        </w:rPr>
        <w:t xml:space="preserve">Integrated efficacy + safety + PK/PD ranking for final candidate selection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Clinical development summary (CSV/JSON/Word) with safety profiles, PK/PD data, biomarker validation, and Phase Ib study design</w:t>
      </w:r>
    </w:p>
    <w:p>
      <w:pPr>
        <w:pStyle w:val="Heading2"/>
        <w:spacing w:after="200" w:before="200"/>
      </w:pPr>
      <w:r>
        <w:rPr>
          <w:rFonts w:ascii="Arial" w:cs="Arial" w:eastAsia="Arial" w:hAnsi="Arial"/>
          <w:b/>
          <w:bCs/>
          <w:sz w:val="28"/>
          <w:szCs w:val="28"/>
        </w:rPr>
        <w:t xml:space="preserve">Stage 6: Polypharmacology Strategy Finalization &amp; Phase II/IIa Protocol Design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Synthesize all evidence into final polypharmacology strategy recommendations, design biomarker-driven Phase II trial incorporating multi-pathway pharmacodynamic measures, and establish go/no-go criteria.</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All integrated data from Stages 1-5 (pathway clustering, polypharmacology profiles, synergy data, selectivity, clinical context)</w:t>
      </w:r>
    </w:p>
    <w:p>
      <w:pPr>
        <w:pStyle w:val="ListParagraph"/>
        <w:numPr>
          <w:ilvl w:val="0"/>
          <w:numId w:val="2"/>
        </w:numPr>
        <w:spacing w:after="100" w:line="360"/>
      </w:pPr>
      <w:r>
        <w:rPr>
          <w:rFonts w:ascii="Arial" w:cs="Arial" w:eastAsia="Arial" w:hAnsi="Arial"/>
          <w:sz w:val="24"/>
          <w:szCs w:val="24"/>
        </w:rPr>
        <w:t xml:space="preserve">Regulatory guidance on combination therapies and biomarker-driven trial designs (FDA guidance documents)</w:t>
      </w:r>
    </w:p>
    <w:p>
      <w:pPr>
        <w:pStyle w:val="ListParagraph"/>
        <w:numPr>
          <w:ilvl w:val="0"/>
          <w:numId w:val="2"/>
        </w:numPr>
        <w:spacing w:after="100" w:line="360"/>
      </w:pPr>
      <w:r>
        <w:rPr>
          <w:rFonts w:ascii="Arial" w:cs="Arial" w:eastAsia="Arial" w:hAnsi="Arial"/>
          <w:sz w:val="24"/>
          <w:szCs w:val="24"/>
        </w:rPr>
        <w:t xml:space="preserve">Published Phase II trial designs for combination therapies in neurodegeneration (endpoint selection, adaptive designs)</w:t>
      </w:r>
    </w:p>
    <w:p>
      <w:pPr>
        <w:pStyle w:val="ListParagraph"/>
        <w:numPr>
          <w:ilvl w:val="0"/>
          <w:numId w:val="2"/>
        </w:numPr>
        <w:spacing w:after="100" w:line="360"/>
      </w:pPr>
      <w:r>
        <w:rPr>
          <w:rFonts w:ascii="Arial" w:cs="Arial" w:eastAsia="Arial" w:hAnsi="Arial"/>
          <w:sz w:val="24"/>
          <w:szCs w:val="24"/>
        </w:rPr>
        <w:t xml:space="preserve">Budget and timeline forecasting for combination therapy development (IND-enabling, Phase Ib, Phase IIa)</w:t>
      </w:r>
    </w:p>
    <w:p>
      <w:pPr>
        <w:pStyle w:val="ListParagraph"/>
        <w:numPr>
          <w:ilvl w:val="0"/>
          <w:numId w:val="2"/>
        </w:numPr>
        <w:spacing w:after="100" w:line="360"/>
      </w:pPr>
      <w:r>
        <w:rPr>
          <w:rFonts w:ascii="Arial" w:cs="Arial" w:eastAsia="Arial" w:hAnsi="Arial"/>
          <w:sz w:val="24"/>
          <w:szCs w:val="24"/>
        </w:rPr>
        <w:t xml:space="preserve">Competitive landscape analysis (other polypharmacology strategies, multi-target compounds in development)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Go/No-Go decision framework integrating multi-pathway efficacy, selectivity, safety, clinical viability, and competitive positioning</w:t>
      </w:r>
    </w:p>
    <w:p>
      <w:pPr>
        <w:pStyle w:val="ListParagraph"/>
        <w:numPr>
          <w:ilvl w:val="0"/>
          <w:numId w:val="2"/>
        </w:numPr>
        <w:spacing w:after="100" w:line="360"/>
      </w:pPr>
      <w:r>
        <w:rPr>
          <w:rFonts w:ascii="Arial" w:cs="Arial" w:eastAsia="Arial" w:hAnsi="Arial"/>
          <w:sz w:val="24"/>
          <w:szCs w:val="24"/>
        </w:rPr>
        <w:t xml:space="preserve">Phase II trial design templates (population, adaptive enrichment, biomarker-driven endpoints, combination dosing)</w:t>
      </w:r>
    </w:p>
    <w:p>
      <w:pPr>
        <w:pStyle w:val="ListParagraph"/>
        <w:numPr>
          <w:ilvl w:val="0"/>
          <w:numId w:val="2"/>
        </w:numPr>
        <w:spacing w:after="100" w:line="360"/>
      </w:pPr>
      <w:r>
        <w:rPr>
          <w:rFonts w:ascii="Arial" w:cs="Arial" w:eastAsia="Arial" w:hAnsi="Arial"/>
          <w:sz w:val="24"/>
          <w:szCs w:val="24"/>
        </w:rPr>
        <w:t xml:space="preserve">Regulatory intelligence (FDA combination therapy guidance, biomarker-endpoint qualification pathways)</w:t>
      </w:r>
    </w:p>
    <w:p>
      <w:pPr>
        <w:pStyle w:val="ListParagraph"/>
        <w:numPr>
          <w:ilvl w:val="0"/>
          <w:numId w:val="2"/>
        </w:numPr>
        <w:spacing w:after="100" w:line="360"/>
      </w:pPr>
      <w:r>
        <w:rPr>
          <w:rFonts w:ascii="Arial" w:cs="Arial" w:eastAsia="Arial" w:hAnsi="Arial"/>
          <w:sz w:val="24"/>
          <w:szCs w:val="24"/>
        </w:rPr>
        <w:t xml:space="preserve">Pharmacodynamic biomarker strategy development (target engagement measures, pathway activity signatures, clinical outcome correlation)</w:t>
      </w:r>
    </w:p>
    <w:p>
      <w:pPr>
        <w:pStyle w:val="ListParagraph"/>
        <w:numPr>
          <w:ilvl w:val="0"/>
          <w:numId w:val="2"/>
        </w:numPr>
        <w:spacing w:after="100" w:line="360"/>
      </w:pPr>
      <w:r>
        <w:rPr>
          <w:rFonts w:ascii="Arial" w:cs="Arial" w:eastAsia="Arial" w:hAnsi="Arial"/>
          <w:sz w:val="24"/>
          <w:szCs w:val="24"/>
        </w:rPr>
        <w:t xml:space="preserve">Competitive positioning analysis and market opportunity assessment</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polypharmacology strategy (single multi-target compound vs two/three-drug combination) should be prioritized for clinical development?</w:t>
      </w:r>
    </w:p>
    <w:p>
      <w:pPr>
        <w:pStyle w:val="ListParagraph"/>
        <w:numPr>
          <w:ilvl w:val="0"/>
          <w:numId w:val="2"/>
        </w:numPr>
        <w:spacing w:after="100" w:line="360"/>
      </w:pPr>
      <w:r>
        <w:rPr>
          <w:rFonts w:ascii="Arial" w:cs="Arial" w:eastAsia="Arial" w:hAnsi="Arial"/>
          <w:sz w:val="24"/>
          <w:szCs w:val="24"/>
        </w:rPr>
        <w:t xml:space="preserve">What is the minimal Phase II trial design required to validate multi-pathway dysfunction correction: sample size, duration, primary endpoint, biomarkers?</w:t>
      </w:r>
    </w:p>
    <w:p>
      <w:pPr>
        <w:pStyle w:val="ListParagraph"/>
        <w:numPr>
          <w:ilvl w:val="0"/>
          <w:numId w:val="2"/>
        </w:numPr>
        <w:spacing w:after="100" w:line="360"/>
      </w:pPr>
      <w:r>
        <w:rPr>
          <w:rFonts w:ascii="Arial" w:cs="Arial" w:eastAsia="Arial" w:hAnsi="Arial"/>
          <w:sz w:val="24"/>
          <w:szCs w:val="24"/>
        </w:rPr>
        <w:t xml:space="preserve">How should pharmacodynamic biomarkers (target engagement, pathway activity signatures) and clinical outcomes be integrated in adaptive trial design?</w:t>
      </w:r>
    </w:p>
    <w:p>
      <w:pPr>
        <w:pStyle w:val="ListParagraph"/>
        <w:numPr>
          <w:ilvl w:val="0"/>
          <w:numId w:val="2"/>
        </w:numPr>
        <w:spacing w:after="100" w:line="360"/>
      </w:pPr>
      <w:r>
        <w:rPr>
          <w:rFonts w:ascii="Arial" w:cs="Arial" w:eastAsia="Arial" w:hAnsi="Arial"/>
          <w:sz w:val="24"/>
          <w:szCs w:val="24"/>
        </w:rPr>
        <w:t xml:space="preserve">Which regulatory pathways (standard IND, breakthrough designation, combination therapy expedited review) are most appropriate for accelerating development?</w:t>
      </w:r>
    </w:p>
    <w:p>
      <w:pPr>
        <w:pStyle w:val="ListParagraph"/>
        <w:numPr>
          <w:ilvl w:val="0"/>
          <w:numId w:val="2"/>
        </w:numPr>
        <w:spacing w:after="100" w:line="360"/>
      </w:pPr>
      <w:r>
        <w:rPr>
          <w:rFonts w:ascii="Arial" w:cs="Arial" w:eastAsia="Arial" w:hAnsi="Arial"/>
          <w:sz w:val="24"/>
          <w:szCs w:val="24"/>
        </w:rPr>
        <w:t xml:space="preserve">What intellectual property strategy (composition of matter, use cases, method of treatment) maximizes competitive advantage for prioritized polypharmacology strategy?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Final recommendation: top 1-3 polypharmacology strategies (single vs multi-drug) for clinical development</w:t>
      </w:r>
    </w:p>
    <w:p>
      <w:pPr>
        <w:pStyle w:val="ListParagraph"/>
        <w:numPr>
          <w:ilvl w:val="0"/>
          <w:numId w:val="2"/>
        </w:numPr>
        <w:spacing w:after="100" w:line="360"/>
      </w:pPr>
      <w:r>
        <w:rPr>
          <w:rFonts w:ascii="Arial" w:cs="Arial" w:eastAsia="Arial" w:hAnsi="Arial"/>
          <w:sz w:val="24"/>
          <w:szCs w:val="24"/>
        </w:rPr>
        <w:t xml:space="preserve">Go/No-Go decision matrix with explicit justifications (therapeutic benefit, selectivity confidence, clinical feasibility, competitive advantage)</w:t>
      </w:r>
    </w:p>
    <w:p>
      <w:pPr>
        <w:pStyle w:val="ListParagraph"/>
        <w:numPr>
          <w:ilvl w:val="0"/>
          <w:numId w:val="2"/>
        </w:numPr>
        <w:spacing w:after="100" w:line="360"/>
      </w:pPr>
      <w:r>
        <w:rPr>
          <w:rFonts w:ascii="Arial" w:cs="Arial" w:eastAsia="Arial" w:hAnsi="Arial"/>
          <w:sz w:val="24"/>
          <w:szCs w:val="24"/>
        </w:rPr>
        <w:t xml:space="preserve">Phase IIa/Phase II trial protocol outline (population inclusion/exclusion, multi-pathway biomarker endpoints, dosing schedule, duration, sample size)</w:t>
      </w:r>
    </w:p>
    <w:p>
      <w:pPr>
        <w:pStyle w:val="ListParagraph"/>
        <w:numPr>
          <w:ilvl w:val="0"/>
          <w:numId w:val="2"/>
        </w:numPr>
        <w:spacing w:after="100" w:line="360"/>
      </w:pPr>
      <w:r>
        <w:rPr>
          <w:rFonts w:ascii="Arial" w:cs="Arial" w:eastAsia="Arial" w:hAnsi="Arial"/>
          <w:sz w:val="24"/>
          <w:szCs w:val="24"/>
        </w:rPr>
        <w:t xml:space="preserve">Pharmacodynamic biomarker strategy (circulating pathway activity signatures, imaging biomarkers, target engagement confirmation)</w:t>
      </w:r>
    </w:p>
    <w:p>
      <w:pPr>
        <w:pStyle w:val="ListParagraph"/>
        <w:numPr>
          <w:ilvl w:val="0"/>
          <w:numId w:val="2"/>
        </w:numPr>
        <w:spacing w:after="100" w:line="360"/>
      </w:pPr>
      <w:r>
        <w:rPr>
          <w:rFonts w:ascii="Arial" w:cs="Arial" w:eastAsia="Arial" w:hAnsi="Arial"/>
          <w:sz w:val="24"/>
          <w:szCs w:val="24"/>
        </w:rPr>
        <w:t xml:space="preserve">Regulatory pathway recommendation and anticipated timeline to clinical trial initiation</w:t>
      </w:r>
    </w:p>
    <w:p>
      <w:pPr>
        <w:pStyle w:val="ListParagraph"/>
        <w:numPr>
          <w:ilvl w:val="0"/>
          <w:numId w:val="2"/>
        </w:numPr>
        <w:spacing w:after="100" w:line="360"/>
      </w:pPr>
      <w:r>
        <w:rPr>
          <w:rFonts w:ascii="Arial" w:cs="Arial" w:eastAsia="Arial" w:hAnsi="Arial"/>
          <w:sz w:val="24"/>
          <w:szCs w:val="24"/>
        </w:rPr>
        <w:t xml:space="preserve">Intellectual property positioning, competitive differentiation, and market opportunity summary for prioritized strategy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Executive summary (Word/PDF) with strategy recommendations, go/no-go matrix, Phase II protocol outline, biomarker strategy, and development roadmap</w:t>
      </w:r>
    </w:p>
    <w:p>
      <w:pPr>
        <w:pStyle w:val="Heading2"/>
        <w:spacing w:after="200" w:before="20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Bioscience EP CRISPR Atlas (18k gene perturbations, 500+ features, primary screening platform)</w:t>
      </w:r>
    </w:p>
    <w:p>
      <w:pPr>
        <w:pStyle w:val="ListParagraph"/>
        <w:numPr>
          <w:ilvl w:val="0"/>
          <w:numId w:val="2"/>
        </w:numPr>
        <w:spacing w:after="100" w:line="360"/>
      </w:pPr>
      <w:r>
        <w:rPr>
          <w:rFonts w:ascii="Arial" w:cs="Arial" w:eastAsia="Arial" w:hAnsi="Arial"/>
          <w:sz w:val="24"/>
          <w:szCs w:val="24"/>
        </w:rPr>
        <w:t xml:space="preserve">Quiver EP Compound Library (3,500+ FDA-approved, investigational, and natural product compounds)</w:t>
      </w:r>
    </w:p>
    <w:p>
      <w:pPr>
        <w:pStyle w:val="ListParagraph"/>
        <w:numPr>
          <w:ilvl w:val="0"/>
          <w:numId w:val="2"/>
        </w:numPr>
        <w:spacing w:after="100" w:line="360"/>
      </w:pPr>
      <w:r>
        <w:rPr>
          <w:rFonts w:ascii="Arial" w:cs="Arial" w:eastAsia="Arial" w:hAnsi="Arial"/>
          <w:sz w:val="24"/>
          <w:szCs w:val="24"/>
        </w:rPr>
        <w:t xml:space="preserve">KEGG Pathway Database (PATHWAY, ortholog, disease association mapping)</w:t>
      </w:r>
    </w:p>
    <w:p>
      <w:pPr>
        <w:pStyle w:val="ListParagraph"/>
        <w:numPr>
          <w:ilvl w:val="0"/>
          <w:numId w:val="2"/>
        </w:numPr>
        <w:spacing w:after="100" w:line="360"/>
      </w:pPr>
      <w:r>
        <w:rPr>
          <w:rFonts w:ascii="Arial" w:cs="Arial" w:eastAsia="Arial" w:hAnsi="Arial"/>
          <w:sz w:val="24"/>
          <w:szCs w:val="24"/>
        </w:rPr>
        <w:t xml:space="preserve">Reactome Pathway Analysis (mechanistic pathway diagrams, causal relationships, pathway hierarchy)</w:t>
      </w:r>
    </w:p>
    <w:p>
      <w:pPr>
        <w:pStyle w:val="ListParagraph"/>
        <w:numPr>
          <w:ilvl w:val="0"/>
          <w:numId w:val="2"/>
        </w:numPr>
        <w:spacing w:after="100" w:line="360"/>
      </w:pPr>
      <w:r>
        <w:rPr>
          <w:rFonts w:ascii="Arial" w:cs="Arial" w:eastAsia="Arial" w:hAnsi="Arial"/>
          <w:sz w:val="24"/>
          <w:szCs w:val="24"/>
        </w:rPr>
        <w:t xml:space="preserve">STRING Protein Interaction Network (protein-protein interactions, functional associations)</w:t>
      </w:r>
    </w:p>
    <w:p>
      <w:pPr>
        <w:pStyle w:val="ListParagraph"/>
        <w:numPr>
          <w:ilvl w:val="0"/>
          <w:numId w:val="2"/>
        </w:numPr>
        <w:spacing w:after="100" w:line="360"/>
      </w:pPr>
      <w:r>
        <w:rPr>
          <w:rFonts w:ascii="Arial" w:cs="Arial" w:eastAsia="Arial" w:hAnsi="Arial"/>
          <w:sz w:val="24"/>
          <w:szCs w:val="24"/>
        </w:rPr>
        <w:t xml:space="preserve">ChEMBL Compound Database (chemical structures, targets, bioactivity data, ADMET predictions)</w:t>
      </w:r>
    </w:p>
    <w:p>
      <w:pPr>
        <w:pStyle w:val="ListParagraph"/>
        <w:numPr>
          <w:ilvl w:val="0"/>
          <w:numId w:val="2"/>
        </w:numPr>
        <w:spacing w:after="100" w:line="360"/>
      </w:pPr>
      <w:r>
        <w:rPr>
          <w:rFonts w:ascii="Arial" w:cs="Arial" w:eastAsia="Arial" w:hAnsi="Arial"/>
          <w:sz w:val="24"/>
          <w:szCs w:val="24"/>
        </w:rPr>
        <w:t xml:space="preserve">FDA Pharmacology Reviews and Orange Book (clinical approval history, safety summaries, label information)</w:t>
      </w:r>
    </w:p>
    <w:p>
      <w:pPr>
        <w:pStyle w:val="ListParagraph"/>
        <w:numPr>
          <w:ilvl w:val="0"/>
          <w:numId w:val="2"/>
        </w:numPr>
        <w:spacing w:after="100" w:line="360"/>
      </w:pPr>
      <w:r>
        <w:rPr>
          <w:rFonts w:ascii="Arial" w:cs="Arial" w:eastAsia="Arial" w:hAnsi="Arial"/>
          <w:sz w:val="24"/>
          <w:szCs w:val="24"/>
        </w:rPr>
        <w:t xml:space="preserve">ClinicalTrials.gov (trial design information, enrollment status, published results)</w:t>
      </w:r>
    </w:p>
    <w:p>
      <w:pPr>
        <w:pStyle w:val="ListParagraph"/>
        <w:numPr>
          <w:ilvl w:val="0"/>
          <w:numId w:val="2"/>
        </w:numPr>
        <w:spacing w:after="100" w:line="360"/>
      </w:pPr>
      <w:r>
        <w:rPr>
          <w:rFonts w:ascii="Arial" w:cs="Arial" w:eastAsia="Arial" w:hAnsi="Arial"/>
          <w:sz w:val="24"/>
          <w:szCs w:val="24"/>
        </w:rPr>
        <w:t xml:space="preserve">FAERS Database (FDA adverse event reporting system, pharmacovigilance signal detection)</w:t>
      </w:r>
    </w:p>
    <w:p>
      <w:pPr>
        <w:pStyle w:val="ListParagraph"/>
        <w:numPr>
          <w:ilvl w:val="0"/>
          <w:numId w:val="2"/>
        </w:numPr>
        <w:spacing w:after="100" w:line="360"/>
      </w:pPr>
      <w:r>
        <w:rPr>
          <w:rFonts w:ascii="Arial" w:cs="Arial" w:eastAsia="Arial" w:hAnsi="Arial"/>
          <w:sz w:val="24"/>
          <w:szCs w:val="24"/>
        </w:rPr>
        <w:t xml:space="preserve">DrugBank (drug targets, metabolism, interactions, clinical applications)</w:t>
      </w:r>
    </w:p>
    <w:p>
      <w:pPr>
        <w:pStyle w:val="ListParagraph"/>
        <w:numPr>
          <w:ilvl w:val="0"/>
          <w:numId w:val="2"/>
        </w:numPr>
        <w:spacing w:after="100" w:line="360"/>
      </w:pPr>
      <w:r>
        <w:rPr>
          <w:rFonts w:ascii="Arial" w:cs="Arial" w:eastAsia="Arial" w:hAnsi="Arial"/>
          <w:sz w:val="24"/>
          <w:szCs w:val="24"/>
        </w:rPr>
        <w:t xml:space="preserve">NCATS BBB Penetration Prediction Tool (machine learning BBB+ vs BBB- classification)</w:t>
      </w:r>
    </w:p>
    <w:p>
      <w:pPr>
        <w:pStyle w:val="ListParagraph"/>
        <w:numPr>
          <w:ilvl w:val="0"/>
          <w:numId w:val="2"/>
        </w:numPr>
        <w:spacing w:after="100" w:line="360"/>
      </w:pPr>
      <w:r>
        <w:rPr>
          <w:rFonts w:ascii="Arial" w:cs="Arial" w:eastAsia="Arial" w:hAnsi="Arial"/>
          <w:sz w:val="24"/>
          <w:szCs w:val="24"/>
        </w:rPr>
        <w:t xml:space="preserve">ENCODE/JASPAR Transcription Factor Binding Database (regulatory element prediction, TFEB/TFE3 targets)</w:t>
      </w:r>
    </w:p>
    <w:p>
      <w:pPr>
        <w:pStyle w:val="ListParagraph"/>
        <w:numPr>
          <w:ilvl w:val="0"/>
          <w:numId w:val="2"/>
        </w:numPr>
        <w:spacing w:after="100" w:line="360"/>
      </w:pPr>
      <w:r>
        <w:rPr>
          <w:rFonts w:ascii="Arial" w:cs="Arial" w:eastAsia="Arial" w:hAnsi="Arial"/>
          <w:sz w:val="24"/>
          <w:szCs w:val="24"/>
        </w:rPr>
        <w:t xml:space="preserve">AlzPathy/PDBase Disease-Specific Databases (molecular subtypes, biomarker associations, phenotypic features)</w:t>
      </w:r>
    </w:p>
    <w:p>
      <w:pPr>
        <w:pStyle w:val="ListParagraph"/>
        <w:numPr>
          <w:ilvl w:val="0"/>
          <w:numId w:val="2"/>
        </w:numPr>
        <w:spacing w:after="100" w:line="360"/>
      </w:pPr>
      <w:r>
        <w:rPr>
          <w:rFonts w:ascii="Arial" w:cs="Arial" w:eastAsia="Arial" w:hAnsi="Arial"/>
          <w:sz w:val="24"/>
          <w:szCs w:val="24"/>
        </w:rPr>
        <w:t xml:space="preserve">PubChem Chemical Properties Database (molecular descriptors, bioactivity assays, structure similarity)</w:t>
      </w:r>
    </w:p>
    <w:p>
      <w:pPr>
        <w:pStyle w:val="ListParagraph"/>
        <w:numPr>
          <w:ilvl w:val="0"/>
          <w:numId w:val="2"/>
        </w:numPr>
        <w:spacing w:after="100" w:line="360"/>
      </w:pPr>
      <w:r>
        <w:rPr>
          <w:rFonts w:ascii="Arial" w:cs="Arial" w:eastAsia="Arial" w:hAnsi="Arial"/>
          <w:sz w:val="24"/>
          <w:szCs w:val="24"/>
        </w:rPr>
        <w:t xml:space="preserve">Cortellis/Adis Insight Intelligence Platforms (competitive landscape, development stage tracking, regulatory intelligence)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2026-03-04T02:14:03.160Z</dcterms:created>
  <dcterms:modified xsi:type="dcterms:W3CDTF">2026-03-04T02:14:03.160Z</dcterms:modified>
</cp:coreProperties>
</file>

<file path=docProps/custom.xml><?xml version="1.0" encoding="utf-8"?>
<Properties xmlns="http://schemas.openxmlformats.org/officeDocument/2006/custom-properties" xmlns:vt="http://schemas.openxmlformats.org/officeDocument/2006/docPropsVTypes"/>
</file>