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ASO vs Small Molecule Modalities for Chronic Pain</w:t>
      </w:r>
    </w:p>
    <w:p>
      <w:pPr>
        <w:spacing w:after="240" w:line="360"/>
      </w:pPr>
      <w:r>
        <w:rPr>
          <w:rFonts w:ascii="Arial" w:cs="Arial" w:eastAsia="Arial" w:hAnsi="Arial"/>
          <w:b/>
          <w:bCs/>
          <w:sz w:val="24"/>
          <w:szCs w:val="24"/>
        </w:rPr>
        <w:t xml:space="preserve">Prompt: </w:t>
      </w:r>
      <w:r>
        <w:rPr>
          <w:rFonts w:ascii="Arial" w:cs="Arial" w:eastAsia="Arial" w:hAnsi="Arial"/>
          <w:sz w:val="24"/>
          <w:szCs w:val="24"/>
        </w:rPr>
        <w:t xml:space="preserve">Rank ASO vs small molecule approaches for chronic pain.</w:t>
      </w:r>
    </w:p>
    <w:p>
      <w:pPr>
        <w:spacing w:after="200" w:line="360"/>
      </w:pPr>
      <w:r>
        <w:rPr>
          <w:rFonts w:ascii="Arial" w:cs="Arial" w:eastAsia="Arial" w:hAnsi="Arial"/>
          <w:sz w:val="24"/>
          <w:szCs w:val="24"/>
        </w:rPr>
        <w:t xml:space="preserve">This pipeline performs a comprehensive comparative analysis of antisense oligonucleotide (ASO) and small molecule modalities for chronic pain target engagement and durability. ASOs enable allele-specific knockdown of gain-of-function variants in SCN9A/SCN10A and TRPV1, while small molecules provide rapid target occupancy and titrable dosing for neuropathic and inflammatory pain states.</w:t>
      </w:r>
    </w:p>
    <w:p>
      <w:pPr>
        <w:spacing w:after="200" w:line="360"/>
      </w:pPr>
      <w:r>
        <w:rPr>
          <w:rFonts w:ascii="Arial" w:cs="Arial" w:eastAsia="Arial" w:hAnsi="Arial"/>
          <w:sz w:val="24"/>
          <w:szCs w:val="24"/>
        </w:rPr>
        <w:t xml:space="preserve">The workflow evaluates knockdown kinetics (ASO half-life and distribution in DRG/spinal cord), receptor occupancy time-course (small molecules), durability of EP phenotype rescue, intrathecal delivery considerations for spinal dorsal horn targets, and peripheral nerve conduction profiles using the atlas's 3,500 compound and perturbation library.</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stage establishes the foundational comparison framework between ASO and small molecule modalities. The pipeline evaluates kinetic properties, delivery mechanisms, target engagement durability, and preclinical efficacy metrics using the EP CRISPR atlas.</w:t>
      </w:r>
    </w:p>
    <w:p>
      <w:pPr>
        <w:spacing w:after="240" w:line="360"/>
      </w:pPr>
      <w:r>
        <w:rPr>
          <w:rFonts w:ascii="Arial" w:cs="Arial" w:eastAsia="Arial" w:hAnsi="Arial"/>
          <w:sz w:val="24"/>
          <w:szCs w:val="24"/>
        </w:rPr>
        <w:t xml:space="preserve">Key metrics include ASO knockdown half-life, intrathecal distribution, sustained EP rescue duration, small molecule receptor occupancy time-course, and comparative cost-benefit analysis across the atlas library.</w:t>
      </w:r>
    </w:p>
    <w:p>
      <w:pPr>
        <w:pStyle w:val="Heading2"/>
      </w:pPr>
      <w:r>
        <w:rPr>
          <w:rFonts w:ascii="Arial" w:cs="Arial" w:eastAsia="Arial" w:hAnsi="Arial"/>
          <w:b/>
          <w:bCs/>
          <w:sz w:val="28"/>
          <w:szCs w:val="28"/>
        </w:rPr>
        <w:t xml:space="preserve">Stage 1: Target Gene Selection and Phenotype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chronic pain target genes (SCN9A, SCN10A, TRPV1, TRPA1) and characterize their baseline EP phenotypes to establish modality comparison baselines.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18,000 gene knockdown library with DRG neurons</w:t>
      </w:r>
    </w:p>
    <w:p>
      <w:pPr>
        <w:pStyle w:val="ListParagraph"/>
        <w:numPr>
          <w:ilvl w:val="0"/>
          <w:numId w:val="2"/>
        </w:numPr>
        <w:spacing w:after="100" w:line="360"/>
      </w:pPr>
      <w:r>
        <w:rPr>
          <w:rFonts w:ascii="Arial" w:cs="Arial" w:eastAsia="Arial" w:hAnsi="Arial"/>
          <w:sz w:val="24"/>
          <w:szCs w:val="24"/>
        </w:rPr>
        <w:t xml:space="preserve">Pain-relevant target list (sodium channels, TRPV1/TRPA1, NGF pathway components)</w:t>
      </w:r>
    </w:p>
    <w:p>
      <w:pPr>
        <w:pStyle w:val="ListParagraph"/>
        <w:numPr>
          <w:ilvl w:val="0"/>
          <w:numId w:val="2"/>
        </w:numPr>
        <w:spacing w:after="100" w:line="360"/>
      </w:pPr>
      <w:r>
        <w:rPr>
          <w:rFonts w:ascii="Arial" w:cs="Arial" w:eastAsia="Arial" w:hAnsi="Arial"/>
          <w:sz w:val="24"/>
          <w:szCs w:val="24"/>
        </w:rPr>
        <w:t xml:space="preserve">Baseline electrophysiology recordings in wild-type and target-perturbed neurons</w:t>
      </w:r>
    </w:p>
    <w:p>
      <w:pPr>
        <w:pStyle w:val="ListParagraph"/>
        <w:numPr>
          <w:ilvl w:val="0"/>
          <w:numId w:val="2"/>
        </w:numPr>
        <w:spacing w:after="100" w:line="360"/>
      </w:pPr>
      <w:r>
        <w:rPr>
          <w:rFonts w:ascii="Arial" w:cs="Arial" w:eastAsia="Arial" w:hAnsi="Arial"/>
          <w:sz w:val="24"/>
          <w:szCs w:val="24"/>
        </w:rPr>
        <w:t xml:space="preserve">Behavioral pain model outputs (von Frey filament, hargreaves thermal sensitivity)</w:t>
      </w:r>
    </w:p>
    <w:p>
      <w:pPr>
        <w:pStyle w:val="ListParagraph"/>
        <w:numPr>
          <w:ilvl w:val="0"/>
          <w:numId w:val="2"/>
        </w:numPr>
        <w:spacing w:after="100" w:line="360"/>
      </w:pPr>
      <w:r>
        <w:rPr>
          <w:rFonts w:ascii="Arial" w:cs="Arial" w:eastAsia="Arial" w:hAnsi="Arial"/>
          <w:sz w:val="24"/>
          <w:szCs w:val="24"/>
        </w:rPr>
        <w:t xml:space="preserve">Tissue-specific expression databases (DRG neurons vs spinal dorsal horn vs supraspinal targets)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Phenotype Quantifier for AP firing rate, rheobase, AHP parameters</w:t>
      </w:r>
    </w:p>
    <w:p>
      <w:pPr>
        <w:pStyle w:val="ListParagraph"/>
        <w:numPr>
          <w:ilvl w:val="0"/>
          <w:numId w:val="2"/>
        </w:numPr>
        <w:spacing w:after="100" w:line="360"/>
      </w:pPr>
      <w:r>
        <w:rPr>
          <w:rFonts w:ascii="Arial" w:cs="Arial" w:eastAsia="Arial" w:hAnsi="Arial"/>
          <w:sz w:val="24"/>
          <w:szCs w:val="24"/>
        </w:rPr>
        <w:t xml:space="preserve">GTEx and Human Protein Atlas for tissue-specific expression profiling</w:t>
      </w:r>
    </w:p>
    <w:p>
      <w:pPr>
        <w:pStyle w:val="ListParagraph"/>
        <w:numPr>
          <w:ilvl w:val="0"/>
          <w:numId w:val="2"/>
        </w:numPr>
        <w:spacing w:after="100" w:line="360"/>
      </w:pPr>
      <w:r>
        <w:rPr>
          <w:rFonts w:ascii="Arial" w:cs="Arial" w:eastAsia="Arial" w:hAnsi="Arial"/>
          <w:sz w:val="24"/>
          <w:szCs w:val="24"/>
        </w:rPr>
        <w:t xml:space="preserve">PainNetDB for chronic pain pathway mapping</w:t>
      </w:r>
    </w:p>
    <w:p>
      <w:pPr>
        <w:pStyle w:val="ListParagraph"/>
        <w:numPr>
          <w:ilvl w:val="0"/>
          <w:numId w:val="2"/>
        </w:numPr>
        <w:spacing w:after="100" w:line="360"/>
      </w:pPr>
      <w:r>
        <w:rPr>
          <w:rFonts w:ascii="Arial" w:cs="Arial" w:eastAsia="Arial" w:hAnsi="Arial"/>
          <w:sz w:val="24"/>
          <w:szCs w:val="24"/>
        </w:rPr>
        <w:t xml:space="preserve">Single-cell RNA-seq datasets (scRNA-seq) for nociceptor subtype classification</w:t>
      </w:r>
    </w:p>
    <w:p>
      <w:pPr>
        <w:pStyle w:val="ListParagraph"/>
        <w:numPr>
          <w:ilvl w:val="0"/>
          <w:numId w:val="2"/>
        </w:numPr>
        <w:spacing w:after="100" w:line="360"/>
      </w:pPr>
      <w:r>
        <w:rPr>
          <w:rFonts w:ascii="Arial" w:cs="Arial" w:eastAsia="Arial" w:hAnsi="Arial"/>
          <w:sz w:val="24"/>
          <w:szCs w:val="24"/>
        </w:rPr>
        <w:t xml:space="preserve">AnimalDB for pain-specific behavioral correlates</w:t>
      </w:r>
    </w:p>
    <w:p>
      <w:pPr>
        <w:pStyle w:val="ListParagraph"/>
        <w:numPr>
          <w:ilvl w:val="0"/>
          <w:numId w:val="2"/>
        </w:numPr>
        <w:spacing w:after="100" w:line="360"/>
      </w:pPr>
      <w:r>
        <w:rPr>
          <w:rFonts w:ascii="Arial" w:cs="Arial" w:eastAsia="Arial" w:hAnsi="Arial"/>
          <w:sz w:val="24"/>
          <w:szCs w:val="24"/>
        </w:rPr>
        <w:t xml:space="preserve">KEGG pathway database for pain-related signaling cascade mapping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chronic pain target genes show &gt;2-fold EP phenotype changes in nociceptor knockdown models?</w:t>
      </w:r>
    </w:p>
    <w:p>
      <w:pPr>
        <w:pStyle w:val="ListParagraph"/>
        <w:numPr>
          <w:ilvl w:val="0"/>
          <w:numId w:val="2"/>
        </w:numPr>
        <w:spacing w:after="100" w:line="360"/>
      </w:pPr>
      <w:r>
        <w:rPr>
          <w:rFonts w:ascii="Arial" w:cs="Arial" w:eastAsia="Arial" w:hAnsi="Arial"/>
          <w:sz w:val="24"/>
          <w:szCs w:val="24"/>
        </w:rPr>
        <w:t xml:space="preserve">How do peripheral (DRG) vs central (dorsal horn, supraspinal) expression levels of pain targets correlate with modality delivery considerations?</w:t>
      </w:r>
    </w:p>
    <w:p>
      <w:pPr>
        <w:pStyle w:val="ListParagraph"/>
        <w:numPr>
          <w:ilvl w:val="0"/>
          <w:numId w:val="2"/>
        </w:numPr>
        <w:spacing w:after="100" w:line="360"/>
      </w:pPr>
      <w:r>
        <w:rPr>
          <w:rFonts w:ascii="Arial" w:cs="Arial" w:eastAsia="Arial" w:hAnsi="Arial"/>
          <w:sz w:val="24"/>
          <w:szCs w:val="24"/>
        </w:rPr>
        <w:t xml:space="preserve">What EP metrics (AP shape, frequency, neuropeptide release) best predict behavioral analgesia across target genes?</w:t>
      </w:r>
    </w:p>
    <w:p>
      <w:pPr>
        <w:pStyle w:val="ListParagraph"/>
        <w:numPr>
          <w:ilvl w:val="0"/>
          <w:numId w:val="2"/>
        </w:numPr>
        <w:spacing w:after="100" w:line="360"/>
      </w:pPr>
      <w:r>
        <w:rPr>
          <w:rFonts w:ascii="Arial" w:cs="Arial" w:eastAsia="Arial" w:hAnsi="Arial"/>
          <w:sz w:val="24"/>
          <w:szCs w:val="24"/>
        </w:rPr>
        <w:t xml:space="preserve">Can ASO-like knockdown kinetics in EP models recapitulate behavioral pain rescue timelines observed in vivo?</w:t>
      </w:r>
    </w:p>
    <w:p>
      <w:pPr>
        <w:pStyle w:val="ListParagraph"/>
        <w:numPr>
          <w:ilvl w:val="0"/>
          <w:numId w:val="2"/>
        </w:numPr>
        <w:spacing w:after="100" w:line="360"/>
      </w:pPr>
      <w:r>
        <w:rPr>
          <w:rFonts w:ascii="Arial" w:cs="Arial" w:eastAsia="Arial" w:hAnsi="Arial"/>
          <w:sz w:val="24"/>
          <w:szCs w:val="24"/>
        </w:rPr>
        <w:t xml:space="preserve">Which pain target genes are amenable to allele-specific knockdown vs requiring small molecule occupancy-based inhibition?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Target gene phenotype characterization report (5-8 targets ranked by EP effect magnitude)</w:t>
      </w:r>
    </w:p>
    <w:p>
      <w:pPr>
        <w:pStyle w:val="ListParagraph"/>
        <w:numPr>
          <w:ilvl w:val="0"/>
          <w:numId w:val="2"/>
        </w:numPr>
        <w:spacing w:after="100" w:line="360"/>
      </w:pPr>
      <w:r>
        <w:rPr>
          <w:rFonts w:ascii="Arial" w:cs="Arial" w:eastAsia="Arial" w:hAnsi="Arial"/>
          <w:sz w:val="24"/>
          <w:szCs w:val="24"/>
        </w:rPr>
        <w:t xml:space="preserve">Baseline EP metric summary (mean AP frequency, rheobase, AHP for each target knockdown)</w:t>
      </w:r>
    </w:p>
    <w:p>
      <w:pPr>
        <w:pStyle w:val="ListParagraph"/>
        <w:numPr>
          <w:ilvl w:val="0"/>
          <w:numId w:val="2"/>
        </w:numPr>
        <w:spacing w:after="100" w:line="360"/>
      </w:pPr>
      <w:r>
        <w:rPr>
          <w:rFonts w:ascii="Arial" w:cs="Arial" w:eastAsia="Arial" w:hAnsi="Arial"/>
          <w:sz w:val="24"/>
          <w:szCs w:val="24"/>
        </w:rPr>
        <w:t xml:space="preserve">Tissue expression distribution map (peripheral vs central nervous system)</w:t>
      </w:r>
    </w:p>
    <w:p>
      <w:pPr>
        <w:pStyle w:val="ListParagraph"/>
        <w:numPr>
          <w:ilvl w:val="0"/>
          <w:numId w:val="2"/>
        </w:numPr>
        <w:spacing w:after="100" w:line="360"/>
      </w:pPr>
      <w:r>
        <w:rPr>
          <w:rFonts w:ascii="Arial" w:cs="Arial" w:eastAsia="Arial" w:hAnsi="Arial"/>
          <w:sz w:val="24"/>
          <w:szCs w:val="24"/>
        </w:rPr>
        <w:t xml:space="preserve">Pain-relevance scoring matrix (correlation with behavioral pain models)</w:t>
      </w:r>
    </w:p>
    <w:p>
      <w:pPr>
        <w:pStyle w:val="ListParagraph"/>
        <w:numPr>
          <w:ilvl w:val="0"/>
          <w:numId w:val="2"/>
        </w:numPr>
        <w:spacing w:after="100" w:line="360"/>
      </w:pPr>
      <w:r>
        <w:rPr>
          <w:rFonts w:ascii="Arial" w:cs="Arial" w:eastAsia="Arial" w:hAnsi="Arial"/>
          <w:sz w:val="24"/>
          <w:szCs w:val="24"/>
        </w:rPr>
        <w:t xml:space="preserve">Knockdown efficiency validation (qPCR confirmation of transcript reduction)</w:t>
      </w:r>
    </w:p>
    <w:p>
      <w:pPr>
        <w:pStyle w:val="ListParagraph"/>
        <w:numPr>
          <w:ilvl w:val="0"/>
          <w:numId w:val="2"/>
        </w:numPr>
        <w:spacing w:after="100" w:line="360"/>
      </w:pPr>
      <w:r>
        <w:rPr>
          <w:rFonts w:ascii="Arial" w:cs="Arial" w:eastAsia="Arial" w:hAnsi="Arial"/>
          <w:sz w:val="24"/>
          <w:szCs w:val="24"/>
        </w:rPr>
        <w:t xml:space="preserve">Modality suitability assessment (ASO vs small molecule fit for each target)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Summary table with baseline EP phenotypes, target expression maps, and qualitative modality recommendations; ranked gene list by pain-relevance and modality suitability.</w:t>
      </w:r>
    </w:p>
    <w:p>
      <w:pPr>
        <w:pStyle w:val="Heading2"/>
      </w:pPr>
      <w:r>
        <w:rPr>
          <w:rFonts w:ascii="Arial" w:cs="Arial" w:eastAsia="Arial" w:hAnsi="Arial"/>
          <w:b/>
          <w:bCs/>
          <w:sz w:val="28"/>
          <w:szCs w:val="28"/>
        </w:rPr>
        <w:t xml:space="preserve">Stage 2: Kinetic Property Comparison and Delivery Mechanism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Compare ASO knockdown kinetics, small molecule receptor occupancy time-course, and delivery mechanism feasibility for chronic pain targets.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Published ASO knockdown kinetics data (Tmax, half-life in DRG, spinal dorsal horn, CSF)</w:t>
      </w:r>
    </w:p>
    <w:p>
      <w:pPr>
        <w:pStyle w:val="ListParagraph"/>
        <w:numPr>
          <w:ilvl w:val="0"/>
          <w:numId w:val="2"/>
        </w:numPr>
        <w:spacing w:after="100" w:line="360"/>
      </w:pPr>
      <w:r>
        <w:rPr>
          <w:rFonts w:ascii="Arial" w:cs="Arial" w:eastAsia="Arial" w:hAnsi="Arial"/>
          <w:sz w:val="24"/>
          <w:szCs w:val="24"/>
        </w:rPr>
        <w:t xml:space="preserve">Small molecule PK/PD data from published Phase I/II trials (Tmax, half-life, target occupancy time-course)</w:t>
      </w:r>
    </w:p>
    <w:p>
      <w:pPr>
        <w:pStyle w:val="ListParagraph"/>
        <w:numPr>
          <w:ilvl w:val="0"/>
          <w:numId w:val="2"/>
        </w:numPr>
        <w:spacing w:after="100" w:line="360"/>
      </w:pPr>
      <w:r>
        <w:rPr>
          <w:rFonts w:ascii="Arial" w:cs="Arial" w:eastAsia="Arial" w:hAnsi="Arial"/>
          <w:sz w:val="24"/>
          <w:szCs w:val="24"/>
        </w:rPr>
        <w:t xml:space="preserve">Intrathecal delivery formulation references (FDA-approved ASOs and small molecules)</w:t>
      </w:r>
    </w:p>
    <w:p>
      <w:pPr>
        <w:pStyle w:val="ListParagraph"/>
        <w:numPr>
          <w:ilvl w:val="0"/>
          <w:numId w:val="2"/>
        </w:numPr>
        <w:spacing w:after="100" w:line="360"/>
      </w:pPr>
      <w:r>
        <w:rPr>
          <w:rFonts w:ascii="Arial" w:cs="Arial" w:eastAsia="Arial" w:hAnsi="Arial"/>
          <w:sz w:val="24"/>
          <w:szCs w:val="24"/>
        </w:rPr>
        <w:t xml:space="preserve">DRG and dorsal horn penetration models (blood-nerve barrier permeability, transporter substrate analysis)</w:t>
      </w:r>
    </w:p>
    <w:p>
      <w:pPr>
        <w:pStyle w:val="ListParagraph"/>
        <w:numPr>
          <w:ilvl w:val="0"/>
          <w:numId w:val="2"/>
        </w:numPr>
        <w:spacing w:after="100" w:line="360"/>
      </w:pPr>
      <w:r>
        <w:rPr>
          <w:rFonts w:ascii="Arial" w:cs="Arial" w:eastAsia="Arial" w:hAnsi="Arial"/>
          <w:sz w:val="24"/>
          <w:szCs w:val="24"/>
        </w:rPr>
        <w:t xml:space="preserve">Sustained-release formulation data (depot ASO, extended-release small molecule kinetics)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PK/PD modeling software (Phoenix WinNonlin equivalent) for kinetic parameter extraction</w:t>
      </w:r>
    </w:p>
    <w:p>
      <w:pPr>
        <w:pStyle w:val="ListParagraph"/>
        <w:numPr>
          <w:ilvl w:val="0"/>
          <w:numId w:val="2"/>
        </w:numPr>
        <w:spacing w:after="100" w:line="360"/>
      </w:pPr>
      <w:r>
        <w:rPr>
          <w:rFonts w:ascii="Arial" w:cs="Arial" w:eastAsia="Arial" w:hAnsi="Arial"/>
          <w:sz w:val="24"/>
          <w:szCs w:val="24"/>
        </w:rPr>
        <w:t xml:space="preserve">BBB/blood-nerve barrier penetrance predictor for ASO and small molecule access</w:t>
      </w:r>
    </w:p>
    <w:p>
      <w:pPr>
        <w:pStyle w:val="ListParagraph"/>
        <w:numPr>
          <w:ilvl w:val="0"/>
          <w:numId w:val="2"/>
        </w:numPr>
        <w:spacing w:after="100" w:line="360"/>
      </w:pPr>
      <w:r>
        <w:rPr>
          <w:rFonts w:ascii="Arial" w:cs="Arial" w:eastAsia="Arial" w:hAnsi="Arial"/>
          <w:sz w:val="24"/>
          <w:szCs w:val="24"/>
        </w:rPr>
        <w:t xml:space="preserve">Transporter substrate prediction tool (P-gp, BCRP, organic transporter substrate analysis)</w:t>
      </w:r>
    </w:p>
    <w:p>
      <w:pPr>
        <w:pStyle w:val="ListParagraph"/>
        <w:numPr>
          <w:ilvl w:val="0"/>
          <w:numId w:val="2"/>
        </w:numPr>
        <w:spacing w:after="100" w:line="360"/>
      </w:pPr>
      <w:r>
        <w:rPr>
          <w:rFonts w:ascii="Arial" w:cs="Arial" w:eastAsia="Arial" w:hAnsi="Arial"/>
          <w:sz w:val="24"/>
          <w:szCs w:val="24"/>
        </w:rPr>
        <w:t xml:space="preserve">Intrathecal formulation database (FDA-approved routes, CSF distribution data)</w:t>
      </w:r>
    </w:p>
    <w:p>
      <w:pPr>
        <w:pStyle w:val="ListParagraph"/>
        <w:numPr>
          <w:ilvl w:val="0"/>
          <w:numId w:val="2"/>
        </w:numPr>
        <w:spacing w:after="100" w:line="360"/>
      </w:pPr>
      <w:r>
        <w:rPr>
          <w:rFonts w:ascii="Arial" w:cs="Arial" w:eastAsia="Arial" w:hAnsi="Arial"/>
          <w:sz w:val="24"/>
          <w:szCs w:val="24"/>
        </w:rPr>
        <w:t xml:space="preserve">ADMET calculator for DRG penetrance prediction (logP, TPSA, transporter liability)</w:t>
      </w:r>
    </w:p>
    <w:p>
      <w:pPr>
        <w:pStyle w:val="ListParagraph"/>
        <w:numPr>
          <w:ilvl w:val="0"/>
          <w:numId w:val="2"/>
        </w:numPr>
        <w:spacing w:after="100" w:line="360"/>
      </w:pPr>
      <w:r>
        <w:rPr>
          <w:rFonts w:ascii="Arial" w:cs="Arial" w:eastAsia="Arial" w:hAnsi="Arial"/>
          <w:sz w:val="24"/>
          <w:szCs w:val="24"/>
        </w:rPr>
        <w:t xml:space="preserve">Clinical trial database for intrathecal dosing standards and safety experience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ASO knockdown half-life (2-4 weeks vs 2-4 months) best balances efficacy durability with safety reversibility?</w:t>
      </w:r>
    </w:p>
    <w:p>
      <w:pPr>
        <w:pStyle w:val="ListParagraph"/>
        <w:numPr>
          <w:ilvl w:val="0"/>
          <w:numId w:val="2"/>
        </w:numPr>
        <w:spacing w:after="100" w:line="360"/>
      </w:pPr>
      <w:r>
        <w:rPr>
          <w:rFonts w:ascii="Arial" w:cs="Arial" w:eastAsia="Arial" w:hAnsi="Arial"/>
          <w:sz w:val="24"/>
          <w:szCs w:val="24"/>
        </w:rPr>
        <w:t xml:space="preserve">How do small molecule receptor occupancy time-courses (6-24 hours) compare to sustained ASO knockdown for neuropathic pain models?</w:t>
      </w:r>
    </w:p>
    <w:p>
      <w:pPr>
        <w:pStyle w:val="ListParagraph"/>
        <w:numPr>
          <w:ilvl w:val="0"/>
          <w:numId w:val="2"/>
        </w:numPr>
        <w:spacing w:after="100" w:line="360"/>
      </w:pPr>
      <w:r>
        <w:rPr>
          <w:rFonts w:ascii="Arial" w:cs="Arial" w:eastAsia="Arial" w:hAnsi="Arial"/>
          <w:sz w:val="24"/>
          <w:szCs w:val="24"/>
        </w:rPr>
        <w:t xml:space="preserve">Which intrathecal formulation strategies enable effective DRG delivery without neurotoxicity or inflammation?</w:t>
      </w:r>
    </w:p>
    <w:p>
      <w:pPr>
        <w:pStyle w:val="ListParagraph"/>
        <w:numPr>
          <w:ilvl w:val="0"/>
          <w:numId w:val="2"/>
        </w:numPr>
        <w:spacing w:after="100" w:line="360"/>
      </w:pPr>
      <w:r>
        <w:rPr>
          <w:rFonts w:ascii="Arial" w:cs="Arial" w:eastAsia="Arial" w:hAnsi="Arial"/>
          <w:sz w:val="24"/>
          <w:szCs w:val="24"/>
        </w:rPr>
        <w:t xml:space="preserve">Can small molecule prodrugs achieve longer peripheral nerve penetrance through metabolic activation?</w:t>
      </w:r>
    </w:p>
    <w:p>
      <w:pPr>
        <w:pStyle w:val="ListParagraph"/>
        <w:numPr>
          <w:ilvl w:val="0"/>
          <w:numId w:val="2"/>
        </w:numPr>
        <w:spacing w:after="100" w:line="360"/>
      </w:pPr>
      <w:r>
        <w:rPr>
          <w:rFonts w:ascii="Arial" w:cs="Arial" w:eastAsia="Arial" w:hAnsi="Arial"/>
          <w:sz w:val="24"/>
          <w:szCs w:val="24"/>
        </w:rPr>
        <w:t xml:space="preserve">What dosing frequency (ASO monthly vs small molecule daily/weekly) optimizes patient compliance and safety margins?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ASO kinetic profile summary (Tmax, half-life, target tissue penetration)</w:t>
      </w:r>
    </w:p>
    <w:p>
      <w:pPr>
        <w:pStyle w:val="ListParagraph"/>
        <w:numPr>
          <w:ilvl w:val="0"/>
          <w:numId w:val="2"/>
        </w:numPr>
        <w:spacing w:after="100" w:line="360"/>
      </w:pPr>
      <w:r>
        <w:rPr>
          <w:rFonts w:ascii="Arial" w:cs="Arial" w:eastAsia="Arial" w:hAnsi="Arial"/>
          <w:sz w:val="24"/>
          <w:szCs w:val="24"/>
        </w:rPr>
        <w:t xml:space="preserve">Small molecule receptor occupancy time-course (occupancy vs time at clinical doses)</w:t>
      </w:r>
    </w:p>
    <w:p>
      <w:pPr>
        <w:pStyle w:val="ListParagraph"/>
        <w:numPr>
          <w:ilvl w:val="0"/>
          <w:numId w:val="2"/>
        </w:numPr>
        <w:spacing w:after="100" w:line="360"/>
      </w:pPr>
      <w:r>
        <w:rPr>
          <w:rFonts w:ascii="Arial" w:cs="Arial" w:eastAsia="Arial" w:hAnsi="Arial"/>
          <w:sz w:val="24"/>
          <w:szCs w:val="24"/>
        </w:rPr>
        <w:t xml:space="preserve">Delivery mechanism feasibility assessment (intrathecal vs oral vs transdermal/topical options)</w:t>
      </w:r>
    </w:p>
    <w:p>
      <w:pPr>
        <w:pStyle w:val="ListParagraph"/>
        <w:numPr>
          <w:ilvl w:val="0"/>
          <w:numId w:val="2"/>
        </w:numPr>
        <w:spacing w:after="100" w:line="360"/>
      </w:pPr>
      <w:r>
        <w:rPr>
          <w:rFonts w:ascii="Arial" w:cs="Arial" w:eastAsia="Arial" w:hAnsi="Arial"/>
          <w:sz w:val="24"/>
          <w:szCs w:val="24"/>
        </w:rPr>
        <w:t xml:space="preserve">DRG penetration predictions (% target tissue exposure for each modality)</w:t>
      </w:r>
    </w:p>
    <w:p>
      <w:pPr>
        <w:pStyle w:val="ListParagraph"/>
        <w:numPr>
          <w:ilvl w:val="0"/>
          <w:numId w:val="2"/>
        </w:numPr>
        <w:spacing w:after="100" w:line="360"/>
      </w:pPr>
      <w:r>
        <w:rPr>
          <w:rFonts w:ascii="Arial" w:cs="Arial" w:eastAsia="Arial" w:hAnsi="Arial"/>
          <w:sz w:val="24"/>
          <w:szCs w:val="24"/>
        </w:rPr>
        <w:t xml:space="preserve">Sustained-release formulation options (depot ASO, extended-release small molecule candidates)</w:t>
      </w:r>
    </w:p>
    <w:p>
      <w:pPr>
        <w:pStyle w:val="ListParagraph"/>
        <w:numPr>
          <w:ilvl w:val="0"/>
          <w:numId w:val="2"/>
        </w:numPr>
        <w:spacing w:after="100" w:line="360"/>
      </w:pPr>
      <w:r>
        <w:rPr>
          <w:rFonts w:ascii="Arial" w:cs="Arial" w:eastAsia="Arial" w:hAnsi="Arial"/>
          <w:sz w:val="24"/>
          <w:szCs w:val="24"/>
        </w:rPr>
        <w:t xml:space="preserve">Comparative modality risk-benefit summary (efficacy durability vs safety reversibility)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Side-by-side kinetic comparison table (ASO vs small molecule) with DRG penetrance predictions and intrathecal formulation feasibility assessment.</w:t>
      </w:r>
    </w:p>
    <w:p>
      <w:pPr>
        <w:pStyle w:val="Heading2"/>
      </w:pPr>
      <w:r>
        <w:rPr>
          <w:rFonts w:ascii="Arial" w:cs="Arial" w:eastAsia="Arial" w:hAnsi="Arial"/>
          <w:b/>
          <w:bCs/>
          <w:sz w:val="28"/>
          <w:szCs w:val="28"/>
        </w:rPr>
        <w:t xml:space="preserve">Stage 3: Durability and Cost-Benefit Analysis of ASO vs Small Molecule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Compare sustained efficacy (durability of EP phenotype rescue), dosing interval requirements, manufacturing costs, and patient compliance implications.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Published ASO Phase II durability data (time to EP phenotype relapse after dosing cessation)</w:t>
      </w:r>
    </w:p>
    <w:p>
      <w:pPr>
        <w:pStyle w:val="ListParagraph"/>
        <w:numPr>
          <w:ilvl w:val="0"/>
          <w:numId w:val="2"/>
        </w:numPr>
        <w:spacing w:after="100" w:line="360"/>
      </w:pPr>
      <w:r>
        <w:rPr>
          <w:rFonts w:ascii="Arial" w:cs="Arial" w:eastAsia="Arial" w:hAnsi="Arial"/>
          <w:sz w:val="24"/>
          <w:szCs w:val="24"/>
        </w:rPr>
        <w:t xml:space="preserve">Small molecule repeat-dosing studies (efficacy plateau, tachyphylaxis assessment, interval between doses)</w:t>
      </w:r>
    </w:p>
    <w:p>
      <w:pPr>
        <w:pStyle w:val="ListParagraph"/>
        <w:numPr>
          <w:ilvl w:val="0"/>
          <w:numId w:val="2"/>
        </w:numPr>
        <w:spacing w:after="100" w:line="360"/>
      </w:pPr>
      <w:r>
        <w:rPr>
          <w:rFonts w:ascii="Arial" w:cs="Arial" w:eastAsia="Arial" w:hAnsi="Arial"/>
          <w:sz w:val="24"/>
          <w:szCs w:val="24"/>
        </w:rPr>
        <w:t xml:space="preserve">Manufacturing cost data (ASO synthesis, quality control; small molecule synthesis and formulation)</w:t>
      </w:r>
    </w:p>
    <w:p>
      <w:pPr>
        <w:pStyle w:val="ListParagraph"/>
        <w:numPr>
          <w:ilvl w:val="0"/>
          <w:numId w:val="2"/>
        </w:numPr>
        <w:spacing w:after="100" w:line="360"/>
      </w:pPr>
      <w:r>
        <w:rPr>
          <w:rFonts w:ascii="Arial" w:cs="Arial" w:eastAsia="Arial" w:hAnsi="Arial"/>
          <w:sz w:val="24"/>
          <w:szCs w:val="24"/>
        </w:rPr>
        <w:t xml:space="preserve">Patient compliance and injection/administration burden data (monthly intrathecal ASO vs daily/weekly small molecule)</w:t>
      </w:r>
    </w:p>
    <w:p>
      <w:pPr>
        <w:pStyle w:val="ListParagraph"/>
        <w:numPr>
          <w:ilvl w:val="0"/>
          <w:numId w:val="2"/>
        </w:numPr>
        <w:spacing w:after="100" w:line="360"/>
      </w:pPr>
      <w:r>
        <w:rPr>
          <w:rFonts w:ascii="Arial" w:cs="Arial" w:eastAsia="Arial" w:hAnsi="Arial"/>
          <w:sz w:val="24"/>
          <w:szCs w:val="24"/>
        </w:rPr>
        <w:t xml:space="preserve">Long-term safety surveillance data (ASO hepatotoxicity, immune activation vs small molecule cumulative toxicity)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Durability Analyzer for EP phenotype recovery kinetics post-dosing</w:t>
      </w:r>
    </w:p>
    <w:p>
      <w:pPr>
        <w:pStyle w:val="ListParagraph"/>
        <w:numPr>
          <w:ilvl w:val="0"/>
          <w:numId w:val="2"/>
        </w:numPr>
        <w:spacing w:after="100" w:line="360"/>
      </w:pPr>
      <w:r>
        <w:rPr>
          <w:rFonts w:ascii="Arial" w:cs="Arial" w:eastAsia="Arial" w:hAnsi="Arial"/>
          <w:sz w:val="24"/>
          <w:szCs w:val="24"/>
        </w:rPr>
        <w:t xml:space="preserve">Cost-Benefit Modeling software (manufacturing, QC, administration, adverse event costs)</w:t>
      </w:r>
    </w:p>
    <w:p>
      <w:pPr>
        <w:pStyle w:val="ListParagraph"/>
        <w:numPr>
          <w:ilvl w:val="0"/>
          <w:numId w:val="2"/>
        </w:numPr>
        <w:spacing w:after="100" w:line="360"/>
      </w:pPr>
      <w:r>
        <w:rPr>
          <w:rFonts w:ascii="Arial" w:cs="Arial" w:eastAsia="Arial" w:hAnsi="Arial"/>
          <w:sz w:val="24"/>
          <w:szCs w:val="24"/>
        </w:rPr>
        <w:t xml:space="preserve">Patient Compliance Predictor (dosing frequency impact on adherence rates)</w:t>
      </w:r>
    </w:p>
    <w:p>
      <w:pPr>
        <w:pStyle w:val="ListParagraph"/>
        <w:numPr>
          <w:ilvl w:val="0"/>
          <w:numId w:val="2"/>
        </w:numPr>
        <w:spacing w:after="100" w:line="360"/>
      </w:pPr>
      <w:r>
        <w:rPr>
          <w:rFonts w:ascii="Arial" w:cs="Arial" w:eastAsia="Arial" w:hAnsi="Arial"/>
          <w:sz w:val="24"/>
          <w:szCs w:val="24"/>
        </w:rPr>
        <w:t xml:space="preserve">Pharmacoeconomic analysis tool (cost per day of efficacy, cost per responder)</w:t>
      </w:r>
    </w:p>
    <w:p>
      <w:pPr>
        <w:pStyle w:val="ListParagraph"/>
        <w:numPr>
          <w:ilvl w:val="0"/>
          <w:numId w:val="2"/>
        </w:numPr>
        <w:spacing w:after="100" w:line="360"/>
      </w:pPr>
      <w:r>
        <w:rPr>
          <w:rFonts w:ascii="Arial" w:cs="Arial" w:eastAsia="Arial" w:hAnsi="Arial"/>
          <w:sz w:val="24"/>
          <w:szCs w:val="24"/>
        </w:rPr>
        <w:t xml:space="preserve">Long-term Safety Prediction model (hepatotoxicity risk for ASO, cumulative exposure risk for small molecules)</w:t>
      </w:r>
    </w:p>
    <w:p>
      <w:pPr>
        <w:pStyle w:val="ListParagraph"/>
        <w:numPr>
          <w:ilvl w:val="0"/>
          <w:numId w:val="2"/>
        </w:numPr>
        <w:spacing w:after="100" w:line="360"/>
      </w:pPr>
      <w:r>
        <w:rPr>
          <w:rFonts w:ascii="Arial" w:cs="Arial" w:eastAsia="Arial" w:hAnsi="Arial"/>
          <w:sz w:val="24"/>
          <w:szCs w:val="24"/>
        </w:rPr>
        <w:t xml:space="preserve">Clinical trial database for real-world durability and compliance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ASO dosing interval (monthly vs quarterly vs annual) maintains &gt;80% efficacy in chronic pain models?</w:t>
      </w:r>
    </w:p>
    <w:p>
      <w:pPr>
        <w:pStyle w:val="ListParagraph"/>
        <w:numPr>
          <w:ilvl w:val="0"/>
          <w:numId w:val="2"/>
        </w:numPr>
        <w:spacing w:after="100" w:line="360"/>
      </w:pPr>
      <w:r>
        <w:rPr>
          <w:rFonts w:ascii="Arial" w:cs="Arial" w:eastAsia="Arial" w:hAnsi="Arial"/>
          <w:sz w:val="24"/>
          <w:szCs w:val="24"/>
        </w:rPr>
        <w:t xml:space="preserve">How do small molecule pharmacodynamic end-points (receptor occupancy recovery) compare to ASO knockdown kinetics?</w:t>
      </w:r>
    </w:p>
    <w:p>
      <w:pPr>
        <w:pStyle w:val="ListParagraph"/>
        <w:numPr>
          <w:ilvl w:val="0"/>
          <w:numId w:val="2"/>
        </w:numPr>
        <w:spacing w:after="100" w:line="360"/>
      </w:pPr>
      <w:r>
        <w:rPr>
          <w:rFonts w:ascii="Arial" w:cs="Arial" w:eastAsia="Arial" w:hAnsi="Arial"/>
          <w:sz w:val="24"/>
          <w:szCs w:val="24"/>
        </w:rPr>
        <w:t xml:space="preserve">Which modality offers superior cost-effectiveness (cost per month of maintained pain relief)?</w:t>
      </w:r>
    </w:p>
    <w:p>
      <w:pPr>
        <w:pStyle w:val="ListParagraph"/>
        <w:numPr>
          <w:ilvl w:val="0"/>
          <w:numId w:val="2"/>
        </w:numPr>
        <w:spacing w:after="100" w:line="360"/>
      </w:pPr>
      <w:r>
        <w:rPr>
          <w:rFonts w:ascii="Arial" w:cs="Arial" w:eastAsia="Arial" w:hAnsi="Arial"/>
          <w:sz w:val="24"/>
          <w:szCs w:val="24"/>
        </w:rPr>
        <w:t xml:space="preserve">How do intrathecal ASO administration burdens affect patient compliance vs oral/transdermal small molecule administration?</w:t>
      </w:r>
    </w:p>
    <w:p>
      <w:pPr>
        <w:pStyle w:val="ListParagraph"/>
        <w:numPr>
          <w:ilvl w:val="0"/>
          <w:numId w:val="2"/>
        </w:numPr>
        <w:spacing w:after="100" w:line="360"/>
      </w:pPr>
      <w:r>
        <w:rPr>
          <w:rFonts w:ascii="Arial" w:cs="Arial" w:eastAsia="Arial" w:hAnsi="Arial"/>
          <w:sz w:val="24"/>
          <w:szCs w:val="24"/>
        </w:rPr>
        <w:t xml:space="preserve">What is the total cost-of-illness savings for ASO vs small molecule across 5-year treatment duration?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Durability assessment (EP phenotype recovery time-course after treatment cessation)</w:t>
      </w:r>
    </w:p>
    <w:p>
      <w:pPr>
        <w:pStyle w:val="ListParagraph"/>
        <w:numPr>
          <w:ilvl w:val="0"/>
          <w:numId w:val="2"/>
        </w:numPr>
        <w:spacing w:after="100" w:line="360"/>
      </w:pPr>
      <w:r>
        <w:rPr>
          <w:rFonts w:ascii="Arial" w:cs="Arial" w:eastAsia="Arial" w:hAnsi="Arial"/>
          <w:sz w:val="24"/>
          <w:szCs w:val="24"/>
        </w:rPr>
        <w:t xml:space="preserve">Dosing interval requirements (ASO monthly/quarterly vs small molecule daily/weekly)</w:t>
      </w:r>
    </w:p>
    <w:p>
      <w:pPr>
        <w:pStyle w:val="ListParagraph"/>
        <w:numPr>
          <w:ilvl w:val="0"/>
          <w:numId w:val="2"/>
        </w:numPr>
        <w:spacing w:after="100" w:line="360"/>
      </w:pPr>
      <w:r>
        <w:rPr>
          <w:rFonts w:ascii="Arial" w:cs="Arial" w:eastAsia="Arial" w:hAnsi="Arial"/>
          <w:sz w:val="24"/>
          <w:szCs w:val="24"/>
        </w:rPr>
        <w:t xml:space="preserve">Manufacturing cost comparison ($/dose, $/month treatment cost)</w:t>
      </w:r>
    </w:p>
    <w:p>
      <w:pPr>
        <w:pStyle w:val="ListParagraph"/>
        <w:numPr>
          <w:ilvl w:val="0"/>
          <w:numId w:val="2"/>
        </w:numPr>
        <w:spacing w:after="100" w:line="360"/>
      </w:pPr>
      <w:r>
        <w:rPr>
          <w:rFonts w:ascii="Arial" w:cs="Arial" w:eastAsia="Arial" w:hAnsi="Arial"/>
          <w:sz w:val="24"/>
          <w:szCs w:val="24"/>
        </w:rPr>
        <w:t xml:space="preserve">Patient burden assessment (injection site adverse events, administration frequency compliance impact)</w:t>
      </w:r>
    </w:p>
    <w:p>
      <w:pPr>
        <w:pStyle w:val="ListParagraph"/>
        <w:numPr>
          <w:ilvl w:val="0"/>
          <w:numId w:val="2"/>
        </w:numPr>
        <w:spacing w:after="100" w:line="360"/>
      </w:pPr>
      <w:r>
        <w:rPr>
          <w:rFonts w:ascii="Arial" w:cs="Arial" w:eastAsia="Arial" w:hAnsi="Arial"/>
          <w:sz w:val="24"/>
          <w:szCs w:val="24"/>
        </w:rPr>
        <w:t xml:space="preserve">Long-term safety durability (hepatotoxicity surveillance, immune response, cumulative toxicity)</w:t>
      </w:r>
    </w:p>
    <w:p>
      <w:pPr>
        <w:pStyle w:val="ListParagraph"/>
        <w:numPr>
          <w:ilvl w:val="0"/>
          <w:numId w:val="2"/>
        </w:numPr>
        <w:spacing w:after="100" w:line="360"/>
      </w:pPr>
      <w:r>
        <w:rPr>
          <w:rFonts w:ascii="Arial" w:cs="Arial" w:eastAsia="Arial" w:hAnsi="Arial"/>
          <w:sz w:val="24"/>
          <w:szCs w:val="24"/>
        </w:rPr>
        <w:t xml:space="preserve">Cost-effectiveness ranking (cost per responder, cost per month of maintained efficacy)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Comparative durability table showing time-to-relapse, dosing interval, cost/dose, and patient compliance impact; cost-benefit analysis over 5-year period.</w:t>
      </w:r>
    </w:p>
    <w:p>
      <w:pPr>
        <w:pStyle w:val="Heading2"/>
      </w:pPr>
      <w:r>
        <w:rPr>
          <w:rFonts w:ascii="Arial" w:cs="Arial" w:eastAsia="Arial" w:hAnsi="Arial"/>
          <w:b/>
          <w:bCs/>
          <w:sz w:val="28"/>
          <w:szCs w:val="28"/>
        </w:rPr>
        <w:t xml:space="preserve">Stage 4: Intrathecal ASO Delivery Model and DRG/Dorsal Horn Penetration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intrathecal ASO delivery pharmacokinetics and assess target tissue (DRG, dorsal horn) penetration and duration for top pain targets.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Published intrathecal ASO delivery data (CSF pharmacokinetics, DRG and dorsal horn tissue concentrations)</w:t>
      </w:r>
    </w:p>
    <w:p>
      <w:pPr>
        <w:pStyle w:val="ListParagraph"/>
        <w:numPr>
          <w:ilvl w:val="0"/>
          <w:numId w:val="2"/>
        </w:numPr>
        <w:spacing w:after="100" w:line="360"/>
      </w:pPr>
      <w:r>
        <w:rPr>
          <w:rFonts w:ascii="Arial" w:cs="Arial" w:eastAsia="Arial" w:hAnsi="Arial"/>
          <w:sz w:val="24"/>
          <w:szCs w:val="24"/>
        </w:rPr>
        <w:t xml:space="preserve">Intrathecal formulation examples (FDA-approved ASOs: nusinersen, inotersen, olesoxime, tofersen)</w:t>
      </w:r>
    </w:p>
    <w:p>
      <w:pPr>
        <w:pStyle w:val="ListParagraph"/>
        <w:numPr>
          <w:ilvl w:val="0"/>
          <w:numId w:val="2"/>
        </w:numPr>
        <w:spacing w:after="100" w:line="360"/>
      </w:pPr>
      <w:r>
        <w:rPr>
          <w:rFonts w:ascii="Arial" w:cs="Arial" w:eastAsia="Arial" w:hAnsi="Arial"/>
          <w:sz w:val="24"/>
          <w:szCs w:val="24"/>
        </w:rPr>
        <w:t xml:space="preserve">DRG and dorsal horn blood-nerve/blood-brain barrier penetration models (permeability surface area product estimation)</w:t>
      </w:r>
    </w:p>
    <w:p>
      <w:pPr>
        <w:pStyle w:val="ListParagraph"/>
        <w:numPr>
          <w:ilvl w:val="0"/>
          <w:numId w:val="2"/>
        </w:numPr>
        <w:spacing w:after="100" w:line="360"/>
      </w:pPr>
      <w:r>
        <w:rPr>
          <w:rFonts w:ascii="Arial" w:cs="Arial" w:eastAsia="Arial" w:hAnsi="Arial"/>
          <w:sz w:val="24"/>
          <w:szCs w:val="24"/>
        </w:rPr>
        <w:t xml:space="preserve">Animal pain model studies with intrathecal ASO administration (behavioral outcome measures)</w:t>
      </w:r>
    </w:p>
    <w:p>
      <w:pPr>
        <w:pStyle w:val="ListParagraph"/>
        <w:numPr>
          <w:ilvl w:val="0"/>
          <w:numId w:val="2"/>
        </w:numPr>
        <w:spacing w:after="100" w:line="360"/>
      </w:pPr>
      <w:r>
        <w:rPr>
          <w:rFonts w:ascii="Arial" w:cs="Arial" w:eastAsia="Arial" w:hAnsi="Arial"/>
          <w:sz w:val="24"/>
          <w:szCs w:val="24"/>
        </w:rPr>
        <w:t xml:space="preserve">Clinical trial CSF concentration data (PK/PD relationships for CNS-targeted ASOs)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Intrathecal PK/PD Modeler (CSF concentration simulation, tissue distribution prediction)</w:t>
      </w:r>
    </w:p>
    <w:p>
      <w:pPr>
        <w:pStyle w:val="ListParagraph"/>
        <w:numPr>
          <w:ilvl w:val="0"/>
          <w:numId w:val="2"/>
        </w:numPr>
        <w:spacing w:after="100" w:line="360"/>
      </w:pPr>
      <w:r>
        <w:rPr>
          <w:rFonts w:ascii="Arial" w:cs="Arial" w:eastAsia="Arial" w:hAnsi="Arial"/>
          <w:sz w:val="24"/>
          <w:szCs w:val="24"/>
        </w:rPr>
        <w:t xml:space="preserve">Blood-Nerve Barrier Penetrance Calculator (permeability prediction for ASO molecules)</w:t>
      </w:r>
    </w:p>
    <w:p>
      <w:pPr>
        <w:pStyle w:val="ListParagraph"/>
        <w:numPr>
          <w:ilvl w:val="0"/>
          <w:numId w:val="2"/>
        </w:numPr>
        <w:spacing w:after="100" w:line="360"/>
      </w:pPr>
      <w:r>
        <w:rPr>
          <w:rFonts w:ascii="Arial" w:cs="Arial" w:eastAsia="Arial" w:hAnsi="Arial"/>
          <w:sz w:val="24"/>
          <w:szCs w:val="24"/>
        </w:rPr>
        <w:t xml:space="preserve">Target tissue concentration predictor (DRG, dorsal horn peak concentrations, half-lives)</w:t>
      </w:r>
    </w:p>
    <w:p>
      <w:pPr>
        <w:pStyle w:val="ListParagraph"/>
        <w:numPr>
          <w:ilvl w:val="0"/>
          <w:numId w:val="2"/>
        </w:numPr>
        <w:spacing w:after="100" w:line="360"/>
      </w:pPr>
      <w:r>
        <w:rPr>
          <w:rFonts w:ascii="Arial" w:cs="Arial" w:eastAsia="Arial" w:hAnsi="Arial"/>
          <w:sz w:val="24"/>
          <w:szCs w:val="24"/>
        </w:rPr>
        <w:t xml:space="preserve">Knockdown Kinetics Simulator (time-course of mRNA knockdown and protein level reduction)</w:t>
      </w:r>
    </w:p>
    <w:p>
      <w:pPr>
        <w:pStyle w:val="ListParagraph"/>
        <w:numPr>
          <w:ilvl w:val="0"/>
          <w:numId w:val="2"/>
        </w:numPr>
        <w:spacing w:after="100" w:line="360"/>
      </w:pPr>
      <w:r>
        <w:rPr>
          <w:rFonts w:ascii="Arial" w:cs="Arial" w:eastAsia="Arial" w:hAnsi="Arial"/>
          <w:sz w:val="24"/>
          <w:szCs w:val="24"/>
        </w:rPr>
        <w:t xml:space="preserve">Pain Model Efficacy Predictor (behavioral response correlation with tissue ASO concentrations)</w:t>
      </w:r>
    </w:p>
    <w:p>
      <w:pPr>
        <w:pStyle w:val="ListParagraph"/>
        <w:numPr>
          <w:ilvl w:val="0"/>
          <w:numId w:val="2"/>
        </w:numPr>
        <w:spacing w:after="100" w:line="360"/>
      </w:pPr>
      <w:r>
        <w:rPr>
          <w:rFonts w:ascii="Arial" w:cs="Arial" w:eastAsia="Arial" w:hAnsi="Arial"/>
          <w:sz w:val="24"/>
          <w:szCs w:val="24"/>
        </w:rPr>
        <w:t xml:space="preserve">Clinical dose-range calculator (CSF concentration targets based on preclinical efficacy requirements)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intrathecal ASO doses (0.5-2 mg bolus, repeat dosing every 4-12 weeks) achieve sustained &gt;70% knockdown in DRG and dorsal horn?</w:t>
      </w:r>
    </w:p>
    <w:p>
      <w:pPr>
        <w:pStyle w:val="ListParagraph"/>
        <w:numPr>
          <w:ilvl w:val="0"/>
          <w:numId w:val="2"/>
        </w:numPr>
        <w:spacing w:after="100" w:line="360"/>
      </w:pPr>
      <w:r>
        <w:rPr>
          <w:rFonts w:ascii="Arial" w:cs="Arial" w:eastAsia="Arial" w:hAnsi="Arial"/>
          <w:sz w:val="24"/>
          <w:szCs w:val="24"/>
        </w:rPr>
        <w:t xml:space="preserve">How do ASO tissue concentrations in DRG compare to those in dorsal horn (spinal cord pain relay circuit)?</w:t>
      </w:r>
    </w:p>
    <w:p>
      <w:pPr>
        <w:pStyle w:val="ListParagraph"/>
        <w:numPr>
          <w:ilvl w:val="0"/>
          <w:numId w:val="2"/>
        </w:numPr>
        <w:spacing w:after="100" w:line="360"/>
      </w:pPr>
      <w:r>
        <w:rPr>
          <w:rFonts w:ascii="Arial" w:cs="Arial" w:eastAsia="Arial" w:hAnsi="Arial"/>
          <w:sz w:val="24"/>
          <w:szCs w:val="24"/>
        </w:rPr>
        <w:t xml:space="preserve">What is the minimal effective concentration (MEC) threshold for pain phenotype rescue in each target tissue?</w:t>
      </w:r>
    </w:p>
    <w:p>
      <w:pPr>
        <w:pStyle w:val="ListParagraph"/>
        <w:numPr>
          <w:ilvl w:val="0"/>
          <w:numId w:val="2"/>
        </w:numPr>
        <w:spacing w:after="100" w:line="360"/>
      </w:pPr>
      <w:r>
        <w:rPr>
          <w:rFonts w:ascii="Arial" w:cs="Arial" w:eastAsia="Arial" w:hAnsi="Arial"/>
          <w:sz w:val="24"/>
          <w:szCs w:val="24"/>
        </w:rPr>
        <w:t xml:space="preserve">Can we optimize ASO intrathecal dosing schedules (interval dosing, repeat administration) for sustained therapeutic effect?</w:t>
      </w:r>
    </w:p>
    <w:p>
      <w:pPr>
        <w:pStyle w:val="ListParagraph"/>
        <w:numPr>
          <w:ilvl w:val="0"/>
          <w:numId w:val="2"/>
        </w:numPr>
        <w:spacing w:after="100" w:line="360"/>
      </w:pPr>
      <w:r>
        <w:rPr>
          <w:rFonts w:ascii="Arial" w:cs="Arial" w:eastAsia="Arial" w:hAnsi="Arial"/>
          <w:sz w:val="24"/>
          <w:szCs w:val="24"/>
        </w:rPr>
        <w:t xml:space="preserve">How do neuroinflammatory and immune responses affect intrathecal ASO tolerability and duration?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Intrathecal PK simulation (CSF concentration vs time curves for 0.5-2 mg doses)</w:t>
      </w:r>
    </w:p>
    <w:p>
      <w:pPr>
        <w:pStyle w:val="ListParagraph"/>
        <w:numPr>
          <w:ilvl w:val="0"/>
          <w:numId w:val="2"/>
        </w:numPr>
        <w:spacing w:after="100" w:line="360"/>
      </w:pPr>
      <w:r>
        <w:rPr>
          <w:rFonts w:ascii="Arial" w:cs="Arial" w:eastAsia="Arial" w:hAnsi="Arial"/>
          <w:sz w:val="24"/>
          <w:szCs w:val="24"/>
        </w:rPr>
        <w:t xml:space="preserve">Target tissue distribution predictions (DRG peak concentration, dorsal horn peak concentration, T1/2 values)</w:t>
      </w:r>
    </w:p>
    <w:p>
      <w:pPr>
        <w:pStyle w:val="ListParagraph"/>
        <w:numPr>
          <w:ilvl w:val="0"/>
          <w:numId w:val="2"/>
        </w:numPr>
        <w:spacing w:after="100" w:line="360"/>
      </w:pPr>
      <w:r>
        <w:rPr>
          <w:rFonts w:ascii="Arial" w:cs="Arial" w:eastAsia="Arial" w:hAnsi="Arial"/>
          <w:sz w:val="24"/>
          <w:szCs w:val="24"/>
        </w:rPr>
        <w:t xml:space="preserve">Knockdown kinetics (time-course of mRNA knockdown, protein level reduction, phenotype recovery)</w:t>
      </w:r>
    </w:p>
    <w:p>
      <w:pPr>
        <w:pStyle w:val="ListParagraph"/>
        <w:numPr>
          <w:ilvl w:val="0"/>
          <w:numId w:val="2"/>
        </w:numPr>
        <w:spacing w:after="100" w:line="360"/>
      </w:pPr>
      <w:r>
        <w:rPr>
          <w:rFonts w:ascii="Arial" w:cs="Arial" w:eastAsia="Arial" w:hAnsi="Arial"/>
          <w:sz w:val="24"/>
          <w:szCs w:val="24"/>
        </w:rPr>
        <w:t xml:space="preserve">Efficacy prediction (% pain phenotype rescue correlating with tissue knockdown levels)</w:t>
      </w:r>
    </w:p>
    <w:p>
      <w:pPr>
        <w:pStyle w:val="ListParagraph"/>
        <w:numPr>
          <w:ilvl w:val="0"/>
          <w:numId w:val="2"/>
        </w:numPr>
        <w:spacing w:after="100" w:line="360"/>
      </w:pPr>
      <w:r>
        <w:rPr>
          <w:rFonts w:ascii="Arial" w:cs="Arial" w:eastAsia="Arial" w:hAnsi="Arial"/>
          <w:sz w:val="24"/>
          <w:szCs w:val="24"/>
        </w:rPr>
        <w:t xml:space="preserve">Dosing interval recommendations (interval between repeat doses for sustained &gt;70% knockdown)</w:t>
      </w:r>
    </w:p>
    <w:p>
      <w:pPr>
        <w:pStyle w:val="ListParagraph"/>
        <w:numPr>
          <w:ilvl w:val="0"/>
          <w:numId w:val="2"/>
        </w:numPr>
        <w:spacing w:after="100" w:line="360"/>
      </w:pPr>
      <w:r>
        <w:rPr>
          <w:rFonts w:ascii="Arial" w:cs="Arial" w:eastAsia="Arial" w:hAnsi="Arial"/>
          <w:sz w:val="24"/>
          <w:szCs w:val="24"/>
        </w:rPr>
        <w:t xml:space="preserve">Neuroinflammation and immune response risk assessment (prior experience with intrathecal ASO formulations)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Intrathecal PK/PD simulation showing CSF and tissue concentrations over time; recommended dosing schedules and tissue penetration profiles.</w:t>
      </w:r>
    </w:p>
    <w:p>
      <w:pPr>
        <w:pStyle w:val="Heading2"/>
      </w:pPr>
      <w:r>
        <w:rPr>
          <w:rFonts w:ascii="Arial" w:cs="Arial" w:eastAsia="Arial" w:hAnsi="Arial"/>
          <w:b/>
          <w:bCs/>
          <w:sz w:val="28"/>
          <w:szCs w:val="28"/>
        </w:rPr>
        <w:t xml:space="preserve">Stage 5: Preclinical-to-Clinical Translation Planning and Modality Recommendation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comparative ASO vs small molecule analysis and generate modality recommendations, suggested development pathways, and clinical trial design recommendations.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Comprehensive synthesis of preceding stages: target selection, kinetics comparison, durability assessment, delivery models, animal efficacy data</w:t>
      </w:r>
    </w:p>
    <w:p>
      <w:pPr>
        <w:pStyle w:val="ListParagraph"/>
        <w:numPr>
          <w:ilvl w:val="0"/>
          <w:numId w:val="2"/>
        </w:numPr>
        <w:spacing w:after="100" w:line="360"/>
      </w:pPr>
      <w:r>
        <w:rPr>
          <w:rFonts w:ascii="Arial" w:cs="Arial" w:eastAsia="Arial" w:hAnsi="Arial"/>
          <w:sz w:val="24"/>
          <w:szCs w:val="24"/>
        </w:rPr>
        <w:t xml:space="preserve">Published Phase I/II clinical trial precedents for both ASO and small molecule pain compounds</w:t>
      </w:r>
    </w:p>
    <w:p>
      <w:pPr>
        <w:pStyle w:val="ListParagraph"/>
        <w:numPr>
          <w:ilvl w:val="0"/>
          <w:numId w:val="2"/>
        </w:numPr>
        <w:spacing w:after="100" w:line="360"/>
      </w:pPr>
      <w:r>
        <w:rPr>
          <w:rFonts w:ascii="Arial" w:cs="Arial" w:eastAsia="Arial" w:hAnsi="Arial"/>
          <w:sz w:val="24"/>
          <w:szCs w:val="24"/>
        </w:rPr>
        <w:t xml:space="preserve">Regulatory guidance documents (FDA pain guidance, rare disease guidance, orphan drug considerations)</w:t>
      </w:r>
    </w:p>
    <w:p>
      <w:pPr>
        <w:pStyle w:val="ListParagraph"/>
        <w:numPr>
          <w:ilvl w:val="0"/>
          <w:numId w:val="2"/>
        </w:numPr>
        <w:spacing w:after="100" w:line="360"/>
      </w:pPr>
      <w:r>
        <w:rPr>
          <w:rFonts w:ascii="Arial" w:cs="Arial" w:eastAsia="Arial" w:hAnsi="Arial"/>
          <w:sz w:val="24"/>
          <w:szCs w:val="24"/>
        </w:rPr>
        <w:t xml:space="preserve">Health economic models predicting cost-effectiveness across development and commercial phases</w:t>
      </w:r>
    </w:p>
    <w:p>
      <w:pPr>
        <w:pStyle w:val="ListParagraph"/>
        <w:numPr>
          <w:ilvl w:val="0"/>
          <w:numId w:val="2"/>
        </w:numPr>
        <w:spacing w:after="100" w:line="360"/>
      </w:pPr>
      <w:r>
        <w:rPr>
          <w:rFonts w:ascii="Arial" w:cs="Arial" w:eastAsia="Arial" w:hAnsi="Arial"/>
          <w:sz w:val="24"/>
          <w:szCs w:val="24"/>
        </w:rPr>
        <w:t xml:space="preserve">Manufacturing capability assessment (GMP ASO synthesis vs small molecule scale-up complexity)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Modality Selection Algorithm (weighing efficacy, safety, durability, cost, patient burden across ASO vs small molecule)</w:t>
      </w:r>
    </w:p>
    <w:p>
      <w:pPr>
        <w:pStyle w:val="ListParagraph"/>
        <w:numPr>
          <w:ilvl w:val="0"/>
          <w:numId w:val="2"/>
        </w:numPr>
        <w:spacing w:after="100" w:line="360"/>
      </w:pPr>
      <w:r>
        <w:rPr>
          <w:rFonts w:ascii="Arial" w:cs="Arial" w:eastAsia="Arial" w:hAnsi="Arial"/>
          <w:sz w:val="24"/>
          <w:szCs w:val="24"/>
        </w:rPr>
        <w:t xml:space="preserve">Clinical Trial Design Optimizer (Phase IIb/III trial design recommendations based on pain indication and modality)</w:t>
      </w:r>
    </w:p>
    <w:p>
      <w:pPr>
        <w:pStyle w:val="ListParagraph"/>
        <w:numPr>
          <w:ilvl w:val="0"/>
          <w:numId w:val="2"/>
        </w:numPr>
        <w:spacing w:after="100" w:line="360"/>
      </w:pPr>
      <w:r>
        <w:rPr>
          <w:rFonts w:ascii="Arial" w:cs="Arial" w:eastAsia="Arial" w:hAnsi="Arial"/>
          <w:sz w:val="24"/>
          <w:szCs w:val="24"/>
        </w:rPr>
        <w:t xml:space="preserve">Regulatory pathway advisor (orphan drug, breakthrough designation suitability assessment)</w:t>
      </w:r>
    </w:p>
    <w:p>
      <w:pPr>
        <w:pStyle w:val="ListParagraph"/>
        <w:numPr>
          <w:ilvl w:val="0"/>
          <w:numId w:val="2"/>
        </w:numPr>
        <w:spacing w:after="100" w:line="360"/>
      </w:pPr>
      <w:r>
        <w:rPr>
          <w:rFonts w:ascii="Arial" w:cs="Arial" w:eastAsia="Arial" w:hAnsi="Arial"/>
          <w:sz w:val="24"/>
          <w:szCs w:val="24"/>
        </w:rPr>
        <w:t xml:space="preserve">Health economic model (development cost, commercialization cost, cost per responder across modalities)</w:t>
      </w:r>
    </w:p>
    <w:p>
      <w:pPr>
        <w:pStyle w:val="ListParagraph"/>
        <w:numPr>
          <w:ilvl w:val="0"/>
          <w:numId w:val="2"/>
        </w:numPr>
        <w:spacing w:after="100" w:line="360"/>
      </w:pPr>
      <w:r>
        <w:rPr>
          <w:rFonts w:ascii="Arial" w:cs="Arial" w:eastAsia="Arial" w:hAnsi="Arial"/>
          <w:sz w:val="24"/>
          <w:szCs w:val="24"/>
        </w:rPr>
        <w:t xml:space="preserve">Risk-Benefit Synthesis Tool (integrating efficacy, safety, durability, cost, manufacturing complexity)</w:t>
      </w:r>
    </w:p>
    <w:p>
      <w:pPr>
        <w:pStyle w:val="ListParagraph"/>
        <w:numPr>
          <w:ilvl w:val="0"/>
          <w:numId w:val="2"/>
        </w:numPr>
        <w:spacing w:after="100" w:line="360"/>
      </w:pPr>
      <w:r>
        <w:rPr>
          <w:rFonts w:ascii="Arial" w:cs="Arial" w:eastAsia="Arial" w:hAnsi="Arial"/>
          <w:sz w:val="24"/>
          <w:szCs w:val="24"/>
        </w:rPr>
        <w:t xml:space="preserve">Go/No-Go Decision Support System (modality selection and development pathway recommendation)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which pain indications (inflammatory pain, neuropathic pain, rare genetic pain syndromes) is ASO vs small molecule development more favorable?</w:t>
      </w:r>
    </w:p>
    <w:p>
      <w:pPr>
        <w:pStyle w:val="ListParagraph"/>
        <w:numPr>
          <w:ilvl w:val="0"/>
          <w:numId w:val="2"/>
        </w:numPr>
        <w:spacing w:after="100" w:line="360"/>
      </w:pPr>
      <w:r>
        <w:rPr>
          <w:rFonts w:ascii="Arial" w:cs="Arial" w:eastAsia="Arial" w:hAnsi="Arial"/>
          <w:sz w:val="24"/>
          <w:szCs w:val="24"/>
        </w:rPr>
        <w:t xml:space="preserve">What is the recommended clinical trial design (Phase IIb adaptive vs fixed-design, efficacy endpoints, safety monitoring) for each modality?</w:t>
      </w:r>
    </w:p>
    <w:p>
      <w:pPr>
        <w:pStyle w:val="ListParagraph"/>
        <w:numPr>
          <w:ilvl w:val="0"/>
          <w:numId w:val="2"/>
        </w:numPr>
        <w:spacing w:after="100" w:line="360"/>
      </w:pPr>
      <w:r>
        <w:rPr>
          <w:rFonts w:ascii="Arial" w:cs="Arial" w:eastAsia="Arial" w:hAnsi="Arial"/>
          <w:sz w:val="24"/>
          <w:szCs w:val="24"/>
        </w:rPr>
        <w:t xml:space="preserve">Which regulatory pathways (standard review, expedited pathways, orphan drug designation) best fit ASO vs small molecule development strategies?</w:t>
      </w:r>
    </w:p>
    <w:p>
      <w:pPr>
        <w:pStyle w:val="ListParagraph"/>
        <w:numPr>
          <w:ilvl w:val="0"/>
          <w:numId w:val="2"/>
        </w:numPr>
        <w:spacing w:after="100" w:line="360"/>
      </w:pPr>
      <w:r>
        <w:rPr>
          <w:rFonts w:ascii="Arial" w:cs="Arial" w:eastAsia="Arial" w:hAnsi="Arial"/>
          <w:sz w:val="24"/>
          <w:szCs w:val="24"/>
        </w:rPr>
        <w:t xml:space="preserve">What is the total cost comparison for ASO vs small molecule development through Phase III registration?</w:t>
      </w:r>
    </w:p>
    <w:p>
      <w:pPr>
        <w:pStyle w:val="ListParagraph"/>
        <w:numPr>
          <w:ilvl w:val="0"/>
          <w:numId w:val="2"/>
        </w:numPr>
        <w:spacing w:after="100" w:line="360"/>
      </w:pPr>
      <w:r>
        <w:rPr>
          <w:rFonts w:ascii="Arial" w:cs="Arial" w:eastAsia="Arial" w:hAnsi="Arial"/>
          <w:sz w:val="24"/>
          <w:szCs w:val="24"/>
        </w:rPr>
        <w:t xml:space="preserve">Which compounds should advance and via which modality development pathway?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Modality recommendation (ASO vs small molecule or hybrid approach for each pain target and indication)</w:t>
      </w:r>
    </w:p>
    <w:p>
      <w:pPr>
        <w:pStyle w:val="ListParagraph"/>
        <w:numPr>
          <w:ilvl w:val="0"/>
          <w:numId w:val="2"/>
        </w:numPr>
        <w:spacing w:after="100" w:line="360"/>
      </w:pPr>
      <w:r>
        <w:rPr>
          <w:rFonts w:ascii="Arial" w:cs="Arial" w:eastAsia="Arial" w:hAnsi="Arial"/>
          <w:sz w:val="24"/>
          <w:szCs w:val="24"/>
        </w:rPr>
        <w:t xml:space="preserve">Recommended clinical trial design (Phase IIb/III protocol outline, efficacy endpoints, safety monitoring strategy)</w:t>
      </w:r>
    </w:p>
    <w:p>
      <w:pPr>
        <w:pStyle w:val="ListParagraph"/>
        <w:numPr>
          <w:ilvl w:val="0"/>
          <w:numId w:val="2"/>
        </w:numPr>
        <w:spacing w:after="100" w:line="360"/>
      </w:pPr>
      <w:r>
        <w:rPr>
          <w:rFonts w:ascii="Arial" w:cs="Arial" w:eastAsia="Arial" w:hAnsi="Arial"/>
          <w:sz w:val="24"/>
          <w:szCs w:val="24"/>
        </w:rPr>
        <w:t xml:space="preserve">Regulatory pathway recommendation (standard vs expedited review, orphan drug consideration)</w:t>
      </w:r>
    </w:p>
    <w:p>
      <w:pPr>
        <w:pStyle w:val="ListParagraph"/>
        <w:numPr>
          <w:ilvl w:val="0"/>
          <w:numId w:val="2"/>
        </w:numPr>
        <w:spacing w:after="100" w:line="360"/>
      </w:pPr>
      <w:r>
        <w:rPr>
          <w:rFonts w:ascii="Arial" w:cs="Arial" w:eastAsia="Arial" w:hAnsi="Arial"/>
          <w:sz w:val="24"/>
          <w:szCs w:val="24"/>
        </w:rPr>
        <w:t xml:space="preserve">Health economic analysis (development cost, manufacturing cost, cost per responder, commercial potential)</w:t>
      </w:r>
    </w:p>
    <w:p>
      <w:pPr>
        <w:pStyle w:val="ListParagraph"/>
        <w:numPr>
          <w:ilvl w:val="0"/>
          <w:numId w:val="2"/>
        </w:numPr>
        <w:spacing w:after="100" w:line="360"/>
      </w:pPr>
      <w:r>
        <w:rPr>
          <w:rFonts w:ascii="Arial" w:cs="Arial" w:eastAsia="Arial" w:hAnsi="Arial"/>
          <w:sz w:val="24"/>
          <w:szCs w:val="24"/>
        </w:rPr>
        <w:t xml:space="preserve">Risk ranking by modality (preclinical-to-clinical translation success probability for ASO vs small molecule)</w:t>
      </w:r>
    </w:p>
    <w:p>
      <w:pPr>
        <w:pStyle w:val="ListParagraph"/>
        <w:numPr>
          <w:ilvl w:val="0"/>
          <w:numId w:val="2"/>
        </w:numPr>
        <w:spacing w:after="100" w:line="360"/>
      </w:pPr>
      <w:r>
        <w:rPr>
          <w:rFonts w:ascii="Arial" w:cs="Arial" w:eastAsia="Arial" w:hAnsi="Arial"/>
          <w:sz w:val="24"/>
          <w:szCs w:val="24"/>
        </w:rPr>
        <w:t xml:space="preserve">Compound-specific development pathway recommendations (top 10-15 compounds ranked by clinical translation probability)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Modality comparison summary with clinical development pathway recommendations and health economic analysis; go/no-go recommendations for top compounds.</w:t>
      </w:r>
    </w:p>
    <w:p>
      <w:pPr>
        <w:pStyle w:val="Heading2"/>
      </w:pPr>
      <w:r>
        <w:rPr>
          <w:rFonts w:ascii="Arial" w:cs="Arial" w:eastAsia="Arial" w:hAnsi="Arial"/>
          <w:b/>
          <w:bCs/>
          <w:sz w:val="28"/>
          <w:szCs w:val="28"/>
        </w:rPr>
        <w:t xml:space="preserve">Stage 6: Strategic Modality Selection and Development Recommendation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Generate strategic recommendation for ASO vs small molecule development pathway, including target prioritization, modality selection rationale, and clinical development strategy.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Complete modality comparison synthesis: kinetics, durability, delivery, animal efficacy, clinical translation, health economics, and manufacturing assessment</w:t>
      </w:r>
    </w:p>
    <w:p>
      <w:pPr>
        <w:pStyle w:val="ListParagraph"/>
        <w:numPr>
          <w:ilvl w:val="0"/>
          <w:numId w:val="2"/>
        </w:numPr>
        <w:spacing w:after="100" w:line="360"/>
      </w:pPr>
      <w:r>
        <w:rPr>
          <w:rFonts w:ascii="Arial" w:cs="Arial" w:eastAsia="Arial" w:hAnsi="Arial"/>
          <w:sz w:val="24"/>
          <w:szCs w:val="24"/>
        </w:rPr>
        <w:t xml:space="preserve">Regulatory precedent for pain indications (approved ASOs in pain, ongoing small molecule pain programs, regulatory guidance specifics)</w:t>
      </w:r>
    </w:p>
    <w:p>
      <w:pPr>
        <w:pStyle w:val="ListParagraph"/>
        <w:numPr>
          <w:ilvl w:val="0"/>
          <w:numId w:val="2"/>
        </w:numPr>
        <w:spacing w:after="100" w:line="360"/>
      </w:pPr>
      <w:r>
        <w:rPr>
          <w:rFonts w:ascii="Arial" w:cs="Arial" w:eastAsia="Arial" w:hAnsi="Arial"/>
          <w:sz w:val="24"/>
          <w:szCs w:val="24"/>
        </w:rPr>
        <w:t xml:space="preserve">Competitive landscape analysis (other Nav1.7/Nav1.8 inhibitors in development, first-mover advantage considerations)</w:t>
      </w:r>
    </w:p>
    <w:p>
      <w:pPr>
        <w:pStyle w:val="ListParagraph"/>
        <w:numPr>
          <w:ilvl w:val="0"/>
          <w:numId w:val="2"/>
        </w:numPr>
        <w:spacing w:after="100" w:line="360"/>
      </w:pPr>
      <w:r>
        <w:rPr>
          <w:rFonts w:ascii="Arial" w:cs="Arial" w:eastAsia="Arial" w:hAnsi="Arial"/>
          <w:sz w:val="24"/>
          <w:szCs w:val="24"/>
        </w:rPr>
        <w:t xml:space="preserve">Partnership and manufacturing capabilities (internal vs out-sourced options for ASO vs small molecule)</w:t>
      </w:r>
    </w:p>
    <w:p>
      <w:pPr>
        <w:pStyle w:val="ListParagraph"/>
        <w:numPr>
          <w:ilvl w:val="0"/>
          <w:numId w:val="2"/>
        </w:numPr>
        <w:spacing w:after="100" w:line="360"/>
      </w:pPr>
      <w:r>
        <w:rPr>
          <w:rFonts w:ascii="Arial" w:cs="Arial" w:eastAsia="Arial" w:hAnsi="Arial"/>
          <w:sz w:val="24"/>
          <w:szCs w:val="24"/>
        </w:rPr>
        <w:t xml:space="preserve">Strategic corporate objectives (differentiation from competitors, portfolio balance, risk mitigation across modalities)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Strategic Modality Selector (target and indication-specific ASO vs small molecule recommendation)</w:t>
      </w:r>
    </w:p>
    <w:p>
      <w:pPr>
        <w:pStyle w:val="ListParagraph"/>
        <w:numPr>
          <w:ilvl w:val="0"/>
          <w:numId w:val="2"/>
        </w:numPr>
        <w:spacing w:after="100" w:line="360"/>
      </w:pPr>
      <w:r>
        <w:rPr>
          <w:rFonts w:ascii="Arial" w:cs="Arial" w:eastAsia="Arial" w:hAnsi="Arial"/>
          <w:sz w:val="24"/>
          <w:szCs w:val="24"/>
        </w:rPr>
        <w:t xml:space="preserve">Development Pathway Optimizer (phased approach, modality sequencing, risk mitigation strategy)</w:t>
      </w:r>
    </w:p>
    <w:p>
      <w:pPr>
        <w:pStyle w:val="ListParagraph"/>
        <w:numPr>
          <w:ilvl w:val="0"/>
          <w:numId w:val="2"/>
        </w:numPr>
        <w:spacing w:after="100" w:line="360"/>
      </w:pPr>
      <w:r>
        <w:rPr>
          <w:rFonts w:ascii="Arial" w:cs="Arial" w:eastAsia="Arial" w:hAnsi="Arial"/>
          <w:sz w:val="24"/>
          <w:szCs w:val="24"/>
        </w:rPr>
        <w:t xml:space="preserve">Competitive Advantage Analyzer (differentiating factors for ASO vs small molecule in target market)</w:t>
      </w:r>
    </w:p>
    <w:p>
      <w:pPr>
        <w:pStyle w:val="ListParagraph"/>
        <w:numPr>
          <w:ilvl w:val="0"/>
          <w:numId w:val="2"/>
        </w:numPr>
        <w:spacing w:after="100" w:line="360"/>
      </w:pPr>
      <w:r>
        <w:rPr>
          <w:rFonts w:ascii="Arial" w:cs="Arial" w:eastAsia="Arial" w:hAnsi="Arial"/>
          <w:sz w:val="24"/>
          <w:szCs w:val="24"/>
        </w:rPr>
        <w:t xml:space="preserve">Portfolio Strategy Recommender (balanced approach across multiple modalities and targets)</w:t>
      </w:r>
    </w:p>
    <w:p>
      <w:pPr>
        <w:pStyle w:val="ListParagraph"/>
        <w:numPr>
          <w:ilvl w:val="0"/>
          <w:numId w:val="2"/>
        </w:numPr>
        <w:spacing w:after="100" w:line="360"/>
      </w:pPr>
      <w:r>
        <w:rPr>
          <w:rFonts w:ascii="Arial" w:cs="Arial" w:eastAsia="Arial" w:hAnsi="Arial"/>
          <w:sz w:val="24"/>
          <w:szCs w:val="24"/>
        </w:rPr>
        <w:t xml:space="preserve">Timeline Estimator (development timelines for ASO vs small molecule to Phase III, registration)</w:t>
      </w:r>
    </w:p>
    <w:p>
      <w:pPr>
        <w:pStyle w:val="ListParagraph"/>
        <w:numPr>
          <w:ilvl w:val="0"/>
          <w:numId w:val="2"/>
        </w:numPr>
        <w:spacing w:after="100" w:line="360"/>
      </w:pPr>
      <w:r>
        <w:rPr>
          <w:rFonts w:ascii="Arial" w:cs="Arial" w:eastAsia="Arial" w:hAnsi="Arial"/>
          <w:sz w:val="24"/>
          <w:szCs w:val="24"/>
        </w:rPr>
        <w:t xml:space="preserve">Investment Decision Support (resource allocation across ASO vs small molecule development)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Should development focus on ASO for rapid onset with durability, small molecule for broad pain type applicability, or parallel development of both?</w:t>
      </w:r>
    </w:p>
    <w:p>
      <w:pPr>
        <w:pStyle w:val="ListParagraph"/>
        <w:numPr>
          <w:ilvl w:val="0"/>
          <w:numId w:val="2"/>
        </w:numPr>
        <w:spacing w:after="100" w:line="360"/>
      </w:pPr>
      <w:r>
        <w:rPr>
          <w:rFonts w:ascii="Arial" w:cs="Arial" w:eastAsia="Arial" w:hAnsi="Arial"/>
          <w:sz w:val="24"/>
          <w:szCs w:val="24"/>
        </w:rPr>
        <w:t xml:space="preserve">Which chronic pain targets are best-suited for ASO (allele-specific knockdown advantage) vs small molecule (faster occupancy, broader target range)?</w:t>
      </w:r>
    </w:p>
    <w:p>
      <w:pPr>
        <w:pStyle w:val="ListParagraph"/>
        <w:numPr>
          <w:ilvl w:val="0"/>
          <w:numId w:val="2"/>
        </w:numPr>
        <w:spacing w:after="100" w:line="360"/>
      </w:pPr>
      <w:r>
        <w:rPr>
          <w:rFonts w:ascii="Arial" w:cs="Arial" w:eastAsia="Arial" w:hAnsi="Arial"/>
          <w:sz w:val="24"/>
          <w:szCs w:val="24"/>
        </w:rPr>
        <w:t xml:space="preserve">What is the optimal clinical development sequence (ASO Phase IIb + small molecule Phase IIa in parallel vs sequential development)?</w:t>
      </w:r>
    </w:p>
    <w:p>
      <w:pPr>
        <w:pStyle w:val="ListParagraph"/>
        <w:numPr>
          <w:ilvl w:val="0"/>
          <w:numId w:val="2"/>
        </w:numPr>
        <w:spacing w:after="100" w:line="360"/>
      </w:pPr>
      <w:r>
        <w:rPr>
          <w:rFonts w:ascii="Arial" w:cs="Arial" w:eastAsia="Arial" w:hAnsi="Arial"/>
          <w:sz w:val="24"/>
          <w:szCs w:val="24"/>
        </w:rPr>
        <w:t xml:space="preserve">How should the portfolio be balanced to de-risk failure of single modality while maintaining competitive differentiation?</w:t>
      </w:r>
    </w:p>
    <w:p>
      <w:pPr>
        <w:pStyle w:val="ListParagraph"/>
        <w:numPr>
          <w:ilvl w:val="0"/>
          <w:numId w:val="2"/>
        </w:numPr>
        <w:spacing w:after="100" w:line="360"/>
      </w:pPr>
      <w:r>
        <w:rPr>
          <w:rFonts w:ascii="Arial" w:cs="Arial" w:eastAsia="Arial" w:hAnsi="Arial"/>
          <w:sz w:val="24"/>
          <w:szCs w:val="24"/>
        </w:rPr>
        <w:t xml:space="preserve">What partnership and manufacturing strategies minimize cost and risk while maintaining development timeline?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Strategic modality recommendation (ASO vs small molecule vs dual modality strategy)</w:t>
      </w:r>
    </w:p>
    <w:p>
      <w:pPr>
        <w:pStyle w:val="ListParagraph"/>
        <w:numPr>
          <w:ilvl w:val="0"/>
          <w:numId w:val="2"/>
        </w:numPr>
        <w:spacing w:after="100" w:line="360"/>
      </w:pPr>
      <w:r>
        <w:rPr>
          <w:rFonts w:ascii="Arial" w:cs="Arial" w:eastAsia="Arial" w:hAnsi="Arial"/>
          <w:sz w:val="24"/>
          <w:szCs w:val="24"/>
        </w:rPr>
        <w:t xml:space="preserve">Target prioritization by modality suitability (rank 5 targets by ASO fit vs small molecule fit)</w:t>
      </w:r>
    </w:p>
    <w:p>
      <w:pPr>
        <w:pStyle w:val="ListParagraph"/>
        <w:numPr>
          <w:ilvl w:val="0"/>
          <w:numId w:val="2"/>
        </w:numPr>
        <w:spacing w:after="100" w:line="360"/>
      </w:pPr>
      <w:r>
        <w:rPr>
          <w:rFonts w:ascii="Arial" w:cs="Arial" w:eastAsia="Arial" w:hAnsi="Arial"/>
          <w:sz w:val="24"/>
          <w:szCs w:val="24"/>
        </w:rPr>
        <w:t xml:space="preserve">Recommended development pathway (Phase IIb starting indication, modality selection rationale, clinical trial design)</w:t>
      </w:r>
    </w:p>
    <w:p>
      <w:pPr>
        <w:pStyle w:val="ListParagraph"/>
        <w:numPr>
          <w:ilvl w:val="0"/>
          <w:numId w:val="2"/>
        </w:numPr>
        <w:spacing w:after="100" w:line="360"/>
      </w:pPr>
      <w:r>
        <w:rPr>
          <w:rFonts w:ascii="Arial" w:cs="Arial" w:eastAsia="Arial" w:hAnsi="Arial"/>
          <w:sz w:val="24"/>
          <w:szCs w:val="24"/>
        </w:rPr>
        <w:t xml:space="preserve">Competitive advantage positioning (differentiation factors vs other Nav1.7/Nav1.8 inhibitors in development)</w:t>
      </w:r>
    </w:p>
    <w:p>
      <w:pPr>
        <w:pStyle w:val="ListParagraph"/>
        <w:numPr>
          <w:ilvl w:val="0"/>
          <w:numId w:val="2"/>
        </w:numPr>
        <w:spacing w:after="100" w:line="360"/>
      </w:pPr>
      <w:r>
        <w:rPr>
          <w:rFonts w:ascii="Arial" w:cs="Arial" w:eastAsia="Arial" w:hAnsi="Arial"/>
          <w:sz w:val="24"/>
          <w:szCs w:val="24"/>
        </w:rPr>
        <w:t xml:space="preserve">Timeline and investment projection (estimated cost to registration, time to first human dose, expected registration timeline)</w:t>
      </w:r>
    </w:p>
    <w:p>
      <w:pPr>
        <w:pStyle w:val="ListParagraph"/>
        <w:numPr>
          <w:ilvl w:val="0"/>
          <w:numId w:val="2"/>
        </w:numPr>
        <w:spacing w:after="100" w:line="360"/>
      </w:pPr>
      <w:r>
        <w:rPr>
          <w:rFonts w:ascii="Arial" w:cs="Arial" w:eastAsia="Arial" w:hAnsi="Arial"/>
          <w:sz w:val="24"/>
          <w:szCs w:val="24"/>
        </w:rPr>
        <w:t xml:space="preserve">Portfolio composition recommendation (target allocation, modality mix, backup compound strategy)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Strategic modality selection and development pathway recommendation with competitive positioning and portfolio optimization strategy.</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Electrophysiology CRISPR Atlas (18,000 gene perturbations, ~3,500 compound perturbations, 500+ features per neuron; primary data source for all phenotype analysis)</w:t>
      </w:r>
    </w:p>
    <w:p>
      <w:pPr>
        <w:pStyle w:val="ListParagraph"/>
        <w:numPr>
          <w:ilvl w:val="0"/>
          <w:numId w:val="2"/>
        </w:numPr>
        <w:spacing w:after="100" w:line="360"/>
      </w:pPr>
      <w:r>
        <w:rPr>
          <w:rFonts w:ascii="Arial" w:cs="Arial" w:eastAsia="Arial" w:hAnsi="Arial"/>
          <w:sz w:val="24"/>
          <w:szCs w:val="24"/>
        </w:rPr>
        <w:t xml:space="preserve">Variant Effect Predictor (VEP) and AlphaFold2 Structural Modeling (missense consequence prediction and 3D sodium channel structure visualization)</w:t>
      </w:r>
    </w:p>
    <w:p>
      <w:pPr>
        <w:pStyle w:val="ListParagraph"/>
        <w:numPr>
          <w:ilvl w:val="0"/>
          <w:numId w:val="2"/>
        </w:numPr>
        <w:spacing w:after="100" w:line="360"/>
      </w:pPr>
      <w:r>
        <w:rPr>
          <w:rFonts w:ascii="Arial" w:cs="Arial" w:eastAsia="Arial" w:hAnsi="Arial"/>
          <w:sz w:val="24"/>
          <w:szCs w:val="24"/>
        </w:rPr>
        <w:t xml:space="preserve">Automated Patch-Clamp Screening Platform (hERG, Nav channels, ion channel selectivity profiling across compound library)</w:t>
      </w:r>
    </w:p>
    <w:p>
      <w:pPr>
        <w:pStyle w:val="ListParagraph"/>
        <w:numPr>
          <w:ilvl w:val="0"/>
          <w:numId w:val="2"/>
        </w:numPr>
        <w:spacing w:after="100" w:line="360"/>
      </w:pPr>
      <w:r>
        <w:rPr>
          <w:rFonts w:ascii="Arial" w:cs="Arial" w:eastAsia="Arial" w:hAnsi="Arial"/>
          <w:sz w:val="24"/>
          <w:szCs w:val="24"/>
        </w:rPr>
        <w:t xml:space="preserve">Whole-Cell Electrophysiology Analysis Suite (AP firing frequency, rheobase, AHP metrics quantification from current-clamp recordings)</w:t>
      </w:r>
    </w:p>
    <w:p>
      <w:pPr>
        <w:pStyle w:val="ListParagraph"/>
        <w:numPr>
          <w:ilvl w:val="0"/>
          <w:numId w:val="2"/>
        </w:numPr>
        <w:spacing w:after="100" w:line="360"/>
      </w:pPr>
      <w:r>
        <w:rPr>
          <w:rFonts w:ascii="Arial" w:cs="Arial" w:eastAsia="Arial" w:hAnsi="Arial"/>
          <w:sz w:val="24"/>
          <w:szCs w:val="24"/>
        </w:rPr>
        <w:t xml:space="preserve">Neuropeptide Release Quantifier (CGRP/substance P ELISA and luminescence immunoassay quantification)</w:t>
      </w:r>
    </w:p>
    <w:p>
      <w:pPr>
        <w:pStyle w:val="ListParagraph"/>
        <w:numPr>
          <w:ilvl w:val="0"/>
          <w:numId w:val="2"/>
        </w:numPr>
        <w:spacing w:after="100" w:line="360"/>
      </w:pPr>
      <w:r>
        <w:rPr>
          <w:rFonts w:ascii="Arial" w:cs="Arial" w:eastAsia="Arial" w:hAnsi="Arial"/>
          <w:sz w:val="24"/>
          <w:szCs w:val="24"/>
        </w:rPr>
        <w:t xml:space="preserve">Multi-Electrode Array Recording System (spontaneous activity monitoring, network-level electrophysiology assessment)</w:t>
      </w:r>
    </w:p>
    <w:p>
      <w:pPr>
        <w:pStyle w:val="ListParagraph"/>
        <w:numPr>
          <w:ilvl w:val="0"/>
          <w:numId w:val="2"/>
        </w:numPr>
        <w:spacing w:after="100" w:line="360"/>
      </w:pPr>
      <w:r>
        <w:rPr>
          <w:rFonts w:ascii="Arial" w:cs="Arial" w:eastAsia="Arial" w:hAnsi="Arial"/>
          <w:sz w:val="24"/>
          <w:szCs w:val="24"/>
        </w:rPr>
        <w:t xml:space="preserve">Clinical Trial Database (ClinicalTrials.gov, FDA FAERS, published Phase I/II safety and efficacy data mining)</w:t>
      </w:r>
    </w:p>
    <w:p>
      <w:pPr>
        <w:pStyle w:val="ListParagraph"/>
        <w:numPr>
          <w:ilvl w:val="0"/>
          <w:numId w:val="2"/>
        </w:numPr>
        <w:spacing w:after="100" w:line="360"/>
      </w:pPr>
      <w:r>
        <w:rPr>
          <w:rFonts w:ascii="Arial" w:cs="Arial" w:eastAsia="Arial" w:hAnsi="Arial"/>
          <w:sz w:val="24"/>
          <w:szCs w:val="24"/>
        </w:rPr>
        <w:t xml:space="preserve">ADMET Property Calculator (physicochemical property analysis, BBB/blood-nerve barrier penetrance prediction)</w:t>
      </w:r>
    </w:p>
    <w:p>
      <w:pPr>
        <w:pStyle w:val="ListParagraph"/>
        <w:numPr>
          <w:ilvl w:val="0"/>
          <w:numId w:val="2"/>
        </w:numPr>
        <w:spacing w:after="100" w:line="360"/>
      </w:pPr>
      <w:r>
        <w:rPr>
          <w:rFonts w:ascii="Arial" w:cs="Arial" w:eastAsia="Arial" w:hAnsi="Arial"/>
          <w:sz w:val="24"/>
          <w:szCs w:val="24"/>
        </w:rPr>
        <w:t xml:space="preserve">Structure-Activity Relationship (SAR) Mining Tool (chemical feature identification driving selectivity and potency)</w:t>
      </w:r>
    </w:p>
    <w:p>
      <w:pPr>
        <w:pStyle w:val="ListParagraph"/>
        <w:numPr>
          <w:ilvl w:val="0"/>
          <w:numId w:val="2"/>
        </w:numPr>
        <w:spacing w:after="100" w:line="360"/>
      </w:pPr>
      <w:r>
        <w:rPr>
          <w:rFonts w:ascii="Arial" w:cs="Arial" w:eastAsia="Arial" w:hAnsi="Arial"/>
          <w:sz w:val="24"/>
          <w:szCs w:val="24"/>
        </w:rPr>
        <w:t xml:space="preserve">PK/PD Modeling Suite (Phoenix WinNonlin equivalent, exposure-response curve generation, clinical dose prediction)</w:t>
      </w:r>
    </w:p>
    <w:p>
      <w:pPr>
        <w:pStyle w:val="ListParagraph"/>
        <w:numPr>
          <w:ilvl w:val="0"/>
          <w:numId w:val="2"/>
        </w:numPr>
        <w:spacing w:after="100" w:line="360"/>
      </w:pPr>
      <w:r>
        <w:rPr>
          <w:rFonts w:ascii="Arial" w:cs="Arial" w:eastAsia="Arial" w:hAnsi="Arial"/>
          <w:sz w:val="24"/>
          <w:szCs w:val="24"/>
        </w:rPr>
        <w:t xml:space="preserve">Machine Learning Classification Platform (scikit-learn, TensorFlow; analgesic/sedative signature separation, responder prediction)</w:t>
      </w:r>
    </w:p>
    <w:p>
      <w:pPr>
        <w:pStyle w:val="ListParagraph"/>
        <w:numPr>
          <w:ilvl w:val="0"/>
          <w:numId w:val="2"/>
        </w:numPr>
        <w:spacing w:after="100" w:line="360"/>
      </w:pPr>
      <w:r>
        <w:rPr>
          <w:rFonts w:ascii="Arial" w:cs="Arial" w:eastAsia="Arial" w:hAnsi="Arial"/>
          <w:sz w:val="24"/>
          <w:szCs w:val="24"/>
        </w:rPr>
        <w:t xml:space="preserve">Sleep-Wake Architecture Analyzer (polysomnography analysis, EEG spectral decomposition, actigraphy metrics)</w:t>
      </w:r>
    </w:p>
    <w:p>
      <w:pPr>
        <w:pStyle w:val="ListParagraph"/>
        <w:numPr>
          <w:ilvl w:val="0"/>
          <w:numId w:val="2"/>
        </w:numPr>
        <w:spacing w:after="100" w:line="360"/>
      </w:pPr>
      <w:r>
        <w:rPr>
          <w:rFonts w:ascii="Arial" w:cs="Arial" w:eastAsia="Arial" w:hAnsi="Arial"/>
          <w:sz w:val="24"/>
          <w:szCs w:val="24"/>
        </w:rPr>
        <w:t xml:space="preserve">CNS Biomarker Analyzer (CSF/blood neurofilament, tau, amyloid quantification; neuroinflammation markers)</w:t>
      </w:r>
    </w:p>
    <w:p>
      <w:pPr>
        <w:pStyle w:val="ListParagraph"/>
        <w:numPr>
          <w:ilvl w:val="0"/>
          <w:numId w:val="2"/>
        </w:numPr>
        <w:spacing w:after="100" w:line="360"/>
      </w:pPr>
      <w:r>
        <w:rPr>
          <w:rFonts w:ascii="Arial" w:cs="Arial" w:eastAsia="Arial" w:hAnsi="Arial"/>
          <w:sz w:val="24"/>
          <w:szCs w:val="24"/>
        </w:rPr>
        <w:t xml:space="preserve">Neuroimaging Analysis Tools (fMRI pain circuit activation, DTI white matter integrity, PET dopamine transporter occupancy)</w:t>
      </w:r>
    </w:p>
    <w:p>
      <w:pPr>
        <w:pStyle w:val="ListParagraph"/>
        <w:numPr>
          <w:ilvl w:val="0"/>
          <w:numId w:val="2"/>
        </w:numPr>
        <w:spacing w:after="100" w:line="360"/>
      </w:pPr>
      <w:r>
        <w:rPr>
          <w:rFonts w:ascii="Arial" w:cs="Arial" w:eastAsia="Arial" w:hAnsi="Arial"/>
          <w:sz w:val="24"/>
          <w:szCs w:val="24"/>
        </w:rPr>
        <w:t xml:space="preserve">Health Economic Model (cost-effectiveness analysis, development cost projections, commercialization potential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2026-03-04T02:24:34.081Z</dcterms:created>
  <dcterms:modified xsi:type="dcterms:W3CDTF">2026-03-04T02:24:34.081Z</dcterms:modified>
</cp:coreProperties>
</file>

<file path=docProps/custom.xml><?xml version="1.0" encoding="utf-8"?>
<Properties xmlns="http://schemas.openxmlformats.org/officeDocument/2006/custom-properties" xmlns:vt="http://schemas.openxmlformats.org/officeDocument/2006/docPropsVTypes"/>
</file>