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Phase II–Safe Sodium Channel Modulators by EP Rescue</w:t>
      </w:r>
    </w:p>
    <w:p>
      <w:pPr>
        <w:spacing w:after="240" w:line="360"/>
      </w:pPr>
      <w:r>
        <w:rPr>
          <w:rFonts w:ascii="Arial" w:cs="Arial" w:eastAsia="Arial" w:hAnsi="Arial"/>
          <w:b/>
          <w:bCs/>
          <w:sz w:val="24"/>
          <w:szCs w:val="24"/>
        </w:rPr>
        <w:t xml:space="preserve">Prompt: </w:t>
      </w:r>
      <w:r>
        <w:rPr>
          <w:rFonts w:ascii="Arial" w:cs="Arial" w:eastAsia="Arial" w:hAnsi="Arial"/>
          <w:sz w:val="24"/>
          <w:szCs w:val="24"/>
        </w:rPr>
        <w:t xml:space="preserve">Rank Phase II–safe sodium channel modulators by EP rescue.</w:t>
      </w:r>
    </w:p>
    <w:p>
      <w:pPr>
        <w:spacing w:after="200" w:line="360"/>
      </w:pPr>
      <w:r>
        <w:rPr>
          <w:rFonts w:ascii="Arial" w:cs="Arial" w:eastAsia="Arial" w:hAnsi="Arial"/>
          <w:sz w:val="24"/>
          <w:szCs w:val="24"/>
        </w:rPr>
        <w:t xml:space="preserve">This pipeline ranks clinical-stage sodium channel modulator compounds by their capacity to rescue hyperexcitability phenotypes in DRG neurons and primary nociceptors. Focus is on compounds with established Phase II safety profiles (e.g., lidocaine derivatives, saxitoxin analogs, anticonvulsants) that demonstrate state-dependent block and use-dependent selectivity for pathogenic pain states.</w:t>
      </w:r>
    </w:p>
    <w:p>
      <w:pPr>
        <w:spacing w:after="200" w:line="360"/>
      </w:pPr>
      <w:r>
        <w:rPr>
          <w:rFonts w:ascii="Arial" w:cs="Arial" w:eastAsia="Arial" w:hAnsi="Arial"/>
          <w:sz w:val="24"/>
          <w:szCs w:val="24"/>
        </w:rPr>
        <w:t xml:space="preserve">The workflow evaluates state-dependent block profiles (resting vs inactivated channel preferential inhibition), use-dependent selectivity for hyperexcitable vs normal neural firing, EP rescue metrics across the atlas's 500+ features, and clinical-to-preclinical translational signatures for Phase II compounds.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stage evaluates clinical-stage sodium channel compounds with established Phase II safety data. The pipeline ranks candidates by EP rescue capacity, state-dependent block profiles, and translational signatures from preclinical to clinical settings.</w:t>
      </w:r>
    </w:p>
    <w:p>
      <w:pPr>
        <w:spacing w:after="240" w:line="360"/>
      </w:pPr>
      <w:r>
        <w:rPr>
          <w:rFonts w:ascii="Arial" w:cs="Arial" w:eastAsia="Arial" w:hAnsi="Arial"/>
          <w:sz w:val="24"/>
          <w:szCs w:val="24"/>
        </w:rPr>
        <w:t xml:space="preserve">Key metrics include state-dependent block selectivity, use-dependent block profiles, Phase II adverse event data, and EP rescue metrics in hyperexcitable nociceptor models from the atlas.</w:t>
      </w:r>
    </w:p>
    <w:p>
      <w:pPr>
        <w:pStyle w:val="Heading2"/>
      </w:pPr>
      <w:r>
        <w:rPr>
          <w:rFonts w:ascii="Arial" w:cs="Arial" w:eastAsia="Arial" w:hAnsi="Arial"/>
          <w:b/>
          <w:bCs/>
          <w:sz w:val="28"/>
          <w:szCs w:val="28"/>
        </w:rPr>
        <w:t xml:space="preserve">Stage 1: Phase II Compound Dossier Assembly and Baseline EP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Compile clinical-stage sodium channel modulator compounds with Phase II safety data and baseline EP phenotype assessment in nociceptor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Clinical trial database search (ClinicalTrials.gov) for Phase II sodium channel compounds</w:t>
      </w:r>
    </w:p>
    <w:p>
      <w:pPr>
        <w:pStyle w:val="ListParagraph"/>
        <w:numPr>
          <w:ilvl w:val="0"/>
          <w:numId w:val="2"/>
        </w:numPr>
        <w:spacing w:after="100" w:line="360"/>
      </w:pPr>
      <w:r>
        <w:rPr>
          <w:rFonts w:ascii="Arial" w:cs="Arial" w:eastAsia="Arial" w:hAnsi="Arial"/>
          <w:sz w:val="24"/>
          <w:szCs w:val="24"/>
        </w:rPr>
        <w:t xml:space="preserve">Published Phase II safety and efficacy data (adverse event profiles, PK/PD parameters)</w:t>
      </w:r>
    </w:p>
    <w:p>
      <w:pPr>
        <w:pStyle w:val="ListParagraph"/>
        <w:numPr>
          <w:ilvl w:val="0"/>
          <w:numId w:val="2"/>
        </w:numPr>
        <w:spacing w:after="100" w:line="360"/>
      </w:pPr>
      <w:r>
        <w:rPr>
          <w:rFonts w:ascii="Arial" w:cs="Arial" w:eastAsia="Arial" w:hAnsi="Arial"/>
          <w:sz w:val="24"/>
          <w:szCs w:val="24"/>
        </w:rPr>
        <w:t xml:space="preserve">Baseline EP recordings in DRG neurons and primary nociceptors with vehicle controls</w:t>
      </w:r>
    </w:p>
    <w:p>
      <w:pPr>
        <w:pStyle w:val="ListParagraph"/>
        <w:numPr>
          <w:ilvl w:val="0"/>
          <w:numId w:val="2"/>
        </w:numPr>
        <w:spacing w:after="100" w:line="360"/>
      </w:pPr>
      <w:r>
        <w:rPr>
          <w:rFonts w:ascii="Arial" w:cs="Arial" w:eastAsia="Arial" w:hAnsi="Arial"/>
          <w:sz w:val="24"/>
          <w:szCs w:val="24"/>
        </w:rPr>
        <w:t xml:space="preserve">Established hyperexcitable nociceptor models (Nav1.8-humanized, gain-of-function variants)</w:t>
      </w:r>
    </w:p>
    <w:p>
      <w:pPr>
        <w:pStyle w:val="ListParagraph"/>
        <w:numPr>
          <w:ilvl w:val="0"/>
          <w:numId w:val="2"/>
        </w:numPr>
        <w:spacing w:after="100" w:line="360"/>
      </w:pPr>
      <w:r>
        <w:rPr>
          <w:rFonts w:ascii="Arial" w:cs="Arial" w:eastAsia="Arial" w:hAnsi="Arial"/>
          <w:sz w:val="24"/>
          <w:szCs w:val="24"/>
        </w:rPr>
        <w:t xml:space="preserve">Published state-dependent block and use-dependent selectivity assay data</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Clinical Trial Database API for Phase II compound identification and safety summaries</w:t>
      </w:r>
    </w:p>
    <w:p>
      <w:pPr>
        <w:pStyle w:val="ListParagraph"/>
        <w:numPr>
          <w:ilvl w:val="0"/>
          <w:numId w:val="2"/>
        </w:numPr>
        <w:spacing w:after="100" w:line="360"/>
      </w:pPr>
      <w:r>
        <w:rPr>
          <w:rFonts w:ascii="Arial" w:cs="Arial" w:eastAsia="Arial" w:hAnsi="Arial"/>
          <w:sz w:val="24"/>
          <w:szCs w:val="24"/>
        </w:rPr>
        <w:t xml:space="preserve">Quiver EP CRISPR atlas state-dependent block assay platform</w:t>
      </w:r>
    </w:p>
    <w:p>
      <w:pPr>
        <w:pStyle w:val="ListParagraph"/>
        <w:numPr>
          <w:ilvl w:val="0"/>
          <w:numId w:val="2"/>
        </w:numPr>
        <w:spacing w:after="100" w:line="360"/>
      </w:pPr>
      <w:r>
        <w:rPr>
          <w:rFonts w:ascii="Arial" w:cs="Arial" w:eastAsia="Arial" w:hAnsi="Arial"/>
          <w:sz w:val="24"/>
          <w:szCs w:val="24"/>
        </w:rPr>
        <w:t xml:space="preserve">Voltage-clamp electrophysiology analysis tools for block profile quantification</w:t>
      </w:r>
    </w:p>
    <w:p>
      <w:pPr>
        <w:pStyle w:val="ListParagraph"/>
        <w:numPr>
          <w:ilvl w:val="0"/>
          <w:numId w:val="2"/>
        </w:numPr>
        <w:spacing w:after="100" w:line="360"/>
      </w:pPr>
      <w:r>
        <w:rPr>
          <w:rFonts w:ascii="Arial" w:cs="Arial" w:eastAsia="Arial" w:hAnsi="Arial"/>
          <w:sz w:val="24"/>
          <w:szCs w:val="24"/>
        </w:rPr>
        <w:t xml:space="preserve">PubMed literature mining for published EP data on clinical compounds</w:t>
      </w:r>
    </w:p>
    <w:p>
      <w:pPr>
        <w:pStyle w:val="ListParagraph"/>
        <w:numPr>
          <w:ilvl w:val="0"/>
          <w:numId w:val="2"/>
        </w:numPr>
        <w:spacing w:after="100" w:line="360"/>
      </w:pPr>
      <w:r>
        <w:rPr>
          <w:rFonts w:ascii="Arial" w:cs="Arial" w:eastAsia="Arial" w:hAnsi="Arial"/>
          <w:sz w:val="24"/>
          <w:szCs w:val="24"/>
        </w:rPr>
        <w:t xml:space="preserve">FDA FAERS database for post-marketing adverse event surveillance</w:t>
      </w:r>
    </w:p>
    <w:p>
      <w:pPr>
        <w:pStyle w:val="ListParagraph"/>
        <w:numPr>
          <w:ilvl w:val="0"/>
          <w:numId w:val="2"/>
        </w:numPr>
        <w:spacing w:after="100" w:line="360"/>
      </w:pPr>
      <w:r>
        <w:rPr>
          <w:rFonts w:ascii="Arial" w:cs="Arial" w:eastAsia="Arial" w:hAnsi="Arial"/>
          <w:sz w:val="24"/>
          <w:szCs w:val="24"/>
        </w:rPr>
        <w:t xml:space="preserve">Molecular modeling suite for state-dependent interaction prediction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Phase II sodium channel compounds show &gt;50% AP frequency reduction in hyperexcitable nociceptors at clinically relevant concentrations?</w:t>
      </w:r>
    </w:p>
    <w:p>
      <w:pPr>
        <w:pStyle w:val="ListParagraph"/>
        <w:numPr>
          <w:ilvl w:val="0"/>
          <w:numId w:val="2"/>
        </w:numPr>
        <w:spacing w:after="100" w:line="360"/>
      </w:pPr>
      <w:r>
        <w:rPr>
          <w:rFonts w:ascii="Arial" w:cs="Arial" w:eastAsia="Arial" w:hAnsi="Arial"/>
          <w:sz w:val="24"/>
          <w:szCs w:val="24"/>
        </w:rPr>
        <w:t xml:space="preserve">How do state-dependent block profiles (resting vs inactivated channel preference) correlate with clinical adverse event types (cardiac vs neurologic)?</w:t>
      </w:r>
    </w:p>
    <w:p>
      <w:pPr>
        <w:pStyle w:val="ListParagraph"/>
        <w:numPr>
          <w:ilvl w:val="0"/>
          <w:numId w:val="2"/>
        </w:numPr>
        <w:spacing w:after="100" w:line="360"/>
      </w:pPr>
      <w:r>
        <w:rPr>
          <w:rFonts w:ascii="Arial" w:cs="Arial" w:eastAsia="Arial" w:hAnsi="Arial"/>
          <w:sz w:val="24"/>
          <w:szCs w:val="24"/>
        </w:rPr>
        <w:t xml:space="preserve">What use-dependent block selectivity can be achieved for pathologically high-frequency nociceptor firing vs normal sensory neuron activity?</w:t>
      </w:r>
    </w:p>
    <w:p>
      <w:pPr>
        <w:pStyle w:val="ListParagraph"/>
        <w:numPr>
          <w:ilvl w:val="0"/>
          <w:numId w:val="2"/>
        </w:numPr>
        <w:spacing w:after="100" w:line="360"/>
      </w:pPr>
      <w:r>
        <w:rPr>
          <w:rFonts w:ascii="Arial" w:cs="Arial" w:eastAsia="Arial" w:hAnsi="Arial"/>
          <w:sz w:val="24"/>
          <w:szCs w:val="24"/>
        </w:rPr>
        <w:t xml:space="preserve">Which compounds demonstrate &gt;3:1 selectivity for Nav1.7/Nav1.8 over Nav1.5 based on EP measurements?</w:t>
      </w:r>
    </w:p>
    <w:p>
      <w:pPr>
        <w:pStyle w:val="ListParagraph"/>
        <w:numPr>
          <w:ilvl w:val="0"/>
          <w:numId w:val="2"/>
        </w:numPr>
        <w:spacing w:after="100" w:line="360"/>
      </w:pPr>
      <w:r>
        <w:rPr>
          <w:rFonts w:ascii="Arial" w:cs="Arial" w:eastAsia="Arial" w:hAnsi="Arial"/>
          <w:sz w:val="24"/>
          <w:szCs w:val="24"/>
        </w:rPr>
        <w:t xml:space="preserve">Can we predict Phase II-to-Phase III translational success based on preclinical EP rescue metrics and clinical safety windows?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Phase II compound dossier (20-30 compounds with clinical safety summaries)</w:t>
      </w:r>
    </w:p>
    <w:p>
      <w:pPr>
        <w:pStyle w:val="ListParagraph"/>
        <w:numPr>
          <w:ilvl w:val="0"/>
          <w:numId w:val="2"/>
        </w:numPr>
        <w:spacing w:after="100" w:line="360"/>
      </w:pPr>
      <w:r>
        <w:rPr>
          <w:rFonts w:ascii="Arial" w:cs="Arial" w:eastAsia="Arial" w:hAnsi="Arial"/>
          <w:sz w:val="24"/>
          <w:szCs w:val="24"/>
        </w:rPr>
        <w:t xml:space="preserve">Baseline EP phenotyping report (state-dependent and use-dependent block profiles)</w:t>
      </w:r>
    </w:p>
    <w:p>
      <w:pPr>
        <w:pStyle w:val="ListParagraph"/>
        <w:numPr>
          <w:ilvl w:val="0"/>
          <w:numId w:val="2"/>
        </w:numPr>
        <w:spacing w:after="100" w:line="360"/>
      </w:pPr>
      <w:r>
        <w:rPr>
          <w:rFonts w:ascii="Arial" w:cs="Arial" w:eastAsia="Arial" w:hAnsi="Arial"/>
          <w:sz w:val="24"/>
          <w:szCs w:val="24"/>
        </w:rPr>
        <w:t xml:space="preserve">Nociceptor AP frequency reduction metrics at clinical doses (% suppression ± SEM)</w:t>
      </w:r>
    </w:p>
    <w:p>
      <w:pPr>
        <w:pStyle w:val="ListParagraph"/>
        <w:numPr>
          <w:ilvl w:val="0"/>
          <w:numId w:val="2"/>
        </w:numPr>
        <w:spacing w:after="100" w:line="360"/>
      </w:pPr>
      <w:r>
        <w:rPr>
          <w:rFonts w:ascii="Arial" w:cs="Arial" w:eastAsia="Arial" w:hAnsi="Arial"/>
          <w:sz w:val="24"/>
          <w:szCs w:val="24"/>
        </w:rPr>
        <w:t xml:space="preserve">State-dependent block selectivity ranking (resting-inactivated preference ratios)</w:t>
      </w:r>
    </w:p>
    <w:p>
      <w:pPr>
        <w:pStyle w:val="ListParagraph"/>
        <w:numPr>
          <w:ilvl w:val="0"/>
          <w:numId w:val="2"/>
        </w:numPr>
        <w:spacing w:after="100" w:line="360"/>
      </w:pPr>
      <w:r>
        <w:rPr>
          <w:rFonts w:ascii="Arial" w:cs="Arial" w:eastAsia="Arial" w:hAnsi="Arial"/>
          <w:sz w:val="24"/>
          <w:szCs w:val="24"/>
        </w:rPr>
        <w:t xml:space="preserve">Clinical-to-preclinical safety correlation summary (Phase II AEs vs EP mechanistic predictions)</w:t>
      </w:r>
    </w:p>
    <w:p>
      <w:pPr>
        <w:pStyle w:val="ListParagraph"/>
        <w:numPr>
          <w:ilvl w:val="0"/>
          <w:numId w:val="2"/>
        </w:numPr>
        <w:spacing w:after="100" w:line="360"/>
      </w:pPr>
      <w:r>
        <w:rPr>
          <w:rFonts w:ascii="Arial" w:cs="Arial" w:eastAsia="Arial" w:hAnsi="Arial"/>
          <w:sz w:val="24"/>
          <w:szCs w:val="24"/>
        </w:rPr>
        <w:t xml:space="preserve">Risk-benefit ranking matrix (efficacy vs cardiac safety vs CNS side effect potential)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safety profile table with EP baseline characterization; ranked compound list by nociceptor EP rescue vs Phase II adverse event burden.</w:t>
      </w:r>
    </w:p>
    <w:p>
      <w:pPr>
        <w:pStyle w:val="Heading2"/>
      </w:pPr>
      <w:r>
        <w:rPr>
          <w:rFonts w:ascii="Arial" w:cs="Arial" w:eastAsia="Arial" w:hAnsi="Arial"/>
          <w:b/>
          <w:bCs/>
          <w:sz w:val="28"/>
          <w:szCs w:val="28"/>
        </w:rPr>
        <w:t xml:space="preserve">Stage 2: EP Rescue Validation in Hyperexcitable Nociceptor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Phase II sodium channel compounds in DRG neurons and gain-of-function variant nociceptor models to quantify AP suppression and neuropeptide release inhibition.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DRG neurons from transgenic mice (Nav1.8-humanized, gain-of-function variant knockin models)</w:t>
      </w:r>
    </w:p>
    <w:p>
      <w:pPr>
        <w:pStyle w:val="ListParagraph"/>
        <w:numPr>
          <w:ilvl w:val="0"/>
          <w:numId w:val="2"/>
        </w:numPr>
        <w:spacing w:after="100" w:line="360"/>
      </w:pPr>
      <w:r>
        <w:rPr>
          <w:rFonts w:ascii="Arial" w:cs="Arial" w:eastAsia="Arial" w:hAnsi="Arial"/>
          <w:sz w:val="24"/>
          <w:szCs w:val="24"/>
        </w:rPr>
        <w:t xml:space="preserve">Whole-cell patch-clamp electrophysiology recordings (AP current-clamp mode, voltage-clamp mode)</w:t>
      </w:r>
    </w:p>
    <w:p>
      <w:pPr>
        <w:pStyle w:val="ListParagraph"/>
        <w:numPr>
          <w:ilvl w:val="0"/>
          <w:numId w:val="2"/>
        </w:numPr>
        <w:spacing w:after="100" w:line="360"/>
      </w:pPr>
      <w:r>
        <w:rPr>
          <w:rFonts w:ascii="Arial" w:cs="Arial" w:eastAsia="Arial" w:hAnsi="Arial"/>
          <w:sz w:val="24"/>
          <w:szCs w:val="24"/>
        </w:rPr>
        <w:t xml:space="preserve">Neuropeptide release assays (CGRP and substance P quantification by immunoassay)</w:t>
      </w:r>
    </w:p>
    <w:p>
      <w:pPr>
        <w:pStyle w:val="ListParagraph"/>
        <w:numPr>
          <w:ilvl w:val="0"/>
          <w:numId w:val="2"/>
        </w:numPr>
        <w:spacing w:after="100" w:line="360"/>
      </w:pPr>
      <w:r>
        <w:rPr>
          <w:rFonts w:ascii="Arial" w:cs="Arial" w:eastAsia="Arial" w:hAnsi="Arial"/>
          <w:sz w:val="24"/>
          <w:szCs w:val="24"/>
        </w:rPr>
        <w:t xml:space="preserve">Multi-electrode array recordings for spontaneous activity suppression in hyperexcitable cultures</w:t>
      </w:r>
    </w:p>
    <w:p>
      <w:pPr>
        <w:pStyle w:val="ListParagraph"/>
        <w:numPr>
          <w:ilvl w:val="0"/>
          <w:numId w:val="2"/>
        </w:numPr>
        <w:spacing w:after="100" w:line="360"/>
      </w:pPr>
      <w:r>
        <w:rPr>
          <w:rFonts w:ascii="Arial" w:cs="Arial" w:eastAsia="Arial" w:hAnsi="Arial"/>
          <w:sz w:val="24"/>
          <w:szCs w:val="24"/>
        </w:rPr>
        <w:t xml:space="preserve">Phase II compound solutions at clinically relevant concentrations (plasma Cmax, CSF penetration predictions)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Hyperexcitability Analyzer for AP frequency, rheobase, AHP, AP half-width quantification</w:t>
      </w:r>
    </w:p>
    <w:p>
      <w:pPr>
        <w:pStyle w:val="ListParagraph"/>
        <w:numPr>
          <w:ilvl w:val="0"/>
          <w:numId w:val="2"/>
        </w:numPr>
        <w:spacing w:after="100" w:line="360"/>
      </w:pPr>
      <w:r>
        <w:rPr>
          <w:rFonts w:ascii="Arial" w:cs="Arial" w:eastAsia="Arial" w:hAnsi="Arial"/>
          <w:sz w:val="24"/>
          <w:szCs w:val="24"/>
        </w:rPr>
        <w:t xml:space="preserve">State-Dependent Block Characterization tool (resting vs inactivated channel block quantification)</w:t>
      </w:r>
    </w:p>
    <w:p>
      <w:pPr>
        <w:pStyle w:val="ListParagraph"/>
        <w:numPr>
          <w:ilvl w:val="0"/>
          <w:numId w:val="2"/>
        </w:numPr>
        <w:spacing w:after="100" w:line="360"/>
      </w:pPr>
      <w:r>
        <w:rPr>
          <w:rFonts w:ascii="Arial" w:cs="Arial" w:eastAsia="Arial" w:hAnsi="Arial"/>
          <w:sz w:val="24"/>
          <w:szCs w:val="24"/>
        </w:rPr>
        <w:t xml:space="preserve">Use-Dependent Block Assessment platform (high-frequency stimulation protocols)</w:t>
      </w:r>
    </w:p>
    <w:p>
      <w:pPr>
        <w:pStyle w:val="ListParagraph"/>
        <w:numPr>
          <w:ilvl w:val="0"/>
          <w:numId w:val="2"/>
        </w:numPr>
        <w:spacing w:after="100" w:line="360"/>
      </w:pPr>
      <w:r>
        <w:rPr>
          <w:rFonts w:ascii="Arial" w:cs="Arial" w:eastAsia="Arial" w:hAnsi="Arial"/>
          <w:sz w:val="24"/>
          <w:szCs w:val="24"/>
        </w:rPr>
        <w:t xml:space="preserve">Neuropeptide Release Quantifier (ELISA/luminescence assay analysis)</w:t>
      </w:r>
    </w:p>
    <w:p>
      <w:pPr>
        <w:pStyle w:val="ListParagraph"/>
        <w:numPr>
          <w:ilvl w:val="0"/>
          <w:numId w:val="2"/>
        </w:numPr>
        <w:spacing w:after="100" w:line="360"/>
      </w:pPr>
      <w:r>
        <w:rPr>
          <w:rFonts w:ascii="Arial" w:cs="Arial" w:eastAsia="Arial" w:hAnsi="Arial"/>
          <w:sz w:val="24"/>
          <w:szCs w:val="24"/>
        </w:rPr>
        <w:t xml:space="preserve">Multi-electrode Array Data Processor for spontaneous activity suppression metrics</w:t>
      </w:r>
    </w:p>
    <w:p>
      <w:pPr>
        <w:pStyle w:val="ListParagraph"/>
        <w:numPr>
          <w:ilvl w:val="0"/>
          <w:numId w:val="2"/>
        </w:numPr>
        <w:spacing w:after="100" w:line="360"/>
      </w:pPr>
      <w:r>
        <w:rPr>
          <w:rFonts w:ascii="Arial" w:cs="Arial" w:eastAsia="Arial" w:hAnsi="Arial"/>
          <w:sz w:val="24"/>
          <w:szCs w:val="24"/>
        </w:rPr>
        <w:t xml:space="preserve">Clinical PK/PD modeling for dose-response curve generation at predicted tissue concentrations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Phase II compounds achieve &gt;50% AP frequency reduction in hyperexcitable gain-of-function models at clinically relevant concentrations?</w:t>
      </w:r>
    </w:p>
    <w:p>
      <w:pPr>
        <w:pStyle w:val="ListParagraph"/>
        <w:numPr>
          <w:ilvl w:val="0"/>
          <w:numId w:val="2"/>
        </w:numPr>
        <w:spacing w:after="100" w:line="360"/>
      </w:pPr>
      <w:r>
        <w:rPr>
          <w:rFonts w:ascii="Arial" w:cs="Arial" w:eastAsia="Arial" w:hAnsi="Arial"/>
          <w:sz w:val="24"/>
          <w:szCs w:val="24"/>
        </w:rPr>
        <w:t xml:space="preserve">How do state-dependent block profiles distinguish Phase II compounds with selective inactivated-state block (preferred) vs resting-state block (cardiac risk)?</w:t>
      </w:r>
    </w:p>
    <w:p>
      <w:pPr>
        <w:pStyle w:val="ListParagraph"/>
        <w:numPr>
          <w:ilvl w:val="0"/>
          <w:numId w:val="2"/>
        </w:numPr>
        <w:spacing w:after="100" w:line="360"/>
      </w:pPr>
      <w:r>
        <w:rPr>
          <w:rFonts w:ascii="Arial" w:cs="Arial" w:eastAsia="Arial" w:hAnsi="Arial"/>
          <w:sz w:val="24"/>
          <w:szCs w:val="24"/>
        </w:rPr>
        <w:t xml:space="preserve">What use-dependent selectivity can compounds achieve for pathologically high-frequency nociceptor firing (&gt;5 Hz) vs normal sensory activity?</w:t>
      </w:r>
    </w:p>
    <w:p>
      <w:pPr>
        <w:pStyle w:val="ListParagraph"/>
        <w:numPr>
          <w:ilvl w:val="0"/>
          <w:numId w:val="2"/>
        </w:numPr>
        <w:spacing w:after="100" w:line="360"/>
      </w:pPr>
      <w:r>
        <w:rPr>
          <w:rFonts w:ascii="Arial" w:cs="Arial" w:eastAsia="Arial" w:hAnsi="Arial"/>
          <w:sz w:val="24"/>
          <w:szCs w:val="24"/>
        </w:rPr>
        <w:t xml:space="preserve">Which compounds show the steepest neuropeptide release suppression (CGRP/substance P reduction) at EC50 for AP frequency suppression?</w:t>
      </w:r>
    </w:p>
    <w:p>
      <w:pPr>
        <w:pStyle w:val="ListParagraph"/>
        <w:numPr>
          <w:ilvl w:val="0"/>
          <w:numId w:val="2"/>
        </w:numPr>
        <w:spacing w:after="100" w:line="360"/>
      </w:pPr>
      <w:r>
        <w:rPr>
          <w:rFonts w:ascii="Arial" w:cs="Arial" w:eastAsia="Arial" w:hAnsi="Arial"/>
          <w:sz w:val="24"/>
          <w:szCs w:val="24"/>
        </w:rPr>
        <w:t xml:space="preserve">Can we predict clinical Phase II compound efficacy based on preclinical AP suppression and neuropeptide release metrics?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EP rescue results table (AP frequency reduction, rheobase increase, AHP enhancement for each compound)</w:t>
      </w:r>
    </w:p>
    <w:p>
      <w:pPr>
        <w:pStyle w:val="ListParagraph"/>
        <w:numPr>
          <w:ilvl w:val="0"/>
          <w:numId w:val="2"/>
        </w:numPr>
        <w:spacing w:after="100" w:line="360"/>
      </w:pPr>
      <w:r>
        <w:rPr>
          <w:rFonts w:ascii="Arial" w:cs="Arial" w:eastAsia="Arial" w:hAnsi="Arial"/>
          <w:sz w:val="24"/>
          <w:szCs w:val="24"/>
        </w:rPr>
        <w:t xml:space="preserve">State-dependent block selectivity ranking (resting-state vs inactivated-state preference ratios)</w:t>
      </w:r>
    </w:p>
    <w:p>
      <w:pPr>
        <w:pStyle w:val="ListParagraph"/>
        <w:numPr>
          <w:ilvl w:val="0"/>
          <w:numId w:val="2"/>
        </w:numPr>
        <w:spacing w:after="100" w:line="360"/>
      </w:pPr>
      <w:r>
        <w:rPr>
          <w:rFonts w:ascii="Arial" w:cs="Arial" w:eastAsia="Arial" w:hAnsi="Arial"/>
          <w:sz w:val="24"/>
          <w:szCs w:val="24"/>
        </w:rPr>
        <w:t xml:space="preserve">Use-dependent block profiles (block during 5 Hz vs 0.1 Hz stimulation)</w:t>
      </w:r>
    </w:p>
    <w:p>
      <w:pPr>
        <w:pStyle w:val="ListParagraph"/>
        <w:numPr>
          <w:ilvl w:val="0"/>
          <w:numId w:val="2"/>
        </w:numPr>
        <w:spacing w:after="100" w:line="360"/>
      </w:pPr>
      <w:r>
        <w:rPr>
          <w:rFonts w:ascii="Arial" w:cs="Arial" w:eastAsia="Arial" w:hAnsi="Arial"/>
          <w:sz w:val="24"/>
          <w:szCs w:val="24"/>
        </w:rPr>
        <w:t xml:space="preserve">Neuropeptide release suppression metrics (CGRP/substance P % reduction at EC50 AP suppression)</w:t>
      </w:r>
    </w:p>
    <w:p>
      <w:pPr>
        <w:pStyle w:val="ListParagraph"/>
        <w:numPr>
          <w:ilvl w:val="0"/>
          <w:numId w:val="2"/>
        </w:numPr>
        <w:spacing w:after="100" w:line="360"/>
      </w:pPr>
      <w:r>
        <w:rPr>
          <w:rFonts w:ascii="Arial" w:cs="Arial" w:eastAsia="Arial" w:hAnsi="Arial"/>
          <w:sz w:val="24"/>
          <w:szCs w:val="24"/>
        </w:rPr>
        <w:t xml:space="preserve">Multi-electrode array spontaneous activity suppression (% reduction from baseline)</w:t>
      </w:r>
    </w:p>
    <w:p>
      <w:pPr>
        <w:pStyle w:val="ListParagraph"/>
        <w:numPr>
          <w:ilvl w:val="0"/>
          <w:numId w:val="2"/>
        </w:numPr>
        <w:spacing w:after="100" w:line="360"/>
      </w:pPr>
      <w:r>
        <w:rPr>
          <w:rFonts w:ascii="Arial" w:cs="Arial" w:eastAsia="Arial" w:hAnsi="Arial"/>
          <w:sz w:val="24"/>
          <w:szCs w:val="24"/>
        </w:rPr>
        <w:t xml:space="preserve">Ranked compound list by EP rescue efficacy and mechanistic selectivity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Summary table showing Phase II compound EP rescue metrics; ranked compounds by AP suppression, use-dependent selectivity, and neuropeptide release inhibition.</w:t>
      </w:r>
    </w:p>
    <w:p>
      <w:pPr>
        <w:pStyle w:val="Heading2"/>
      </w:pPr>
      <w:r>
        <w:rPr>
          <w:rFonts w:ascii="Arial" w:cs="Arial" w:eastAsia="Arial" w:hAnsi="Arial"/>
          <w:b/>
          <w:bCs/>
          <w:sz w:val="28"/>
          <w:szCs w:val="28"/>
        </w:rPr>
        <w:t xml:space="preserve">Stage 3: Use-Dependent Selectivity and State-Dependent Block Mechanistic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Phase II compounds for use-dependent block (preferential during high-frequency firing) and state-dependent selectivity (resting vs inactivated channel).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High-frequency stimulation protocols (0.1 Hz, 1 Hz, 5 Hz, 10 Hz stimulation patterns in nociceptor models)</w:t>
      </w:r>
    </w:p>
    <w:p>
      <w:pPr>
        <w:pStyle w:val="ListParagraph"/>
        <w:numPr>
          <w:ilvl w:val="0"/>
          <w:numId w:val="2"/>
        </w:numPr>
        <w:spacing w:after="100" w:line="360"/>
      </w:pPr>
      <w:r>
        <w:rPr>
          <w:rFonts w:ascii="Arial" w:cs="Arial" w:eastAsia="Arial" w:hAnsi="Arial"/>
          <w:sz w:val="24"/>
          <w:szCs w:val="24"/>
        </w:rPr>
        <w:t xml:space="preserve">Voltage-clamp protocols for state-dependent block (holding potentials to induce resting vs inactivated states)</w:t>
      </w:r>
    </w:p>
    <w:p>
      <w:pPr>
        <w:pStyle w:val="ListParagraph"/>
        <w:numPr>
          <w:ilvl w:val="0"/>
          <w:numId w:val="2"/>
        </w:numPr>
        <w:spacing w:after="100" w:line="360"/>
      </w:pPr>
      <w:r>
        <w:rPr>
          <w:rFonts w:ascii="Arial" w:cs="Arial" w:eastAsia="Arial" w:hAnsi="Arial"/>
          <w:sz w:val="24"/>
          <w:szCs w:val="24"/>
        </w:rPr>
        <w:t xml:space="preserve">Kinetic analysis of block/unblock rates (recovery from inactivation kinetics, block association rates)</w:t>
      </w:r>
    </w:p>
    <w:p>
      <w:pPr>
        <w:pStyle w:val="ListParagraph"/>
        <w:numPr>
          <w:ilvl w:val="0"/>
          <w:numId w:val="2"/>
        </w:numPr>
        <w:spacing w:after="100" w:line="360"/>
      </w:pPr>
      <w:r>
        <w:rPr>
          <w:rFonts w:ascii="Arial" w:cs="Arial" w:eastAsia="Arial" w:hAnsi="Arial"/>
          <w:sz w:val="24"/>
          <w:szCs w:val="24"/>
        </w:rPr>
        <w:t xml:space="preserve">Temperature-dependent block profiles (37°C vs room temperature effects on block selectivity)</w:t>
      </w:r>
    </w:p>
    <w:p>
      <w:pPr>
        <w:pStyle w:val="ListParagraph"/>
        <w:numPr>
          <w:ilvl w:val="0"/>
          <w:numId w:val="2"/>
        </w:numPr>
        <w:spacing w:after="100" w:line="360"/>
      </w:pPr>
      <w:r>
        <w:rPr>
          <w:rFonts w:ascii="Arial" w:cs="Arial" w:eastAsia="Arial" w:hAnsi="Arial"/>
          <w:sz w:val="24"/>
          <w:szCs w:val="24"/>
        </w:rPr>
        <w:t xml:space="preserve">Computational docking models for compound interactions with Nav1.7/Nav1.8 resting and inactivated conformations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Use-Dependent Block Characterizer (frequency-dependent block quantification from voltage-clamp)</w:t>
      </w:r>
    </w:p>
    <w:p>
      <w:pPr>
        <w:pStyle w:val="ListParagraph"/>
        <w:numPr>
          <w:ilvl w:val="0"/>
          <w:numId w:val="2"/>
        </w:numPr>
        <w:spacing w:after="100" w:line="360"/>
      </w:pPr>
      <w:r>
        <w:rPr>
          <w:rFonts w:ascii="Arial" w:cs="Arial" w:eastAsia="Arial" w:hAnsi="Arial"/>
          <w:sz w:val="24"/>
          <w:szCs w:val="24"/>
        </w:rPr>
        <w:t xml:space="preserve">State-Dependent Selectivity Analyzer (resting state IC50 vs inactivated state IC50 determination)</w:t>
      </w:r>
    </w:p>
    <w:p>
      <w:pPr>
        <w:pStyle w:val="ListParagraph"/>
        <w:numPr>
          <w:ilvl w:val="0"/>
          <w:numId w:val="2"/>
        </w:numPr>
        <w:spacing w:after="100" w:line="360"/>
      </w:pPr>
      <w:r>
        <w:rPr>
          <w:rFonts w:ascii="Arial" w:cs="Arial" w:eastAsia="Arial" w:hAnsi="Arial"/>
          <w:sz w:val="24"/>
          <w:szCs w:val="24"/>
        </w:rPr>
        <w:t xml:space="preserve">Block/Unblock Kinetics Calculator (association and dissociation rate constant determination)</w:t>
      </w:r>
    </w:p>
    <w:p>
      <w:pPr>
        <w:pStyle w:val="ListParagraph"/>
        <w:numPr>
          <w:ilvl w:val="0"/>
          <w:numId w:val="2"/>
        </w:numPr>
        <w:spacing w:after="100" w:line="360"/>
      </w:pPr>
      <w:r>
        <w:rPr>
          <w:rFonts w:ascii="Arial" w:cs="Arial" w:eastAsia="Arial" w:hAnsi="Arial"/>
          <w:sz w:val="24"/>
          <w:szCs w:val="24"/>
        </w:rPr>
        <w:t xml:space="preserve">Temperature Correction algorithm for clinical body temperature (37°C) block predictions</w:t>
      </w:r>
    </w:p>
    <w:p>
      <w:pPr>
        <w:pStyle w:val="ListParagraph"/>
        <w:numPr>
          <w:ilvl w:val="0"/>
          <w:numId w:val="2"/>
        </w:numPr>
        <w:spacing w:after="100" w:line="360"/>
      </w:pPr>
      <w:r>
        <w:rPr>
          <w:rFonts w:ascii="Arial" w:cs="Arial" w:eastAsia="Arial" w:hAnsi="Arial"/>
          <w:sz w:val="24"/>
          <w:szCs w:val="24"/>
        </w:rPr>
        <w:t xml:space="preserve">AlphaFold2 structural docking tool for Nav1.7/Nav1.8 channel conformation-compound interaction modeling</w:t>
      </w:r>
    </w:p>
    <w:p>
      <w:pPr>
        <w:pStyle w:val="ListParagraph"/>
        <w:numPr>
          <w:ilvl w:val="0"/>
          <w:numId w:val="2"/>
        </w:numPr>
        <w:spacing w:after="100" w:line="360"/>
      </w:pPr>
      <w:r>
        <w:rPr>
          <w:rFonts w:ascii="Arial" w:cs="Arial" w:eastAsia="Arial" w:hAnsi="Arial"/>
          <w:sz w:val="24"/>
          <w:szCs w:val="24"/>
        </w:rPr>
        <w:t xml:space="preserve">Clinical translation tool (in vitro profiles to predicted clinical efficacy and safety margins)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Phase II compounds show &gt;3-fold use-dependent selectivity (5 Hz block / 0.1 Hz block ratio)?</w:t>
      </w:r>
    </w:p>
    <w:p>
      <w:pPr>
        <w:pStyle w:val="ListParagraph"/>
        <w:numPr>
          <w:ilvl w:val="0"/>
          <w:numId w:val="2"/>
        </w:numPr>
        <w:spacing w:after="100" w:line="360"/>
      </w:pPr>
      <w:r>
        <w:rPr>
          <w:rFonts w:ascii="Arial" w:cs="Arial" w:eastAsia="Arial" w:hAnsi="Arial"/>
          <w:sz w:val="24"/>
          <w:szCs w:val="24"/>
        </w:rPr>
        <w:t xml:space="preserve">How do state-dependent selectivity ratios (inactivated state IC50 / resting state IC50) correlate with clinical efficacy and cardiac safety?</w:t>
      </w:r>
    </w:p>
    <w:p>
      <w:pPr>
        <w:pStyle w:val="ListParagraph"/>
        <w:numPr>
          <w:ilvl w:val="0"/>
          <w:numId w:val="2"/>
        </w:numPr>
        <w:spacing w:after="100" w:line="360"/>
      </w:pPr>
      <w:r>
        <w:rPr>
          <w:rFonts w:ascii="Arial" w:cs="Arial" w:eastAsia="Arial" w:hAnsi="Arial"/>
          <w:sz w:val="24"/>
          <w:szCs w:val="24"/>
        </w:rPr>
        <w:t xml:space="preserve">What is the optimal inactivated-state selectivity for preferential hyperexcitable nociceptor inhibition without affecting normal sensory neuron function?</w:t>
      </w:r>
    </w:p>
    <w:p>
      <w:pPr>
        <w:pStyle w:val="ListParagraph"/>
        <w:numPr>
          <w:ilvl w:val="0"/>
          <w:numId w:val="2"/>
        </w:numPr>
        <w:spacing w:after="100" w:line="360"/>
      </w:pPr>
      <w:r>
        <w:rPr>
          <w:rFonts w:ascii="Arial" w:cs="Arial" w:eastAsia="Arial" w:hAnsi="Arial"/>
          <w:sz w:val="24"/>
          <w:szCs w:val="24"/>
        </w:rPr>
        <w:t xml:space="preserve">Can we predict block kinetics and recovery from inactivation for Phase II compounds based on structure-activity relationships?</w:t>
      </w:r>
    </w:p>
    <w:p>
      <w:pPr>
        <w:pStyle w:val="ListParagraph"/>
        <w:numPr>
          <w:ilvl w:val="0"/>
          <w:numId w:val="2"/>
        </w:numPr>
        <w:spacing w:after="100" w:line="360"/>
      </w:pPr>
      <w:r>
        <w:rPr>
          <w:rFonts w:ascii="Arial" w:cs="Arial" w:eastAsia="Arial" w:hAnsi="Arial"/>
          <w:sz w:val="24"/>
          <w:szCs w:val="24"/>
        </w:rPr>
        <w:t xml:space="preserve">Which mechanistic profiles (high use-dependence vs high state-dependence) best translate to clinical analgesia with preserved motor/sensory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Use-dependent block rankings (5 Hz / 0.1 Hz block ratios for each Phase II compound)</w:t>
      </w:r>
    </w:p>
    <w:p>
      <w:pPr>
        <w:pStyle w:val="ListParagraph"/>
        <w:numPr>
          <w:ilvl w:val="0"/>
          <w:numId w:val="2"/>
        </w:numPr>
        <w:spacing w:after="100" w:line="360"/>
      </w:pPr>
      <w:r>
        <w:rPr>
          <w:rFonts w:ascii="Arial" w:cs="Arial" w:eastAsia="Arial" w:hAnsi="Arial"/>
          <w:sz w:val="24"/>
          <w:szCs w:val="24"/>
        </w:rPr>
        <w:t xml:space="preserve">State-dependent selectivity ratios (inactivated state IC50 / resting state IC50)</w:t>
      </w:r>
    </w:p>
    <w:p>
      <w:pPr>
        <w:pStyle w:val="ListParagraph"/>
        <w:numPr>
          <w:ilvl w:val="0"/>
          <w:numId w:val="2"/>
        </w:numPr>
        <w:spacing w:after="100" w:line="360"/>
      </w:pPr>
      <w:r>
        <w:rPr>
          <w:rFonts w:ascii="Arial" w:cs="Arial" w:eastAsia="Arial" w:hAnsi="Arial"/>
          <w:sz w:val="24"/>
          <w:szCs w:val="24"/>
        </w:rPr>
        <w:t xml:space="preserve">Block/unblock kinetics summary (association rates, dissociation rates, recovery time constants)</w:t>
      </w:r>
    </w:p>
    <w:p>
      <w:pPr>
        <w:pStyle w:val="ListParagraph"/>
        <w:numPr>
          <w:ilvl w:val="0"/>
          <w:numId w:val="2"/>
        </w:numPr>
        <w:spacing w:after="100" w:line="360"/>
      </w:pPr>
      <w:r>
        <w:rPr>
          <w:rFonts w:ascii="Arial" w:cs="Arial" w:eastAsia="Arial" w:hAnsi="Arial"/>
          <w:sz w:val="24"/>
          <w:szCs w:val="24"/>
        </w:rPr>
        <w:t xml:space="preserve">Temperature-corrected block predictions (37°C equivalent potencies)</w:t>
      </w:r>
    </w:p>
    <w:p>
      <w:pPr>
        <w:pStyle w:val="ListParagraph"/>
        <w:numPr>
          <w:ilvl w:val="0"/>
          <w:numId w:val="2"/>
        </w:numPr>
        <w:spacing w:after="100" w:line="360"/>
      </w:pPr>
      <w:r>
        <w:rPr>
          <w:rFonts w:ascii="Arial" w:cs="Arial" w:eastAsia="Arial" w:hAnsi="Arial"/>
          <w:sz w:val="24"/>
          <w:szCs w:val="24"/>
        </w:rPr>
        <w:t xml:space="preserve">Docking model conformational selectivity analysis (resting vs inactivated state targeting)</w:t>
      </w:r>
    </w:p>
    <w:p>
      <w:pPr>
        <w:pStyle w:val="ListParagraph"/>
        <w:numPr>
          <w:ilvl w:val="0"/>
          <w:numId w:val="2"/>
        </w:numPr>
        <w:spacing w:after="100" w:line="360"/>
      </w:pPr>
      <w:r>
        <w:rPr>
          <w:rFonts w:ascii="Arial" w:cs="Arial" w:eastAsia="Arial" w:hAnsi="Arial"/>
          <w:sz w:val="24"/>
          <w:szCs w:val="24"/>
        </w:rPr>
        <w:t xml:space="preserve">Mechanistic selectivity ranking (compounds prioritized by use-dependent and state-dependent selectivity profiles)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Mechanistic profiling summary showing use-dependent block, state-dependent selectivity, and kinetics for Phase II compounds; ranked by selectivity profile quality.</w:t>
      </w:r>
    </w:p>
    <w:p>
      <w:pPr>
        <w:pStyle w:val="Heading2"/>
      </w:pPr>
      <w:r>
        <w:rPr>
          <w:rFonts w:ascii="Arial" w:cs="Arial" w:eastAsia="Arial" w:hAnsi="Arial"/>
          <w:b/>
          <w:bCs/>
          <w:sz w:val="28"/>
          <w:szCs w:val="28"/>
        </w:rPr>
        <w:t xml:space="preserve">Stage 4: Clinical Translation and Phase II Adverse Event Correlation Analysis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Correlate preclinical EP rescue metrics with Phase II clinical efficacy and adverse event data to predict Phase III translational success.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Published Phase II clinical trial data (pain relief efficacy endpoints, adverse event frequencies, pharmacokinetic parameters)</w:t>
      </w:r>
    </w:p>
    <w:p>
      <w:pPr>
        <w:pStyle w:val="ListParagraph"/>
        <w:numPr>
          <w:ilvl w:val="0"/>
          <w:numId w:val="2"/>
        </w:numPr>
        <w:spacing w:after="100" w:line="360"/>
      </w:pPr>
      <w:r>
        <w:rPr>
          <w:rFonts w:ascii="Arial" w:cs="Arial" w:eastAsia="Arial" w:hAnsi="Arial"/>
          <w:sz w:val="24"/>
          <w:szCs w:val="24"/>
        </w:rPr>
        <w:t xml:space="preserve">Reported adverse events (cardiac QT prolongation, neurologic effects, hepatotoxicity, renal dysfunction)</w:t>
      </w:r>
    </w:p>
    <w:p>
      <w:pPr>
        <w:pStyle w:val="ListParagraph"/>
        <w:numPr>
          <w:ilvl w:val="0"/>
          <w:numId w:val="2"/>
        </w:numPr>
        <w:spacing w:after="100" w:line="360"/>
      </w:pPr>
      <w:r>
        <w:rPr>
          <w:rFonts w:ascii="Arial" w:cs="Arial" w:eastAsia="Arial" w:hAnsi="Arial"/>
          <w:sz w:val="24"/>
          <w:szCs w:val="24"/>
        </w:rPr>
        <w:t xml:space="preserve">Patient-reported outcomes (pain intensity reduction, quality of life improvements, treatment satisfaction)</w:t>
      </w:r>
    </w:p>
    <w:p>
      <w:pPr>
        <w:pStyle w:val="ListParagraph"/>
        <w:numPr>
          <w:ilvl w:val="0"/>
          <w:numId w:val="2"/>
        </w:numPr>
        <w:spacing w:after="100" w:line="360"/>
      </w:pPr>
      <w:r>
        <w:rPr>
          <w:rFonts w:ascii="Arial" w:cs="Arial" w:eastAsia="Arial" w:hAnsi="Arial"/>
          <w:sz w:val="24"/>
          <w:szCs w:val="24"/>
        </w:rPr>
        <w:t xml:space="preserve">Pharmacokinetic data from Phase II trials (Cmax, Tmax, half-life, clearance, exposure-response relationships)</w:t>
      </w:r>
    </w:p>
    <w:p>
      <w:pPr>
        <w:pStyle w:val="ListParagraph"/>
        <w:numPr>
          <w:ilvl w:val="0"/>
          <w:numId w:val="2"/>
        </w:numPr>
        <w:spacing w:after="100" w:line="360"/>
      </w:pPr>
      <w:r>
        <w:rPr>
          <w:rFonts w:ascii="Arial" w:cs="Arial" w:eastAsia="Arial" w:hAnsi="Arial"/>
          <w:sz w:val="24"/>
          <w:szCs w:val="24"/>
        </w:rPr>
        <w:t xml:space="preserve">Biomarker data (serum troponin, BNP, transaminases, neuropeptide levels) from Phase II studies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Clinical Trial Efficacy Extractor (Phase II pain efficacy endpoint collection and standardization)</w:t>
      </w:r>
    </w:p>
    <w:p>
      <w:pPr>
        <w:pStyle w:val="ListParagraph"/>
        <w:numPr>
          <w:ilvl w:val="0"/>
          <w:numId w:val="2"/>
        </w:numPr>
        <w:spacing w:after="100" w:line="360"/>
      </w:pPr>
      <w:r>
        <w:rPr>
          <w:rFonts w:ascii="Arial" w:cs="Arial" w:eastAsia="Arial" w:hAnsi="Arial"/>
          <w:sz w:val="24"/>
          <w:szCs w:val="24"/>
        </w:rPr>
        <w:t xml:space="preserve">Adverse Event Frequency Analyzer (AE correlation with preclinical EP mechanistic predictions)</w:t>
      </w:r>
    </w:p>
    <w:p>
      <w:pPr>
        <w:pStyle w:val="ListParagraph"/>
        <w:numPr>
          <w:ilvl w:val="0"/>
          <w:numId w:val="2"/>
        </w:numPr>
        <w:spacing w:after="100" w:line="360"/>
      </w:pPr>
      <w:r>
        <w:rPr>
          <w:rFonts w:ascii="Arial" w:cs="Arial" w:eastAsia="Arial" w:hAnsi="Arial"/>
          <w:sz w:val="24"/>
          <w:szCs w:val="24"/>
        </w:rPr>
        <w:t xml:space="preserve">PK/PD Exposure-Response Modeler (exposure-efficacy and exposure-toxicity relationship analysis)</w:t>
      </w:r>
    </w:p>
    <w:p>
      <w:pPr>
        <w:pStyle w:val="ListParagraph"/>
        <w:numPr>
          <w:ilvl w:val="0"/>
          <w:numId w:val="2"/>
        </w:numPr>
        <w:spacing w:after="100" w:line="360"/>
      </w:pPr>
      <w:r>
        <w:rPr>
          <w:rFonts w:ascii="Arial" w:cs="Arial" w:eastAsia="Arial" w:hAnsi="Arial"/>
          <w:sz w:val="24"/>
          <w:szCs w:val="24"/>
        </w:rPr>
        <w:t xml:space="preserve">Biomarker Safety Predictor (correlation between preclinical cardiac/hepatic safety and clinical biomarker changes)</w:t>
      </w:r>
    </w:p>
    <w:p>
      <w:pPr>
        <w:pStyle w:val="ListParagraph"/>
        <w:numPr>
          <w:ilvl w:val="0"/>
          <w:numId w:val="2"/>
        </w:numPr>
        <w:spacing w:after="100" w:line="360"/>
      </w:pPr>
      <w:r>
        <w:rPr>
          <w:rFonts w:ascii="Arial" w:cs="Arial" w:eastAsia="Arial" w:hAnsi="Arial"/>
          <w:sz w:val="24"/>
          <w:szCs w:val="24"/>
        </w:rPr>
        <w:t xml:space="preserve">Phase III Success Predictor (machine learning model predicting Phase III efficacy likelihood based on Phase II data)</w:t>
      </w:r>
    </w:p>
    <w:p>
      <w:pPr>
        <w:pStyle w:val="ListParagraph"/>
        <w:numPr>
          <w:ilvl w:val="0"/>
          <w:numId w:val="2"/>
        </w:numPr>
        <w:spacing w:after="100" w:line="360"/>
      </w:pPr>
      <w:r>
        <w:rPr>
          <w:rFonts w:ascii="Arial" w:cs="Arial" w:eastAsia="Arial" w:hAnsi="Arial"/>
          <w:sz w:val="24"/>
          <w:szCs w:val="24"/>
        </w:rPr>
        <w:t xml:space="preserve">Translational bridge builder (linking preclinical EC50, use-dependent block, state-dependent selectivity to clinical dosing/efficacy)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Phase II compounds show &gt;30% pain relief in primary efficacy endpoints?</w:t>
      </w:r>
    </w:p>
    <w:p>
      <w:pPr>
        <w:pStyle w:val="ListParagraph"/>
        <w:numPr>
          <w:ilvl w:val="0"/>
          <w:numId w:val="2"/>
        </w:numPr>
        <w:spacing w:after="100" w:line="360"/>
      </w:pPr>
      <w:r>
        <w:rPr>
          <w:rFonts w:ascii="Arial" w:cs="Arial" w:eastAsia="Arial" w:hAnsi="Arial"/>
          <w:sz w:val="24"/>
          <w:szCs w:val="24"/>
        </w:rPr>
        <w:t xml:space="preserve">How do preclinical use-dependent and state-dependent block profiles predict clinical efficacy and cardiac AE frequency?</w:t>
      </w:r>
    </w:p>
    <w:p>
      <w:pPr>
        <w:pStyle w:val="ListParagraph"/>
        <w:numPr>
          <w:ilvl w:val="0"/>
          <w:numId w:val="2"/>
        </w:numPr>
        <w:spacing w:after="100" w:line="360"/>
      </w:pPr>
      <w:r>
        <w:rPr>
          <w:rFonts w:ascii="Arial" w:cs="Arial" w:eastAsia="Arial" w:hAnsi="Arial"/>
          <w:sz w:val="24"/>
          <w:szCs w:val="24"/>
        </w:rPr>
        <w:t xml:space="preserve">Can we identify Phase II adverse event patterns (cardiac, neurologic, hepatic) that were predicted by preclinical EP mechanistic analysis?</w:t>
      </w:r>
    </w:p>
    <w:p>
      <w:pPr>
        <w:pStyle w:val="ListParagraph"/>
        <w:numPr>
          <w:ilvl w:val="0"/>
          <w:numId w:val="2"/>
        </w:numPr>
        <w:spacing w:after="100" w:line="360"/>
      </w:pPr>
      <w:r>
        <w:rPr>
          <w:rFonts w:ascii="Arial" w:cs="Arial" w:eastAsia="Arial" w:hAnsi="Arial"/>
          <w:sz w:val="24"/>
          <w:szCs w:val="24"/>
        </w:rPr>
        <w:t xml:space="preserve">What is the correlation between preclinical neuropeptide release suppression and clinical pain intensity reduction?</w:t>
      </w:r>
    </w:p>
    <w:p>
      <w:pPr>
        <w:pStyle w:val="ListParagraph"/>
        <w:numPr>
          <w:ilvl w:val="0"/>
          <w:numId w:val="2"/>
        </w:numPr>
        <w:spacing w:after="100" w:line="360"/>
      </w:pPr>
      <w:r>
        <w:rPr>
          <w:rFonts w:ascii="Arial" w:cs="Arial" w:eastAsia="Arial" w:hAnsi="Arial"/>
          <w:sz w:val="24"/>
          <w:szCs w:val="24"/>
        </w:rPr>
        <w:t xml:space="preserve">Which Phase II compounds have the highest predicted Phase III efficacy probability based on integrated clinical-preclinical analysis?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Phase II clinical efficacy summary (pain intensity reduction % for each compound, statistical significance)</w:t>
      </w:r>
    </w:p>
    <w:p>
      <w:pPr>
        <w:pStyle w:val="ListParagraph"/>
        <w:numPr>
          <w:ilvl w:val="0"/>
          <w:numId w:val="2"/>
        </w:numPr>
        <w:spacing w:after="100" w:line="360"/>
      </w:pPr>
      <w:r>
        <w:rPr>
          <w:rFonts w:ascii="Arial" w:cs="Arial" w:eastAsia="Arial" w:hAnsi="Arial"/>
          <w:sz w:val="24"/>
          <w:szCs w:val="24"/>
        </w:rPr>
        <w:t xml:space="preserve">Adverse event frequency analysis (cardiac, neurologic, hepatic AE rates correlating with preclinical predictions)</w:t>
      </w:r>
    </w:p>
    <w:p>
      <w:pPr>
        <w:pStyle w:val="ListParagraph"/>
        <w:numPr>
          <w:ilvl w:val="0"/>
          <w:numId w:val="2"/>
        </w:numPr>
        <w:spacing w:after="100" w:line="360"/>
      </w:pPr>
      <w:r>
        <w:rPr>
          <w:rFonts w:ascii="Arial" w:cs="Arial" w:eastAsia="Arial" w:hAnsi="Arial"/>
          <w:sz w:val="24"/>
          <w:szCs w:val="24"/>
        </w:rPr>
        <w:t xml:space="preserve">PK/PD exposure-response models (exposure vs efficacy curves, exposure vs AE risk curves)</w:t>
      </w:r>
    </w:p>
    <w:p>
      <w:pPr>
        <w:pStyle w:val="ListParagraph"/>
        <w:numPr>
          <w:ilvl w:val="0"/>
          <w:numId w:val="2"/>
        </w:numPr>
        <w:spacing w:after="100" w:line="360"/>
      </w:pPr>
      <w:r>
        <w:rPr>
          <w:rFonts w:ascii="Arial" w:cs="Arial" w:eastAsia="Arial" w:hAnsi="Arial"/>
          <w:sz w:val="24"/>
          <w:szCs w:val="24"/>
        </w:rPr>
        <w:t xml:space="preserve">Biomarker safety assessment (troponin, BNP, transaminase correlations with preclinical cardiac/hepatic effects)</w:t>
      </w:r>
    </w:p>
    <w:p>
      <w:pPr>
        <w:pStyle w:val="ListParagraph"/>
        <w:numPr>
          <w:ilvl w:val="0"/>
          <w:numId w:val="2"/>
        </w:numPr>
        <w:spacing w:after="100" w:line="360"/>
      </w:pPr>
      <w:r>
        <w:rPr>
          <w:rFonts w:ascii="Arial" w:cs="Arial" w:eastAsia="Arial" w:hAnsi="Arial"/>
          <w:sz w:val="24"/>
          <w:szCs w:val="24"/>
        </w:rPr>
        <w:t xml:space="preserve">Translational mechanistic correlation (preclinical EP metrics vs clinical outcomes rankings)</w:t>
      </w:r>
    </w:p>
    <w:p>
      <w:pPr>
        <w:pStyle w:val="ListParagraph"/>
        <w:numPr>
          <w:ilvl w:val="0"/>
          <w:numId w:val="2"/>
        </w:numPr>
        <w:spacing w:after="100" w:line="360"/>
      </w:pPr>
      <w:r>
        <w:rPr>
          <w:rFonts w:ascii="Arial" w:cs="Arial" w:eastAsia="Arial" w:hAnsi="Arial"/>
          <w:sz w:val="24"/>
          <w:szCs w:val="24"/>
        </w:rPr>
        <w:t xml:space="preserve">Phase III success prediction scores (compounds ranked by likelihood of Phase III efficacy confirmation)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Clinical translation summary showing Phase II efficacy vs preclinical EP rescue correlation; adverse event prediction accuracy and Phase III success probability scores.</w:t>
      </w:r>
    </w:p>
    <w:p>
      <w:pPr>
        <w:pStyle w:val="Heading2"/>
      </w:pPr>
      <w:r>
        <w:rPr>
          <w:rFonts w:ascii="Arial" w:cs="Arial" w:eastAsia="Arial" w:hAnsi="Arial"/>
          <w:b/>
          <w:bCs/>
          <w:sz w:val="28"/>
          <w:szCs w:val="28"/>
        </w:rPr>
        <w:t xml:space="preserve">Stage 5: Phase II-to-Phase III Bridge Study Design and Patient Stratification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Phase II-to-Phase III bridge studies to confirm preclinical predictions and identify patient biomarkers/genotypes predicting compound responsiveness.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Phase II efficacy and safety data summary (pain relief, adverse events, PK/PD parameters for 5-10 compounds)</w:t>
      </w:r>
    </w:p>
    <w:p>
      <w:pPr>
        <w:pStyle w:val="ListParagraph"/>
        <w:numPr>
          <w:ilvl w:val="0"/>
          <w:numId w:val="2"/>
        </w:numPr>
        <w:spacing w:after="100" w:line="360"/>
      </w:pPr>
      <w:r>
        <w:rPr>
          <w:rFonts w:ascii="Arial" w:cs="Arial" w:eastAsia="Arial" w:hAnsi="Arial"/>
          <w:sz w:val="24"/>
          <w:szCs w:val="24"/>
        </w:rPr>
        <w:t xml:space="preserve">Pharmacogenomics data (SCN9A genotypes, other pain-relevant gene polymorphisms affecting compound metabolism)</w:t>
      </w:r>
    </w:p>
    <w:p>
      <w:pPr>
        <w:pStyle w:val="ListParagraph"/>
        <w:numPr>
          <w:ilvl w:val="0"/>
          <w:numId w:val="2"/>
        </w:numPr>
        <w:spacing w:after="100" w:line="360"/>
      </w:pPr>
      <w:r>
        <w:rPr>
          <w:rFonts w:ascii="Arial" w:cs="Arial" w:eastAsia="Arial" w:hAnsi="Arial"/>
          <w:sz w:val="24"/>
          <w:szCs w:val="24"/>
        </w:rPr>
        <w:t xml:space="preserve">Biomarker discovery datasets (serum CGRP, NGF, inflammatory markers correlating with pain phenotype)</w:t>
      </w:r>
    </w:p>
    <w:p>
      <w:pPr>
        <w:pStyle w:val="ListParagraph"/>
        <w:numPr>
          <w:ilvl w:val="0"/>
          <w:numId w:val="2"/>
        </w:numPr>
        <w:spacing w:after="100" w:line="360"/>
      </w:pPr>
      <w:r>
        <w:rPr>
          <w:rFonts w:ascii="Arial" w:cs="Arial" w:eastAsia="Arial" w:hAnsi="Arial"/>
          <w:sz w:val="24"/>
          <w:szCs w:val="24"/>
        </w:rPr>
        <w:t xml:space="preserve">Patient stratification strategies (neuropathic vs inflammatory pain, small fiber involvement, genetic pain syndromes vs acquired neuropathy)</w:t>
      </w:r>
    </w:p>
    <w:p>
      <w:pPr>
        <w:pStyle w:val="ListParagraph"/>
        <w:numPr>
          <w:ilvl w:val="0"/>
          <w:numId w:val="2"/>
        </w:numPr>
        <w:spacing w:after="100" w:line="360"/>
      </w:pPr>
      <w:r>
        <w:rPr>
          <w:rFonts w:ascii="Arial" w:cs="Arial" w:eastAsia="Arial" w:hAnsi="Arial"/>
          <w:sz w:val="24"/>
          <w:szCs w:val="24"/>
        </w:rPr>
        <w:t xml:space="preserve">Phase III trial design templates (adaptive design precedents, biomarker-driven enrichment strategies)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Patient Stratification Algorithm (neuropathic vs inflammatory phenotyping, genetic vs acquired neuropathy classification)</w:t>
      </w:r>
    </w:p>
    <w:p>
      <w:pPr>
        <w:pStyle w:val="ListParagraph"/>
        <w:numPr>
          <w:ilvl w:val="0"/>
          <w:numId w:val="2"/>
        </w:numPr>
        <w:spacing w:after="100" w:line="360"/>
      </w:pPr>
      <w:r>
        <w:rPr>
          <w:rFonts w:ascii="Arial" w:cs="Arial" w:eastAsia="Arial" w:hAnsi="Arial"/>
          <w:sz w:val="24"/>
          <w:szCs w:val="24"/>
        </w:rPr>
        <w:t xml:space="preserve">Pharmacogenomics Analyzer (SCN9A and other pain gene variant impact on compound metabolism/efficacy)</w:t>
      </w:r>
    </w:p>
    <w:p>
      <w:pPr>
        <w:pStyle w:val="ListParagraph"/>
        <w:numPr>
          <w:ilvl w:val="0"/>
          <w:numId w:val="2"/>
        </w:numPr>
        <w:spacing w:after="100" w:line="360"/>
      </w:pPr>
      <w:r>
        <w:rPr>
          <w:rFonts w:ascii="Arial" w:cs="Arial" w:eastAsia="Arial" w:hAnsi="Arial"/>
          <w:sz w:val="24"/>
          <w:szCs w:val="24"/>
        </w:rPr>
        <w:t xml:space="preserve">Biomarker-Response Correlator (serum CGRP/NGF levels predicting compound responsiveness)</w:t>
      </w:r>
    </w:p>
    <w:p>
      <w:pPr>
        <w:pStyle w:val="ListParagraph"/>
        <w:numPr>
          <w:ilvl w:val="0"/>
          <w:numId w:val="2"/>
        </w:numPr>
        <w:spacing w:after="100" w:line="360"/>
      </w:pPr>
      <w:r>
        <w:rPr>
          <w:rFonts w:ascii="Arial" w:cs="Arial" w:eastAsia="Arial" w:hAnsi="Arial"/>
          <w:sz w:val="24"/>
          <w:szCs w:val="24"/>
        </w:rPr>
        <w:t xml:space="preserve">Adaptive Trial Designer (Phase II-III bridge study design with biomarker/genotype-driven enrollment strategies)</w:t>
      </w:r>
    </w:p>
    <w:p>
      <w:pPr>
        <w:pStyle w:val="ListParagraph"/>
        <w:numPr>
          <w:ilvl w:val="0"/>
          <w:numId w:val="2"/>
        </w:numPr>
        <w:spacing w:after="100" w:line="360"/>
      </w:pPr>
      <w:r>
        <w:rPr>
          <w:rFonts w:ascii="Arial" w:cs="Arial" w:eastAsia="Arial" w:hAnsi="Arial"/>
          <w:sz w:val="24"/>
          <w:szCs w:val="24"/>
        </w:rPr>
        <w:t xml:space="preserve">Predictive Efficacy Model (machine learning integration of clinical features, biomarkers, genotypes predicting Phase III success)</w:t>
      </w:r>
    </w:p>
    <w:p>
      <w:pPr>
        <w:pStyle w:val="ListParagraph"/>
        <w:numPr>
          <w:ilvl w:val="0"/>
          <w:numId w:val="2"/>
        </w:numPr>
        <w:spacing w:after="100" w:line="360"/>
      </w:pPr>
      <w:r>
        <w:rPr>
          <w:rFonts w:ascii="Arial" w:cs="Arial" w:eastAsia="Arial" w:hAnsi="Arial"/>
          <w:sz w:val="24"/>
          <w:szCs w:val="24"/>
        </w:rPr>
        <w:t xml:space="preserve">Responder Enrichment Tool (identifying likely responders for more efficient Phase III trial designs)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patient biomarkers (baseline pain intensity, serum CGRP/NGF levels, pain phenotype) predict Phase II responders?</w:t>
      </w:r>
    </w:p>
    <w:p>
      <w:pPr>
        <w:pStyle w:val="ListParagraph"/>
        <w:numPr>
          <w:ilvl w:val="0"/>
          <w:numId w:val="2"/>
        </w:numPr>
        <w:spacing w:after="100" w:line="360"/>
      </w:pPr>
      <w:r>
        <w:rPr>
          <w:rFonts w:ascii="Arial" w:cs="Arial" w:eastAsia="Arial" w:hAnsi="Arial"/>
          <w:sz w:val="24"/>
          <w:szCs w:val="24"/>
        </w:rPr>
        <w:t xml:space="preserve">How do SCN9A genotype and other pain-relevant polymorphisms correlate with compound responsiveness?</w:t>
      </w:r>
    </w:p>
    <w:p>
      <w:pPr>
        <w:pStyle w:val="ListParagraph"/>
        <w:numPr>
          <w:ilvl w:val="0"/>
          <w:numId w:val="2"/>
        </w:numPr>
        <w:spacing w:after="100" w:line="360"/>
      </w:pPr>
      <w:r>
        <w:rPr>
          <w:rFonts w:ascii="Arial" w:cs="Arial" w:eastAsia="Arial" w:hAnsi="Arial"/>
          <w:sz w:val="24"/>
          <w:szCs w:val="24"/>
        </w:rPr>
        <w:t xml:space="preserve">Can biomarker and genotype-driven patient enrichment reduce Phase III trial size while improving success probability?</w:t>
      </w:r>
    </w:p>
    <w:p>
      <w:pPr>
        <w:pStyle w:val="ListParagraph"/>
        <w:numPr>
          <w:ilvl w:val="0"/>
          <w:numId w:val="2"/>
        </w:numPr>
        <w:spacing w:after="100" w:line="360"/>
      </w:pPr>
      <w:r>
        <w:rPr>
          <w:rFonts w:ascii="Arial" w:cs="Arial" w:eastAsia="Arial" w:hAnsi="Arial"/>
          <w:sz w:val="24"/>
          <w:szCs w:val="24"/>
        </w:rPr>
        <w:t xml:space="preserve">What is the optimal Phase II-to-Phase III bridge study design (open-label extension vs new randomized cohort vs adaptive)?</w:t>
      </w:r>
    </w:p>
    <w:p>
      <w:pPr>
        <w:pStyle w:val="ListParagraph"/>
        <w:numPr>
          <w:ilvl w:val="0"/>
          <w:numId w:val="2"/>
        </w:numPr>
        <w:spacing w:after="100" w:line="360"/>
      </w:pPr>
      <w:r>
        <w:rPr>
          <w:rFonts w:ascii="Arial" w:cs="Arial" w:eastAsia="Arial" w:hAnsi="Arial"/>
          <w:sz w:val="24"/>
          <w:szCs w:val="24"/>
        </w:rPr>
        <w:t xml:space="preserve">Which Phase II compounds have sufficient efficacy and safety signal to advance to Phase III registration trials?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Patient biomarker correlation analysis (baseline pain intensity, serum CGRP/NGF predictive of responder status)</w:t>
      </w:r>
    </w:p>
    <w:p>
      <w:pPr>
        <w:pStyle w:val="ListParagraph"/>
        <w:numPr>
          <w:ilvl w:val="0"/>
          <w:numId w:val="2"/>
        </w:numPr>
        <w:spacing w:after="100" w:line="360"/>
      </w:pPr>
      <w:r>
        <w:rPr>
          <w:rFonts w:ascii="Arial" w:cs="Arial" w:eastAsia="Arial" w:hAnsi="Arial"/>
          <w:sz w:val="24"/>
          <w:szCs w:val="24"/>
        </w:rPr>
        <w:t xml:space="preserve">Pharmacogenomics association analysis (SCN9A variant and other gene polymorphism associations with compound efficacy/tolerability)</w:t>
      </w:r>
    </w:p>
    <w:p>
      <w:pPr>
        <w:pStyle w:val="ListParagraph"/>
        <w:numPr>
          <w:ilvl w:val="0"/>
          <w:numId w:val="2"/>
        </w:numPr>
        <w:spacing w:after="100" w:line="360"/>
      </w:pPr>
      <w:r>
        <w:rPr>
          <w:rFonts w:ascii="Arial" w:cs="Arial" w:eastAsia="Arial" w:hAnsi="Arial"/>
          <w:sz w:val="24"/>
          <w:szCs w:val="24"/>
        </w:rPr>
        <w:t xml:space="preserve">Responder enrichment strategy (patient selection criteria maximizing Phase III responder rate)</w:t>
      </w:r>
    </w:p>
    <w:p>
      <w:pPr>
        <w:pStyle w:val="ListParagraph"/>
        <w:numPr>
          <w:ilvl w:val="0"/>
          <w:numId w:val="2"/>
        </w:numPr>
        <w:spacing w:after="100" w:line="360"/>
      </w:pPr>
      <w:r>
        <w:rPr>
          <w:rFonts w:ascii="Arial" w:cs="Arial" w:eastAsia="Arial" w:hAnsi="Arial"/>
          <w:sz w:val="24"/>
          <w:szCs w:val="24"/>
        </w:rPr>
        <w:t xml:space="preserve">Phase II-to-Phase III bridge study design recommendation (study duration, primary endpoint selection, safety monitoring)</w:t>
      </w:r>
    </w:p>
    <w:p>
      <w:pPr>
        <w:pStyle w:val="ListParagraph"/>
        <w:numPr>
          <w:ilvl w:val="0"/>
          <w:numId w:val="2"/>
        </w:numPr>
        <w:spacing w:after="100" w:line="360"/>
      </w:pPr>
      <w:r>
        <w:rPr>
          <w:rFonts w:ascii="Arial" w:cs="Arial" w:eastAsia="Arial" w:hAnsi="Arial"/>
          <w:sz w:val="24"/>
          <w:szCs w:val="24"/>
        </w:rPr>
        <w:t xml:space="preserve">Adaptive Phase III trial design incorporating biomarker/genotype-driven features (enrichment cohort design, sample size optimization)</w:t>
      </w:r>
    </w:p>
    <w:p>
      <w:pPr>
        <w:pStyle w:val="ListParagraph"/>
        <w:numPr>
          <w:ilvl w:val="0"/>
          <w:numId w:val="2"/>
        </w:numPr>
        <w:spacing w:after="100" w:line="360"/>
      </w:pPr>
      <w:r>
        <w:rPr>
          <w:rFonts w:ascii="Arial" w:cs="Arial" w:eastAsia="Arial" w:hAnsi="Arial"/>
          <w:sz w:val="24"/>
          <w:szCs w:val="24"/>
        </w:rPr>
        <w:t xml:space="preserve">Ranked Phase II compounds for Phase III advancement (go/no-go recommendations based on integrated clinical-mechanistic evidence)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Patient stratification strategy and Phase III trial design framework with responder enrichment criteria and predictive biomarker/genotype signatures.</w:t>
      </w:r>
    </w:p>
    <w:p>
      <w:pPr>
        <w:pStyle w:val="Heading2"/>
      </w:pPr>
      <w:r>
        <w:rPr>
          <w:rFonts w:ascii="Arial" w:cs="Arial" w:eastAsia="Arial" w:hAnsi="Arial"/>
          <w:b/>
          <w:bCs/>
          <w:sz w:val="28"/>
          <w:szCs w:val="28"/>
        </w:rPr>
        <w:t xml:space="preserve">Stage 6: Phase III Clinical Development Strategy and Go/No-Go Recommendation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final go/no-go recommendation for Phase III advancement and define Phase III clinical development strategy including trial design, endpoints, and success criteria.</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Complete Phase II clinical data synthesis: efficacy endpoints, adverse event profile, PK/PD, biomarker response, patient-reported outcomes</w:t>
      </w:r>
    </w:p>
    <w:p>
      <w:pPr>
        <w:pStyle w:val="ListParagraph"/>
        <w:numPr>
          <w:ilvl w:val="0"/>
          <w:numId w:val="2"/>
        </w:numPr>
        <w:spacing w:after="100" w:line="360"/>
      </w:pPr>
      <w:r>
        <w:rPr>
          <w:rFonts w:ascii="Arial" w:cs="Arial" w:eastAsia="Arial" w:hAnsi="Arial"/>
          <w:sz w:val="24"/>
          <w:szCs w:val="24"/>
        </w:rPr>
        <w:t xml:space="preserve">Preclinical-to-clinical mechanistic correlation: EP state-dependent block, use-dependent selectivity, nociceptor rescue vs Phase II clinical response</w:t>
      </w:r>
    </w:p>
    <w:p>
      <w:pPr>
        <w:pStyle w:val="ListParagraph"/>
        <w:numPr>
          <w:ilvl w:val="0"/>
          <w:numId w:val="2"/>
        </w:numPr>
        <w:spacing w:after="100" w:line="360"/>
      </w:pPr>
      <w:r>
        <w:rPr>
          <w:rFonts w:ascii="Arial" w:cs="Arial" w:eastAsia="Arial" w:hAnsi="Arial"/>
          <w:sz w:val="24"/>
          <w:szCs w:val="24"/>
        </w:rPr>
        <w:t xml:space="preserve">Regulatory guidance specifics (FDA pain guidance, non-opioid analgesic development expectations, Phase III trial design recommendations)</w:t>
      </w:r>
    </w:p>
    <w:p>
      <w:pPr>
        <w:pStyle w:val="ListParagraph"/>
        <w:numPr>
          <w:ilvl w:val="0"/>
          <w:numId w:val="2"/>
        </w:numPr>
        <w:spacing w:after="100" w:line="360"/>
      </w:pPr>
      <w:r>
        <w:rPr>
          <w:rFonts w:ascii="Arial" w:cs="Arial" w:eastAsia="Arial" w:hAnsi="Arial"/>
          <w:sz w:val="24"/>
          <w:szCs w:val="24"/>
        </w:rPr>
        <w:t xml:space="preserve">Phase III trial design precedent (chronic pain indications, neuropathic pain vs inflammatory pain trial designs, endpoint selection rationale)</w:t>
      </w:r>
    </w:p>
    <w:p>
      <w:pPr>
        <w:pStyle w:val="ListParagraph"/>
        <w:numPr>
          <w:ilvl w:val="0"/>
          <w:numId w:val="2"/>
        </w:numPr>
        <w:spacing w:after="100" w:line="360"/>
      </w:pPr>
      <w:r>
        <w:rPr>
          <w:rFonts w:ascii="Arial" w:cs="Arial" w:eastAsia="Arial" w:hAnsi="Arial"/>
          <w:sz w:val="24"/>
          <w:szCs w:val="24"/>
        </w:rPr>
        <w:t xml:space="preserve">Market and competitive landscape (other Phase III sodium channel compounds, unmet pain indication needs, expected market positioning)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Phase III Go/No-Go Evaluator (integration of Phase II efficacy, safety, mechanistic signal, and registration likelihood)</w:t>
      </w:r>
    </w:p>
    <w:p>
      <w:pPr>
        <w:pStyle w:val="ListParagraph"/>
        <w:numPr>
          <w:ilvl w:val="0"/>
          <w:numId w:val="2"/>
        </w:numPr>
        <w:spacing w:after="100" w:line="360"/>
      </w:pPr>
      <w:r>
        <w:rPr>
          <w:rFonts w:ascii="Arial" w:cs="Arial" w:eastAsia="Arial" w:hAnsi="Arial"/>
          <w:sz w:val="24"/>
          <w:szCs w:val="24"/>
        </w:rPr>
        <w:t xml:space="preserve">Phase III Trial Designer (endpoint selection, population definition, trial duration, sample size estimation)</w:t>
      </w:r>
    </w:p>
    <w:p>
      <w:pPr>
        <w:pStyle w:val="ListParagraph"/>
        <w:numPr>
          <w:ilvl w:val="0"/>
          <w:numId w:val="2"/>
        </w:numPr>
        <w:spacing w:after="100" w:line="360"/>
      </w:pPr>
      <w:r>
        <w:rPr>
          <w:rFonts w:ascii="Arial" w:cs="Arial" w:eastAsia="Arial" w:hAnsi="Arial"/>
          <w:sz w:val="24"/>
          <w:szCs w:val="24"/>
        </w:rPr>
        <w:t xml:space="preserve">Success Criteria Definer (Phase III efficacy threshold, safety threshold, regulatory acceptance probability)</w:t>
      </w:r>
    </w:p>
    <w:p>
      <w:pPr>
        <w:pStyle w:val="ListParagraph"/>
        <w:numPr>
          <w:ilvl w:val="0"/>
          <w:numId w:val="2"/>
        </w:numPr>
        <w:spacing w:after="100" w:line="360"/>
      </w:pPr>
      <w:r>
        <w:rPr>
          <w:rFonts w:ascii="Arial" w:cs="Arial" w:eastAsia="Arial" w:hAnsi="Arial"/>
          <w:sz w:val="24"/>
          <w:szCs w:val="24"/>
        </w:rPr>
        <w:t xml:space="preserve">Timeline and Cost Estimator (Phase III development timeline, estimated study cost, expected registration timeline)</w:t>
      </w:r>
    </w:p>
    <w:p>
      <w:pPr>
        <w:pStyle w:val="ListParagraph"/>
        <w:numPr>
          <w:ilvl w:val="0"/>
          <w:numId w:val="2"/>
        </w:numPr>
        <w:spacing w:after="100" w:line="360"/>
      </w:pPr>
      <w:r>
        <w:rPr>
          <w:rFonts w:ascii="Arial" w:cs="Arial" w:eastAsia="Arial" w:hAnsi="Arial"/>
          <w:sz w:val="24"/>
          <w:szCs w:val="24"/>
        </w:rPr>
        <w:t xml:space="preserve">Competitive Differentiation Analyzer (vs other Phase III sodium channel compounds, vs non-opioid analgesics)</w:t>
      </w:r>
    </w:p>
    <w:p>
      <w:pPr>
        <w:pStyle w:val="ListParagraph"/>
        <w:numPr>
          <w:ilvl w:val="0"/>
          <w:numId w:val="2"/>
        </w:numPr>
        <w:spacing w:after="100" w:line="360"/>
      </w:pPr>
      <w:r>
        <w:rPr>
          <w:rFonts w:ascii="Arial" w:cs="Arial" w:eastAsia="Arial" w:hAnsi="Arial"/>
          <w:sz w:val="24"/>
          <w:szCs w:val="24"/>
        </w:rPr>
        <w:t xml:space="preserve">Decision Support System (compound-specific go/no-go recommendation and strategic positioning)</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Phase II compounds demonstrate sufficient efficacy signal and acceptable safety profile for Phase III advancement?</w:t>
      </w:r>
    </w:p>
    <w:p>
      <w:pPr>
        <w:pStyle w:val="ListParagraph"/>
        <w:numPr>
          <w:ilvl w:val="0"/>
          <w:numId w:val="2"/>
        </w:numPr>
        <w:spacing w:after="100" w:line="360"/>
      </w:pPr>
      <w:r>
        <w:rPr>
          <w:rFonts w:ascii="Arial" w:cs="Arial" w:eastAsia="Arial" w:hAnsi="Arial"/>
          <w:sz w:val="24"/>
          <w:szCs w:val="24"/>
        </w:rPr>
        <w:t xml:space="preserve">What is the optimal Phase III trial design (two identical studies vs confirmatory design, population enrichment, pain indication selection)?</w:t>
      </w:r>
    </w:p>
    <w:p>
      <w:pPr>
        <w:pStyle w:val="ListParagraph"/>
        <w:numPr>
          <w:ilvl w:val="0"/>
          <w:numId w:val="2"/>
        </w:numPr>
        <w:spacing w:after="100" w:line="360"/>
      </w:pPr>
      <w:r>
        <w:rPr>
          <w:rFonts w:ascii="Arial" w:cs="Arial" w:eastAsia="Arial" w:hAnsi="Arial"/>
          <w:sz w:val="24"/>
          <w:szCs w:val="24"/>
        </w:rPr>
        <w:t xml:space="preserve">How should Phase III be designed to differentiate from other Phase III sodium channel compounds and non-opioid analgesics?</w:t>
      </w:r>
    </w:p>
    <w:p>
      <w:pPr>
        <w:pStyle w:val="ListParagraph"/>
        <w:numPr>
          <w:ilvl w:val="0"/>
          <w:numId w:val="2"/>
        </w:numPr>
        <w:spacing w:after="100" w:line="360"/>
      </w:pPr>
      <w:r>
        <w:rPr>
          <w:rFonts w:ascii="Arial" w:cs="Arial" w:eastAsia="Arial" w:hAnsi="Arial"/>
          <w:sz w:val="24"/>
          <w:szCs w:val="24"/>
        </w:rPr>
        <w:t xml:space="preserve">What Phase III efficacy and safety thresholds should define registration success (pain intensity reduction target, AE rate tolerance)?</w:t>
      </w:r>
    </w:p>
    <w:p>
      <w:pPr>
        <w:pStyle w:val="ListParagraph"/>
        <w:numPr>
          <w:ilvl w:val="0"/>
          <w:numId w:val="2"/>
        </w:numPr>
        <w:spacing w:after="100" w:line="360"/>
      </w:pPr>
      <w:r>
        <w:rPr>
          <w:rFonts w:ascii="Arial" w:cs="Arial" w:eastAsia="Arial" w:hAnsi="Arial"/>
          <w:sz w:val="24"/>
          <w:szCs w:val="24"/>
        </w:rPr>
        <w:t xml:space="preserve">If advancement not recommended, what additional clinical data could change go/no-go decision?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Go/No-Go recommendation for each Phase II compound (advance to Phase III, conduct additional Phase IIb studies, discontinue development)</w:t>
      </w:r>
    </w:p>
    <w:p>
      <w:pPr>
        <w:pStyle w:val="ListParagraph"/>
        <w:numPr>
          <w:ilvl w:val="0"/>
          <w:numId w:val="2"/>
        </w:numPr>
        <w:spacing w:after="100" w:line="360"/>
      </w:pPr>
      <w:r>
        <w:rPr>
          <w:rFonts w:ascii="Arial" w:cs="Arial" w:eastAsia="Arial" w:hAnsi="Arial"/>
          <w:sz w:val="24"/>
          <w:szCs w:val="24"/>
        </w:rPr>
        <w:t xml:space="preserve">Phase III trial design and operational plan (study duration, primary endpoint selection, success criteria)</w:t>
      </w:r>
    </w:p>
    <w:p>
      <w:pPr>
        <w:pStyle w:val="ListParagraph"/>
        <w:numPr>
          <w:ilvl w:val="0"/>
          <w:numId w:val="2"/>
        </w:numPr>
        <w:spacing w:after="100" w:line="360"/>
      </w:pPr>
      <w:r>
        <w:rPr>
          <w:rFonts w:ascii="Arial" w:cs="Arial" w:eastAsia="Arial" w:hAnsi="Arial"/>
          <w:sz w:val="24"/>
          <w:szCs w:val="24"/>
        </w:rPr>
        <w:t xml:space="preserve">Sample size and statistical power analysis (event rates, dropout assumptions, power calculations)</w:t>
      </w:r>
    </w:p>
    <w:p>
      <w:pPr>
        <w:pStyle w:val="ListParagraph"/>
        <w:numPr>
          <w:ilvl w:val="0"/>
          <w:numId w:val="2"/>
        </w:numPr>
        <w:spacing w:after="100" w:line="360"/>
      </w:pPr>
      <w:r>
        <w:rPr>
          <w:rFonts w:ascii="Arial" w:cs="Arial" w:eastAsia="Arial" w:hAnsi="Arial"/>
          <w:sz w:val="24"/>
          <w:szCs w:val="24"/>
        </w:rPr>
        <w:t xml:space="preserve">Phase III endpoint definition (primary: pain intensity reduction % target; secondary: function, quality of life, neuropeptide rescue biomarkers)</w:t>
      </w:r>
    </w:p>
    <w:p>
      <w:pPr>
        <w:pStyle w:val="ListParagraph"/>
        <w:numPr>
          <w:ilvl w:val="0"/>
          <w:numId w:val="2"/>
        </w:numPr>
        <w:spacing w:after="100" w:line="360"/>
      </w:pPr>
      <w:r>
        <w:rPr>
          <w:rFonts w:ascii="Arial" w:cs="Arial" w:eastAsia="Arial" w:hAnsi="Arial"/>
          <w:sz w:val="24"/>
          <w:szCs w:val="24"/>
        </w:rPr>
        <w:t xml:space="preserve">Risk mitigation and decision points (interim analysis criteria, potential phase transitions, go/no-go decision criteria)</w:t>
      </w:r>
    </w:p>
    <w:p>
      <w:pPr>
        <w:pStyle w:val="ListParagraph"/>
        <w:numPr>
          <w:ilvl w:val="0"/>
          <w:numId w:val="2"/>
        </w:numPr>
        <w:spacing w:after="100" w:line="360"/>
      </w:pPr>
      <w:r>
        <w:rPr>
          <w:rFonts w:ascii="Arial" w:cs="Arial" w:eastAsia="Arial" w:hAnsi="Arial"/>
          <w:sz w:val="24"/>
          <w:szCs w:val="24"/>
        </w:rPr>
        <w:t xml:space="preserve">Timeline projection and resource plan (estimated Phase III duration, estimated cost, regulatory submission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Phase III development strategy with go/no-go recommendations, trial design specifications, and success criteria for Phase II compounds.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Electrophysiology CRISPR Atlas (18,000 gene perturbations, ~3,500 compound perturbations, 500+ features per neuron; primary data source for all phenotype analysis)</w:t>
      </w:r>
    </w:p>
    <w:p>
      <w:pPr>
        <w:pStyle w:val="ListParagraph"/>
        <w:numPr>
          <w:ilvl w:val="0"/>
          <w:numId w:val="2"/>
        </w:numPr>
        <w:spacing w:after="100" w:line="360"/>
      </w:pPr>
      <w:r>
        <w:rPr>
          <w:rFonts w:ascii="Arial" w:cs="Arial" w:eastAsia="Arial" w:hAnsi="Arial"/>
          <w:sz w:val="24"/>
          <w:szCs w:val="24"/>
        </w:rPr>
        <w:t xml:space="preserve">Variant Effect Predictor (VEP) and AlphaFold2 Structural Modeling (missense consequence prediction and 3D sodium channel structure visualization)</w:t>
      </w:r>
    </w:p>
    <w:p>
      <w:pPr>
        <w:pStyle w:val="ListParagraph"/>
        <w:numPr>
          <w:ilvl w:val="0"/>
          <w:numId w:val="2"/>
        </w:numPr>
        <w:spacing w:after="100" w:line="360"/>
      </w:pPr>
      <w:r>
        <w:rPr>
          <w:rFonts w:ascii="Arial" w:cs="Arial" w:eastAsia="Arial" w:hAnsi="Arial"/>
          <w:sz w:val="24"/>
          <w:szCs w:val="24"/>
        </w:rPr>
        <w:t xml:space="preserve">Automated Patch-Clamp Screening Platform (hERG, Nav channels, ion channel selectivity profiling across compound library)</w:t>
      </w:r>
    </w:p>
    <w:p>
      <w:pPr>
        <w:pStyle w:val="ListParagraph"/>
        <w:numPr>
          <w:ilvl w:val="0"/>
          <w:numId w:val="2"/>
        </w:numPr>
        <w:spacing w:after="100" w:line="360"/>
      </w:pPr>
      <w:r>
        <w:rPr>
          <w:rFonts w:ascii="Arial" w:cs="Arial" w:eastAsia="Arial" w:hAnsi="Arial"/>
          <w:sz w:val="24"/>
          <w:szCs w:val="24"/>
        </w:rPr>
        <w:t xml:space="preserve">Whole-Cell Electrophysiology Analysis Suite (AP firing frequency, rheobase, AHP metrics quantification from current-clamp recordings)</w:t>
      </w:r>
    </w:p>
    <w:p>
      <w:pPr>
        <w:pStyle w:val="ListParagraph"/>
        <w:numPr>
          <w:ilvl w:val="0"/>
          <w:numId w:val="2"/>
        </w:numPr>
        <w:spacing w:after="100" w:line="360"/>
      </w:pPr>
      <w:r>
        <w:rPr>
          <w:rFonts w:ascii="Arial" w:cs="Arial" w:eastAsia="Arial" w:hAnsi="Arial"/>
          <w:sz w:val="24"/>
          <w:szCs w:val="24"/>
        </w:rPr>
        <w:t xml:space="preserve">Neuropeptide Release Quantifier (CGRP/substance P ELISA and luminescence immunoassay quantification)</w:t>
      </w:r>
    </w:p>
    <w:p>
      <w:pPr>
        <w:pStyle w:val="ListParagraph"/>
        <w:numPr>
          <w:ilvl w:val="0"/>
          <w:numId w:val="2"/>
        </w:numPr>
        <w:spacing w:after="100" w:line="360"/>
      </w:pPr>
      <w:r>
        <w:rPr>
          <w:rFonts w:ascii="Arial" w:cs="Arial" w:eastAsia="Arial" w:hAnsi="Arial"/>
          <w:sz w:val="24"/>
          <w:szCs w:val="24"/>
        </w:rPr>
        <w:t xml:space="preserve">Multi-Electrode Array Recording System (spontaneous activity monitoring, network-level electrophysiology assessment)</w:t>
      </w:r>
    </w:p>
    <w:p>
      <w:pPr>
        <w:pStyle w:val="ListParagraph"/>
        <w:numPr>
          <w:ilvl w:val="0"/>
          <w:numId w:val="2"/>
        </w:numPr>
        <w:spacing w:after="100" w:line="360"/>
      </w:pPr>
      <w:r>
        <w:rPr>
          <w:rFonts w:ascii="Arial" w:cs="Arial" w:eastAsia="Arial" w:hAnsi="Arial"/>
          <w:sz w:val="24"/>
          <w:szCs w:val="24"/>
        </w:rPr>
        <w:t xml:space="preserve">Clinical Trial Database (ClinicalTrials.gov, FDA FAERS, published Phase I/II safety and efficacy data mining)</w:t>
      </w:r>
    </w:p>
    <w:p>
      <w:pPr>
        <w:pStyle w:val="ListParagraph"/>
        <w:numPr>
          <w:ilvl w:val="0"/>
          <w:numId w:val="2"/>
        </w:numPr>
        <w:spacing w:after="100" w:line="360"/>
      </w:pPr>
      <w:r>
        <w:rPr>
          <w:rFonts w:ascii="Arial" w:cs="Arial" w:eastAsia="Arial" w:hAnsi="Arial"/>
          <w:sz w:val="24"/>
          <w:szCs w:val="24"/>
        </w:rPr>
        <w:t xml:space="preserve">ADMET Property Calculator (physicochemical property analysis, BBB/blood-nerve barrier penetrance prediction)</w:t>
      </w:r>
    </w:p>
    <w:p>
      <w:pPr>
        <w:pStyle w:val="ListParagraph"/>
        <w:numPr>
          <w:ilvl w:val="0"/>
          <w:numId w:val="2"/>
        </w:numPr>
        <w:spacing w:after="100" w:line="360"/>
      </w:pPr>
      <w:r>
        <w:rPr>
          <w:rFonts w:ascii="Arial" w:cs="Arial" w:eastAsia="Arial" w:hAnsi="Arial"/>
          <w:sz w:val="24"/>
          <w:szCs w:val="24"/>
        </w:rPr>
        <w:t xml:space="preserve">Structure-Activity Relationship (SAR) Mining Tool (chemical feature identification driving selectivity and potency)</w:t>
      </w:r>
    </w:p>
    <w:p>
      <w:pPr>
        <w:pStyle w:val="ListParagraph"/>
        <w:numPr>
          <w:ilvl w:val="0"/>
          <w:numId w:val="2"/>
        </w:numPr>
        <w:spacing w:after="100" w:line="360"/>
      </w:pPr>
      <w:r>
        <w:rPr>
          <w:rFonts w:ascii="Arial" w:cs="Arial" w:eastAsia="Arial" w:hAnsi="Arial"/>
          <w:sz w:val="24"/>
          <w:szCs w:val="24"/>
        </w:rPr>
        <w:t xml:space="preserve">PK/PD Modeling Suite (Phoenix WinNonlin equivalent, exposure-response curve generation, clinical dose prediction)</w:t>
      </w:r>
    </w:p>
    <w:p>
      <w:pPr>
        <w:pStyle w:val="ListParagraph"/>
        <w:numPr>
          <w:ilvl w:val="0"/>
          <w:numId w:val="2"/>
        </w:numPr>
        <w:spacing w:after="100" w:line="360"/>
      </w:pPr>
      <w:r>
        <w:rPr>
          <w:rFonts w:ascii="Arial" w:cs="Arial" w:eastAsia="Arial" w:hAnsi="Arial"/>
          <w:sz w:val="24"/>
          <w:szCs w:val="24"/>
        </w:rPr>
        <w:t xml:space="preserve">Machine Learning Classification Platform (scikit-learn, TensorFlow; analgesic/sedative signature separation, responder prediction)</w:t>
      </w:r>
    </w:p>
    <w:p>
      <w:pPr>
        <w:pStyle w:val="ListParagraph"/>
        <w:numPr>
          <w:ilvl w:val="0"/>
          <w:numId w:val="2"/>
        </w:numPr>
        <w:spacing w:after="100" w:line="360"/>
      </w:pPr>
      <w:r>
        <w:rPr>
          <w:rFonts w:ascii="Arial" w:cs="Arial" w:eastAsia="Arial" w:hAnsi="Arial"/>
          <w:sz w:val="24"/>
          <w:szCs w:val="24"/>
        </w:rPr>
        <w:t xml:space="preserve">Sleep-Wake Architecture Analyzer (polysomnography analysis, EEG spectral decomposition, actigraphy metrics)</w:t>
      </w:r>
    </w:p>
    <w:p>
      <w:pPr>
        <w:pStyle w:val="ListParagraph"/>
        <w:numPr>
          <w:ilvl w:val="0"/>
          <w:numId w:val="2"/>
        </w:numPr>
        <w:spacing w:after="100" w:line="360"/>
      </w:pPr>
      <w:r>
        <w:rPr>
          <w:rFonts w:ascii="Arial" w:cs="Arial" w:eastAsia="Arial" w:hAnsi="Arial"/>
          <w:sz w:val="24"/>
          <w:szCs w:val="24"/>
        </w:rPr>
        <w:t xml:space="preserve">CNS Biomarker Analyzer (CSF/blood neurofilament, tau, amyloid quantification; neuroinflammation markers)</w:t>
      </w:r>
    </w:p>
    <w:p>
      <w:pPr>
        <w:pStyle w:val="ListParagraph"/>
        <w:numPr>
          <w:ilvl w:val="0"/>
          <w:numId w:val="2"/>
        </w:numPr>
        <w:spacing w:after="100" w:line="360"/>
      </w:pPr>
      <w:r>
        <w:rPr>
          <w:rFonts w:ascii="Arial" w:cs="Arial" w:eastAsia="Arial" w:hAnsi="Arial"/>
          <w:sz w:val="24"/>
          <w:szCs w:val="24"/>
        </w:rPr>
        <w:t xml:space="preserve">Neuroimaging Analysis Tools (fMRI pain circuit activation, DTI white matter integrity, PET dopamine transporter occupancy)</w:t>
      </w:r>
    </w:p>
    <w:p>
      <w:pPr>
        <w:pStyle w:val="ListParagraph"/>
        <w:numPr>
          <w:ilvl w:val="0"/>
          <w:numId w:val="2"/>
        </w:numPr>
        <w:spacing w:after="100" w:line="360"/>
      </w:pPr>
      <w:r>
        <w:rPr>
          <w:rFonts w:ascii="Arial" w:cs="Arial" w:eastAsia="Arial" w:hAnsi="Arial"/>
          <w:sz w:val="24"/>
          <w:szCs w:val="24"/>
        </w:rPr>
        <w:t xml:space="preserve">Health Economic Model (cost-effectiveness analysis, development cost projections, commercialization potential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2026-03-04T02:24:34.100Z</dcterms:created>
  <dcterms:modified xsi:type="dcterms:W3CDTF">2026-03-04T02:24:34.100Z</dcterms:modified>
</cp:coreProperties>
</file>

<file path=docProps/custom.xml><?xml version="1.0" encoding="utf-8"?>
<Properties xmlns="http://schemas.openxmlformats.org/officeDocument/2006/custom-properties" xmlns:vt="http://schemas.openxmlformats.org/officeDocument/2006/docPropsVTypes"/>
</file>