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before="0"/>
      </w:pPr>
      <w:r>
        <w:rPr>
          <w:rFonts w:ascii="Arial" w:cs="Arial" w:eastAsia="Arial" w:hAnsi="Arial"/>
          <w:b/>
          <w:bCs/>
          <w:sz w:val="32"/>
          <w:szCs w:val="32"/>
        </w:rPr>
        <w:t xml:space="preserve">Sapphire Pipeline Workflow: Nav1.7 GOF Antipodal Drug Discovery</w:t>
      </w:r>
    </w:p>
    <w:p>
      <w:pPr>
        <w:spacing w:after="200" w:line="360"/>
      </w:pPr>
      <w:r>
        <w:rPr>
          <w:rFonts w:ascii="Arial" w:cs="Arial" w:eastAsia="Arial" w:hAnsi="Arial"/>
          <w:b/>
          <w:bCs/>
          <w:sz w:val="24"/>
          <w:szCs w:val="24"/>
        </w:rPr>
        <w:t xml:space="preserve">Prompt: </w:t>
      </w:r>
      <w:r>
        <w:rPr>
          <w:rFonts w:ascii="Arial" w:cs="Arial" w:eastAsia="Arial" w:hAnsi="Arial"/>
          <w:sz w:val="24"/>
          <w:szCs w:val="24"/>
        </w:rPr>
        <w:t xml:space="preserve">Find drugs antipodal to CRISPR Nav1.7 GOF phenotype.</w:t>
      </w:r>
    </w:p>
    <w:p>
      <w:pPr>
        <w:spacing w:after="200" w:line="360"/>
      </w:pPr>
      <w:r>
        <w:rPr>
          <w:rFonts w:ascii="Arial" w:cs="Arial" w:eastAsia="Arial" w:hAnsi="Arial"/>
          <w:sz w:val="24"/>
          <w:szCs w:val="24"/>
        </w:rPr>
        <w:t xml:space="preserve">This pipeline identifies compounds that produce phenotypically opposite signatures to Nav1.7 (SCN9A) gain-of-function CRISPR perturbations in the Quiver Bioscience electrophysiology CRISPR atlas. The pipeline leverages ~18,000 gene perturbations and 3,500 compound perturbations to screen for drugs that invert the hyperexcitability signature characteristic of Nav1.7 GOF mutations seen in erythromelalgia and paroxysmal extreme pain disorder (PEPD).</w:t>
      </w:r>
    </w:p>
    <w:p>
      <w:pPr>
        <w:spacing w:after="200" w:line="360"/>
      </w:pPr>
      <w:r>
        <w:rPr>
          <w:rFonts w:ascii="Arial" w:cs="Arial" w:eastAsia="Arial" w:hAnsi="Arial"/>
          <w:sz w:val="24"/>
          <w:szCs w:val="24"/>
        </w:rPr>
        <w:t xml:space="preserve">By mapping antipodal phenotypes—compounds that produce electrophysiological signatures opposite to Nav1.7 GOF—this pipeline identifies potential therapeutic candidates without directly inhibiting Nav1.7. This approach enables discovery of downstream modulators and compensatory pathway activators that normalize neuron firing patterns, action potential kinetics, and resting membrane potential in Nav1.7 GOF dorsal root ganglion neurons.</w:t>
      </w:r>
    </w:p>
    <w:p>
      <w:pPr>
        <w:pStyle w:val="Heading2"/>
        <w:spacing w:after="200" w:before="200"/>
      </w:pPr>
      <w:r>
        <w:rPr>
          <w:rFonts w:ascii="Arial" w:cs="Arial" w:eastAsia="Arial" w:hAnsi="Arial"/>
          <w:b/>
          <w:bCs/>
          <w:sz w:val="28"/>
          <w:szCs w:val="28"/>
        </w:rPr>
        <w:t xml:space="preserve">Pipeline Overview</w:t>
      </w:r>
    </w:p>
    <w:p>
      <w:pPr>
        <w:spacing w:after="200" w:line="360"/>
      </w:pPr>
      <w:r>
        <w:rPr>
          <w:rFonts w:ascii="Arial" w:cs="Arial" w:eastAsia="Arial" w:hAnsi="Arial"/>
          <w:sz w:val="24"/>
          <w:szCs w:val="24"/>
        </w:rPr>
        <w:t xml:space="preserve">Nav1.7 GOF Antipodal Drug Discovery stage 1 overview. This pipeline component addresses critical aspects of the drug discovery workflow, integrating electrophysiological phenotyping with mechanistic target identification and clinical validation. The stage incorporates 500+ features per neuron and quantitative metrics for ranking compounds by therapeutic potential.</w:t>
      </w:r>
    </w:p>
    <w:p>
      <w:pPr>
        <w:spacing w:after="200" w:line="360"/>
      </w:pPr>
      <w:r>
        <w:rPr>
          <w:rFonts w:ascii="Arial" w:cs="Arial" w:eastAsia="Arial" w:hAnsi="Arial"/>
          <w:sz w:val="24"/>
          <w:szCs w:val="24"/>
        </w:rPr>
        <w:t xml:space="preserve">Nav1.7 GOF Antipodal Drug Discovery stage 2 overview. This pipeline component addresses critical aspects of the drug discovery workflow, integrating electrophysiological phenotyping with mechanistic target identification and clinical validation. The stage incorporates 500+ features per neuron and quantitative metrics for ranking compounds by therapeutic potential.</w:t>
      </w:r>
    </w:p>
    <w:p>
      <w:pPr>
        <w:pStyle w:val="Heading2"/>
        <w:spacing w:after="200" w:before="200"/>
      </w:pPr>
      <w:r>
        <w:rPr>
          <w:rFonts w:ascii="Arial" w:cs="Arial" w:eastAsia="Arial" w:hAnsi="Arial"/>
          <w:b/>
          <w:bCs/>
          <w:sz w:val="28"/>
          <w:szCs w:val="28"/>
        </w:rPr>
        <w:t xml:space="preserve">Stage 1: EP Phenotype Extraction &amp; Nav1.7 GOF Signature Definition</w:t>
      </w:r>
    </w:p>
    <w:p>
      <w:pPr>
        <w:spacing w:after="200" w:line="360"/>
      </w:pPr>
      <w:r>
        <w:rPr>
          <w:rFonts w:ascii="Arial" w:cs="Arial" w:eastAsia="Arial" w:hAnsi="Arial"/>
          <w:b/>
          <w:bCs/>
          <w:sz w:val="24"/>
          <w:szCs w:val="24"/>
        </w:rPr>
        <w:t xml:space="preserve">Purpose: </w:t>
      </w:r>
      <w:r>
        <w:rPr>
          <w:rFonts w:ascii="Arial" w:cs="Arial" w:eastAsia="Arial" w:hAnsi="Arial"/>
          <w:sz w:val="24"/>
          <w:szCs w:val="24"/>
        </w:rPr>
        <w:t xml:space="preserve">Extract high-dimensional electrophysiological signatures from CRISPR Nav1.7 GOF neurons and establish baseline hyperexcitability metrics for antipodal screening.</w:t>
      </w:r>
    </w:p>
    <w:p>
      <w:pPr>
        <w:spacing w:after="100" w:line="360"/>
      </w:pPr>
      <w:r>
        <w:rPr>
          <w:rFonts w:ascii="Arial" w:cs="Arial" w:eastAsia="Arial" w:hAnsi="Arial"/>
          <w:b/>
          <w:bCs/>
          <w:sz w:val="24"/>
          <w:szCs w:val="24"/>
        </w:rPr>
        <w:t xml:space="preserve">Inputs:</w:t>
      </w:r>
    </w:p>
    <w:p>
      <w:pPr>
        <w:pStyle w:val="ListParagraph"/>
        <w:numPr>
          <w:ilvl w:val="0"/>
          <w:numId w:val="2"/>
        </w:numPr>
        <w:spacing w:after="100" w:line="360"/>
      </w:pPr>
      <w:r>
        <w:rPr>
          <w:rFonts w:ascii="Arial" w:cs="Arial" w:eastAsia="Arial" w:hAnsi="Arial"/>
          <w:sz w:val="24"/>
          <w:szCs w:val="24"/>
        </w:rPr>
        <w:t xml:space="preserve">Raw patch-clamp electrophysiology recordings from Nav1.7 GOF CRISPR-edited DRG neurons (n=500+ cells)</w:t>
      </w:r>
    </w:p>
    <w:p>
      <w:pPr>
        <w:pStyle w:val="ListParagraph"/>
        <w:numPr>
          <w:ilvl w:val="0"/>
          <w:numId w:val="2"/>
        </w:numPr>
        <w:spacing w:after="100" w:line="360"/>
      </w:pPr>
      <w:r>
        <w:rPr>
          <w:rFonts w:ascii="Arial" w:cs="Arial" w:eastAsia="Arial" w:hAnsi="Arial"/>
          <w:sz w:val="24"/>
          <w:szCs w:val="24"/>
        </w:rPr>
        <w:t xml:space="preserve">500+ extracted EP features per neuron (action potential amplitude, threshold, duration, firing frequency, after-hyperpolarization, sodium/potassium current ratios)</w:t>
      </w:r>
    </w:p>
    <w:p>
      <w:pPr>
        <w:pStyle w:val="ListParagraph"/>
        <w:numPr>
          <w:ilvl w:val="0"/>
          <w:numId w:val="2"/>
        </w:numPr>
        <w:spacing w:after="100" w:line="360"/>
      </w:pPr>
      <w:r>
        <w:rPr>
          <w:rFonts w:ascii="Arial" w:cs="Arial" w:eastAsia="Arial" w:hAnsi="Arial"/>
          <w:sz w:val="24"/>
          <w:szCs w:val="24"/>
        </w:rPr>
        <w:t xml:space="preserve">Control wild-type DRG neuron EP feature distributions (n=1000+ cells)</w:t>
      </w:r>
    </w:p>
    <w:p>
      <w:pPr>
        <w:pStyle w:val="ListParagraph"/>
        <w:numPr>
          <w:ilvl w:val="0"/>
          <w:numId w:val="2"/>
        </w:numPr>
        <w:spacing w:after="100" w:line="360"/>
      </w:pPr>
      <w:r>
        <w:rPr>
          <w:rFonts w:ascii="Arial" w:cs="Arial" w:eastAsia="Arial" w:hAnsi="Arial"/>
          <w:sz w:val="24"/>
          <w:szCs w:val="24"/>
        </w:rPr>
        <w:t xml:space="preserve">CRISPR perturbation metadata and validation scores from genomic sequencing</w:t>
      </w:r>
    </w:p>
    <w:p>
      <w:pPr>
        <w:pStyle w:val="ListParagraph"/>
        <w:numPr>
          <w:ilvl w:val="0"/>
          <w:numId w:val="2"/>
        </w:numPr>
        <w:spacing w:after="100" w:line="360"/>
      </w:pPr>
      <w:r>
        <w:rPr>
          <w:rFonts w:ascii="Arial" w:cs="Arial" w:eastAsia="Arial" w:hAnsi="Arial"/>
          <w:sz w:val="24"/>
          <w:szCs w:val="24"/>
        </w:rPr>
        <w:t xml:space="preserve">Temperature and culture condition normalization parameters</w:t>
      </w:r>
    </w:p>
    <w:p>
      <w:pPr>
        <w:spacing w:after="100" w:line="360"/>
      </w:pPr>
      <w:r>
        <w:rPr>
          <w:rFonts w:ascii="Arial" w:cs="Arial" w:eastAsia="Arial" w:hAnsi="Arial"/>
          <w:b/>
          <w:bCs/>
          <w:sz w:val="24"/>
          <w:szCs w:val="24"/>
        </w:rPr>
        <w:t xml:space="preserve">Tools &amp; Databases Called:</w:t>
      </w:r>
    </w:p>
    <w:p>
      <w:pPr>
        <w:pStyle w:val="ListParagraph"/>
        <w:numPr>
          <w:ilvl w:val="0"/>
          <w:numId w:val="2"/>
        </w:numPr>
        <w:spacing w:after="100" w:line="360"/>
      </w:pPr>
      <w:r>
        <w:rPr>
          <w:rFonts w:ascii="Arial" w:cs="Arial" w:eastAsia="Arial" w:hAnsi="Arial"/>
          <w:sz w:val="24"/>
          <w:szCs w:val="24"/>
        </w:rPr>
        <w:t xml:space="preserve">Quiver Bioscience EP CRISPR Atlas database (Nav1.7 GOF subset queries)</w:t>
      </w:r>
    </w:p>
    <w:p>
      <w:pPr>
        <w:pStyle w:val="ListParagraph"/>
        <w:numPr>
          <w:ilvl w:val="0"/>
          <w:numId w:val="2"/>
        </w:numPr>
        <w:spacing w:after="100" w:line="360"/>
      </w:pPr>
      <w:r>
        <w:rPr>
          <w:rFonts w:ascii="Arial" w:cs="Arial" w:eastAsia="Arial" w:hAnsi="Arial"/>
          <w:sz w:val="24"/>
          <w:szCs w:val="24"/>
        </w:rPr>
        <w:t xml:space="preserve">Ephys.io feature extraction pipeline (500+ automated EP metric calculations)</w:t>
      </w:r>
    </w:p>
    <w:p>
      <w:pPr>
        <w:pStyle w:val="ListParagraph"/>
        <w:numPr>
          <w:ilvl w:val="0"/>
          <w:numId w:val="2"/>
        </w:numPr>
        <w:spacing w:after="100" w:line="360"/>
      </w:pPr>
      <w:r>
        <w:rPr>
          <w:rFonts w:ascii="Arial" w:cs="Arial" w:eastAsia="Arial" w:hAnsi="Arial"/>
          <w:sz w:val="24"/>
          <w:szCs w:val="24"/>
        </w:rPr>
        <w:t xml:space="preserve">Principal Component Analysis (PCA) dimensionality reduction module</w:t>
      </w:r>
    </w:p>
    <w:p>
      <w:pPr>
        <w:pStyle w:val="ListParagraph"/>
        <w:numPr>
          <w:ilvl w:val="0"/>
          <w:numId w:val="2"/>
        </w:numPr>
        <w:spacing w:after="100" w:line="360"/>
      </w:pPr>
      <w:r>
        <w:rPr>
          <w:rFonts w:ascii="Arial" w:cs="Arial" w:eastAsia="Arial" w:hAnsi="Arial"/>
          <w:sz w:val="24"/>
          <w:szCs w:val="24"/>
        </w:rPr>
        <w:t xml:space="preserve">Statistical phenotype distance calculation (Euclidean/Mahalanobis metrics)</w:t>
      </w:r>
    </w:p>
    <w:p>
      <w:pPr>
        <w:pStyle w:val="ListParagraph"/>
        <w:numPr>
          <w:ilvl w:val="0"/>
          <w:numId w:val="2"/>
        </w:numPr>
        <w:spacing w:after="100" w:line="360"/>
      </w:pPr>
      <w:r>
        <w:rPr>
          <w:rFonts w:ascii="Arial" w:cs="Arial" w:eastAsia="Arial" w:hAnsi="Arial"/>
          <w:sz w:val="24"/>
          <w:szCs w:val="24"/>
        </w:rPr>
        <w:t xml:space="preserve">Electrophysiology signal processing toolkit (filtering, spike detection, kinetics analysis)</w:t>
      </w:r>
    </w:p>
    <w:p>
      <w:pPr>
        <w:pStyle w:val="ListParagraph"/>
        <w:numPr>
          <w:ilvl w:val="0"/>
          <w:numId w:val="2"/>
        </w:numPr>
        <w:spacing w:after="100" w:line="360"/>
      </w:pPr>
      <w:r>
        <w:rPr>
          <w:rFonts w:ascii="Arial" w:cs="Arial" w:eastAsia="Arial" w:hAnsi="Arial"/>
          <w:sz w:val="24"/>
          <w:szCs w:val="24"/>
        </w:rPr>
        <w:t xml:space="preserve">Neo-based Python electrophysiology data standardization framework</w:t>
      </w:r>
    </w:p>
    <w:p>
      <w:pPr>
        <w:spacing w:after="100" w:line="360"/>
      </w:pPr>
      <w:r>
        <w:rPr>
          <w:rFonts w:ascii="Arial" w:cs="Arial" w:eastAsia="Arial" w:hAnsi="Arial"/>
          <w:b/>
          <w:bCs/>
          <w:sz w:val="24"/>
          <w:szCs w:val="24"/>
        </w:rPr>
        <w:t xml:space="preserve">Exemplary Sub-Prompts:</w:t>
      </w:r>
    </w:p>
    <w:p>
      <w:pPr>
        <w:pStyle w:val="ListParagraph"/>
        <w:numPr>
          <w:ilvl w:val="0"/>
          <w:numId w:val="2"/>
        </w:numPr>
        <w:spacing w:after="100" w:line="360"/>
      </w:pPr>
      <w:r>
        <w:rPr>
          <w:rFonts w:ascii="Arial" w:cs="Arial" w:eastAsia="Arial" w:hAnsi="Arial"/>
          <w:sz w:val="24"/>
          <w:szCs w:val="24"/>
        </w:rPr>
        <w:t xml:space="preserve">Calculate mean EP feature vectors for Nav1.7 GOF neurons across all 500+ metrics</w:t>
      </w:r>
    </w:p>
    <w:p>
      <w:pPr>
        <w:pStyle w:val="ListParagraph"/>
        <w:numPr>
          <w:ilvl w:val="0"/>
          <w:numId w:val="2"/>
        </w:numPr>
        <w:spacing w:after="100" w:line="360"/>
      </w:pPr>
      <w:r>
        <w:rPr>
          <w:rFonts w:ascii="Arial" w:cs="Arial" w:eastAsia="Arial" w:hAnsi="Arial"/>
          <w:sz w:val="24"/>
          <w:szCs w:val="24"/>
        </w:rPr>
        <w:t xml:space="preserve">Identify the top 50 EP features most dysregulated in Nav1.7 GOF (variance &gt;3 SD from WT)</w:t>
      </w:r>
    </w:p>
    <w:p>
      <w:pPr>
        <w:pStyle w:val="ListParagraph"/>
        <w:numPr>
          <w:ilvl w:val="0"/>
          <w:numId w:val="2"/>
        </w:numPr>
        <w:spacing w:after="100" w:line="360"/>
      </w:pPr>
      <w:r>
        <w:rPr>
          <w:rFonts w:ascii="Arial" w:cs="Arial" w:eastAsia="Arial" w:hAnsi="Arial"/>
          <w:sz w:val="24"/>
          <w:szCs w:val="24"/>
        </w:rPr>
        <w:t xml:space="preserve">Generate PCA-reduced 2D/3D projections of Nav1.7 GOF phenotype space</w:t>
      </w:r>
    </w:p>
    <w:p>
      <w:pPr>
        <w:pStyle w:val="ListParagraph"/>
        <w:numPr>
          <w:ilvl w:val="0"/>
          <w:numId w:val="2"/>
        </w:numPr>
        <w:spacing w:after="100" w:line="360"/>
      </w:pPr>
      <w:r>
        <w:rPr>
          <w:rFonts w:ascii="Arial" w:cs="Arial" w:eastAsia="Arial" w:hAnsi="Arial"/>
          <w:sz w:val="24"/>
          <w:szCs w:val="24"/>
        </w:rPr>
        <w:t xml:space="preserve">Compute phenotypic distance thresholds defining 'antipodal' (&gt;2.5 SD opposite direction)</w:t>
      </w:r>
    </w:p>
    <w:p>
      <w:pPr>
        <w:pStyle w:val="ListParagraph"/>
        <w:numPr>
          <w:ilvl w:val="0"/>
          <w:numId w:val="2"/>
        </w:numPr>
        <w:spacing w:after="100" w:line="360"/>
      </w:pPr>
      <w:r>
        <w:rPr>
          <w:rFonts w:ascii="Arial" w:cs="Arial" w:eastAsia="Arial" w:hAnsi="Arial"/>
          <w:sz w:val="24"/>
          <w:szCs w:val="24"/>
        </w:rPr>
        <w:t xml:space="preserve">Establish firing frequency, AP amplitude, and threshold baseline metrics for Nav1.7 GOF</w:t>
      </w:r>
    </w:p>
    <w:p>
      <w:pPr>
        <w:spacing w:after="100" w:line="360"/>
      </w:pPr>
      <w:r>
        <w:rPr>
          <w:rFonts w:ascii="Arial" w:cs="Arial" w:eastAsia="Arial" w:hAnsi="Arial"/>
          <w:b/>
          <w:bCs/>
          <w:sz w:val="24"/>
          <w:szCs w:val="24"/>
        </w:rPr>
        <w:t xml:space="preserve">Expected Outputs:</w:t>
      </w:r>
    </w:p>
    <w:p>
      <w:pPr>
        <w:pStyle w:val="ListParagraph"/>
        <w:numPr>
          <w:ilvl w:val="0"/>
          <w:numId w:val="2"/>
        </w:numPr>
        <w:spacing w:after="100" w:line="360"/>
      </w:pPr>
      <w:r>
        <w:rPr>
          <w:rFonts w:ascii="Arial" w:cs="Arial" w:eastAsia="Arial" w:hAnsi="Arial"/>
          <w:sz w:val="24"/>
          <w:szCs w:val="24"/>
        </w:rPr>
        <w:t xml:space="preserve">Quantified Nav1.7 GOF phenotype signature (50 dysregulated EP features with effect sizes)</w:t>
      </w:r>
    </w:p>
    <w:p>
      <w:pPr>
        <w:pStyle w:val="ListParagraph"/>
        <w:numPr>
          <w:ilvl w:val="0"/>
          <w:numId w:val="2"/>
        </w:numPr>
        <w:spacing w:after="100" w:line="360"/>
      </w:pPr>
      <w:r>
        <w:rPr>
          <w:rFonts w:ascii="Arial" w:cs="Arial" w:eastAsia="Arial" w:hAnsi="Arial"/>
          <w:sz w:val="24"/>
          <w:szCs w:val="24"/>
        </w:rPr>
        <w:t xml:space="preserve">Mean feature vector and covariance matrix for Nav1.7 GOF neurons</w:t>
      </w:r>
    </w:p>
    <w:p>
      <w:pPr>
        <w:pStyle w:val="ListParagraph"/>
        <w:numPr>
          <w:ilvl w:val="0"/>
          <w:numId w:val="2"/>
        </w:numPr>
        <w:spacing w:after="100" w:line="360"/>
      </w:pPr>
      <w:r>
        <w:rPr>
          <w:rFonts w:ascii="Arial" w:cs="Arial" w:eastAsia="Arial" w:hAnsi="Arial"/>
          <w:sz w:val="24"/>
          <w:szCs w:val="24"/>
        </w:rPr>
        <w:t xml:space="preserve">PCA-reduced phenotype space map (PC1-PC3 coordinates for 500+ Nav1.7 GOF cells)</w:t>
      </w:r>
    </w:p>
    <w:p>
      <w:pPr>
        <w:pStyle w:val="ListParagraph"/>
        <w:numPr>
          <w:ilvl w:val="0"/>
          <w:numId w:val="2"/>
        </w:numPr>
        <w:spacing w:after="100" w:line="360"/>
      </w:pPr>
      <w:r>
        <w:rPr>
          <w:rFonts w:ascii="Arial" w:cs="Arial" w:eastAsia="Arial" w:hAnsi="Arial"/>
          <w:sz w:val="24"/>
          <w:szCs w:val="24"/>
        </w:rPr>
        <w:t xml:space="preserve">Statistical threshold definitions for antipodal phenotypes (distance metrics, confidence intervals)</w:t>
      </w:r>
    </w:p>
    <w:p>
      <w:pPr>
        <w:pStyle w:val="ListParagraph"/>
        <w:numPr>
          <w:ilvl w:val="0"/>
          <w:numId w:val="2"/>
        </w:numPr>
        <w:spacing w:after="100" w:line="360"/>
      </w:pPr>
      <w:r>
        <w:rPr>
          <w:rFonts w:ascii="Arial" w:cs="Arial" w:eastAsia="Arial" w:hAnsi="Arial"/>
          <w:sz w:val="24"/>
          <w:szCs w:val="24"/>
        </w:rPr>
        <w:t xml:space="preserve">Baseline reference distributions for normal DRG neuron EP function</w:t>
      </w:r>
    </w:p>
    <w:p>
      <w:pPr>
        <w:pStyle w:val="ListParagraph"/>
        <w:numPr>
          <w:ilvl w:val="0"/>
          <w:numId w:val="2"/>
        </w:numPr>
        <w:spacing w:after="100" w:line="360"/>
      </w:pPr>
      <w:r>
        <w:rPr>
          <w:rFonts w:ascii="Arial" w:cs="Arial" w:eastAsia="Arial" w:hAnsi="Arial"/>
          <w:sz w:val="24"/>
          <w:szCs w:val="24"/>
        </w:rPr>
        <w:t xml:space="preserve">Quality control report: cell viability, recording quality, technical artifact filtering</w:t>
      </w:r>
    </w:p>
    <w:p>
      <w:pPr>
        <w:spacing w:after="200" w:line="360"/>
      </w:pPr>
      <w:r>
        <w:rPr>
          <w:rFonts w:ascii="Arial" w:cs="Arial" w:eastAsia="Arial" w:hAnsi="Arial"/>
          <w:b/>
          <w:bCs/>
          <w:sz w:val="24"/>
          <w:szCs w:val="24"/>
        </w:rPr>
        <w:t xml:space="preserve">Format: </w:t>
      </w:r>
      <w:r>
        <w:rPr>
          <w:rFonts w:ascii="Arial" w:cs="Arial" w:eastAsia="Arial" w:hAnsi="Arial"/>
          <w:sz w:val="24"/>
          <w:szCs w:val="24"/>
        </w:rPr>
        <w:t xml:space="preserve">Structured JSON/CSV with feature vectors, PCA coordinates, statistical thresholds; tabulated baseline metrics; visualization plots (scatter, distribution, heatmap)</w:t>
      </w:r>
    </w:p>
    <w:p>
      <w:pPr>
        <w:pStyle w:val="Heading2"/>
        <w:spacing w:after="200" w:before="200"/>
      </w:pPr>
      <w:r>
        <w:rPr>
          <w:rFonts w:ascii="Arial" w:cs="Arial" w:eastAsia="Arial" w:hAnsi="Arial"/>
          <w:b/>
          <w:bCs/>
          <w:sz w:val="28"/>
          <w:szCs w:val="28"/>
        </w:rPr>
        <w:t xml:space="preserve">Stage 2: Compound Library Screening &amp; Antipodal Phenotype Scoring</w:t>
      </w:r>
    </w:p>
    <w:p>
      <w:pPr>
        <w:spacing w:after="200" w:line="360"/>
      </w:pPr>
      <w:r>
        <w:rPr>
          <w:rFonts w:ascii="Arial" w:cs="Arial" w:eastAsia="Arial" w:hAnsi="Arial"/>
          <w:b/>
          <w:bCs/>
          <w:sz w:val="24"/>
          <w:szCs w:val="24"/>
        </w:rPr>
        <w:t xml:space="preserve">Purpose: </w:t>
      </w:r>
      <w:r>
        <w:rPr>
          <w:rFonts w:ascii="Arial" w:cs="Arial" w:eastAsia="Arial" w:hAnsi="Arial"/>
          <w:sz w:val="24"/>
          <w:szCs w:val="24"/>
        </w:rPr>
        <w:t xml:space="preserve">Screen 3,500 compound perturbations against the Nav1.7 GOF phenotype to identify drugs producing antipodal EP signatures with high statistical confidence.</w:t>
      </w:r>
    </w:p>
    <w:p>
      <w:pPr>
        <w:spacing w:after="100" w:line="360"/>
      </w:pPr>
      <w:r>
        <w:rPr>
          <w:rFonts w:ascii="Arial" w:cs="Arial" w:eastAsia="Arial" w:hAnsi="Arial"/>
          <w:b/>
          <w:bCs/>
          <w:sz w:val="24"/>
          <w:szCs w:val="24"/>
        </w:rPr>
        <w:t xml:space="preserve">Inputs:</w:t>
      </w:r>
    </w:p>
    <w:p>
      <w:pPr>
        <w:pStyle w:val="ListParagraph"/>
        <w:numPr>
          <w:ilvl w:val="0"/>
          <w:numId w:val="2"/>
        </w:numPr>
        <w:spacing w:after="100" w:line="360"/>
      </w:pPr>
      <w:r>
        <w:rPr>
          <w:rFonts w:ascii="Arial" w:cs="Arial" w:eastAsia="Arial" w:hAnsi="Arial"/>
          <w:sz w:val="24"/>
          <w:szCs w:val="24"/>
        </w:rPr>
        <w:t xml:space="preserve">3,500 compound perturbation EP profiles (each tested on 50-200 DRG neurons, 500+ features per neuron)</w:t>
      </w:r>
    </w:p>
    <w:p>
      <w:pPr>
        <w:pStyle w:val="ListParagraph"/>
        <w:numPr>
          <w:ilvl w:val="0"/>
          <w:numId w:val="2"/>
        </w:numPr>
        <w:spacing w:after="100" w:line="360"/>
      </w:pPr>
      <w:r>
        <w:rPr>
          <w:rFonts w:ascii="Arial" w:cs="Arial" w:eastAsia="Arial" w:hAnsi="Arial"/>
          <w:sz w:val="24"/>
          <w:szCs w:val="24"/>
        </w:rPr>
        <w:t xml:space="preserve">Nav1.7 GOF reference phenotype vector and distance thresholds from Stage 1</w:t>
      </w:r>
    </w:p>
    <w:p>
      <w:pPr>
        <w:pStyle w:val="ListParagraph"/>
        <w:numPr>
          <w:ilvl w:val="0"/>
          <w:numId w:val="2"/>
        </w:numPr>
        <w:spacing w:after="100" w:line="360"/>
      </w:pPr>
      <w:r>
        <w:rPr>
          <w:rFonts w:ascii="Arial" w:cs="Arial" w:eastAsia="Arial" w:hAnsi="Arial"/>
          <w:sz w:val="24"/>
          <w:szCs w:val="24"/>
        </w:rPr>
        <w:t xml:space="preserve">Compound chemical structures, SMILES strings, and pharmacophore data</w:t>
      </w:r>
    </w:p>
    <w:p>
      <w:pPr>
        <w:pStyle w:val="ListParagraph"/>
        <w:numPr>
          <w:ilvl w:val="0"/>
          <w:numId w:val="2"/>
        </w:numPr>
        <w:spacing w:after="100" w:line="360"/>
      </w:pPr>
      <w:r>
        <w:rPr>
          <w:rFonts w:ascii="Arial" w:cs="Arial" w:eastAsia="Arial" w:hAnsi="Arial"/>
          <w:sz w:val="24"/>
          <w:szCs w:val="24"/>
        </w:rPr>
        <w:t xml:space="preserve">Known drug targets and mechanism of action annotations</w:t>
      </w:r>
    </w:p>
    <w:p>
      <w:pPr>
        <w:pStyle w:val="ListParagraph"/>
        <w:numPr>
          <w:ilvl w:val="0"/>
          <w:numId w:val="2"/>
        </w:numPr>
        <w:spacing w:after="100" w:line="360"/>
      </w:pPr>
      <w:r>
        <w:rPr>
          <w:rFonts w:ascii="Arial" w:cs="Arial" w:eastAsia="Arial" w:hAnsi="Arial"/>
          <w:sz w:val="24"/>
          <w:szCs w:val="24"/>
        </w:rPr>
        <w:t xml:space="preserve">Concentration-response EP curve data for lead compounds</w:t>
      </w:r>
    </w:p>
    <w:p>
      <w:pPr>
        <w:spacing w:after="100" w:line="360"/>
      </w:pPr>
      <w:r>
        <w:rPr>
          <w:rFonts w:ascii="Arial" w:cs="Arial" w:eastAsia="Arial" w:hAnsi="Arial"/>
          <w:b/>
          <w:bCs/>
          <w:sz w:val="24"/>
          <w:szCs w:val="24"/>
        </w:rPr>
        <w:t xml:space="preserve">Tools &amp; Databases Called:</w:t>
      </w:r>
    </w:p>
    <w:p>
      <w:pPr>
        <w:pStyle w:val="ListParagraph"/>
        <w:numPr>
          <w:ilvl w:val="0"/>
          <w:numId w:val="2"/>
        </w:numPr>
        <w:spacing w:after="100" w:line="360"/>
      </w:pPr>
      <w:r>
        <w:rPr>
          <w:rFonts w:ascii="Arial" w:cs="Arial" w:eastAsia="Arial" w:hAnsi="Arial"/>
          <w:sz w:val="24"/>
          <w:szCs w:val="24"/>
        </w:rPr>
        <w:t xml:space="preserve">Quiver compound perturbation database (full 3,500 compound EP profiles)</w:t>
      </w:r>
    </w:p>
    <w:p>
      <w:pPr>
        <w:pStyle w:val="ListParagraph"/>
        <w:numPr>
          <w:ilvl w:val="0"/>
          <w:numId w:val="2"/>
        </w:numPr>
        <w:spacing w:after="100" w:line="360"/>
      </w:pPr>
      <w:r>
        <w:rPr>
          <w:rFonts w:ascii="Arial" w:cs="Arial" w:eastAsia="Arial" w:hAnsi="Arial"/>
          <w:sz w:val="24"/>
          <w:szCs w:val="24"/>
        </w:rPr>
        <w:t xml:space="preserve">Scikit-learn phenotypic distance calculation (vectorized Euclidean/cosine similarity)</w:t>
      </w:r>
    </w:p>
    <w:p>
      <w:pPr>
        <w:pStyle w:val="ListParagraph"/>
        <w:numPr>
          <w:ilvl w:val="0"/>
          <w:numId w:val="2"/>
        </w:numPr>
        <w:spacing w:after="100" w:line="360"/>
      </w:pPr>
      <w:r>
        <w:rPr>
          <w:rFonts w:ascii="Arial" w:cs="Arial" w:eastAsia="Arial" w:hAnsi="Arial"/>
          <w:sz w:val="24"/>
          <w:szCs w:val="24"/>
        </w:rPr>
        <w:t xml:space="preserve">Statistical significance testing module (Bonferroni-corrected t-tests, effect size estimation)</w:t>
      </w:r>
    </w:p>
    <w:p>
      <w:pPr>
        <w:pStyle w:val="ListParagraph"/>
        <w:numPr>
          <w:ilvl w:val="0"/>
          <w:numId w:val="2"/>
        </w:numPr>
        <w:spacing w:after="100" w:line="360"/>
      </w:pPr>
      <w:r>
        <w:rPr>
          <w:rFonts w:ascii="Arial" w:cs="Arial" w:eastAsia="Arial" w:hAnsi="Arial"/>
          <w:sz w:val="24"/>
          <w:szCs w:val="24"/>
        </w:rPr>
        <w:t xml:space="preserve">Multi-dimensional phenotype clustering (k-means, UMAP reduction)</w:t>
      </w:r>
    </w:p>
    <w:p>
      <w:pPr>
        <w:pStyle w:val="ListParagraph"/>
        <w:numPr>
          <w:ilvl w:val="0"/>
          <w:numId w:val="2"/>
        </w:numPr>
        <w:spacing w:after="100" w:line="360"/>
      </w:pPr>
      <w:r>
        <w:rPr>
          <w:rFonts w:ascii="Arial" w:cs="Arial" w:eastAsia="Arial" w:hAnsi="Arial"/>
          <w:sz w:val="24"/>
          <w:szCs w:val="24"/>
        </w:rPr>
        <w:t xml:space="preserve">Dose-response curve fitting (4-parameter logistic, Hill equation modeling)</w:t>
      </w:r>
    </w:p>
    <w:p>
      <w:pPr>
        <w:pStyle w:val="ListParagraph"/>
        <w:numPr>
          <w:ilvl w:val="0"/>
          <w:numId w:val="2"/>
        </w:numPr>
        <w:spacing w:after="100" w:line="360"/>
      </w:pPr>
      <w:r>
        <w:rPr>
          <w:rFonts w:ascii="Arial" w:cs="Arial" w:eastAsia="Arial" w:hAnsi="Arial"/>
          <w:sz w:val="24"/>
          <w:szCs w:val="24"/>
        </w:rPr>
        <w:t xml:space="preserve">Compound annotation enrichment pipeline (ChEMBL, DrugBank, PubChem integration)</w:t>
      </w:r>
    </w:p>
    <w:p>
      <w:pPr>
        <w:spacing w:after="100" w:line="360"/>
      </w:pPr>
      <w:r>
        <w:rPr>
          <w:rFonts w:ascii="Arial" w:cs="Arial" w:eastAsia="Arial" w:hAnsi="Arial"/>
          <w:b/>
          <w:bCs/>
          <w:sz w:val="24"/>
          <w:szCs w:val="24"/>
        </w:rPr>
        <w:t xml:space="preserve">Exemplary Sub-Prompts:</w:t>
      </w:r>
    </w:p>
    <w:p>
      <w:pPr>
        <w:pStyle w:val="ListParagraph"/>
        <w:numPr>
          <w:ilvl w:val="0"/>
          <w:numId w:val="2"/>
        </w:numPr>
        <w:spacing w:after="100" w:line="360"/>
      </w:pPr>
      <w:r>
        <w:rPr>
          <w:rFonts w:ascii="Arial" w:cs="Arial" w:eastAsia="Arial" w:hAnsi="Arial"/>
          <w:sz w:val="24"/>
          <w:szCs w:val="24"/>
        </w:rPr>
        <w:t xml:space="preserve">Calculate phenotypic distance from each of 3,500 compounds to Nav1.7 GOF signature</w:t>
      </w:r>
    </w:p>
    <w:p>
      <w:pPr>
        <w:pStyle w:val="ListParagraph"/>
        <w:numPr>
          <w:ilvl w:val="0"/>
          <w:numId w:val="2"/>
        </w:numPr>
        <w:spacing w:after="100" w:line="360"/>
      </w:pPr>
      <w:r>
        <w:rPr>
          <w:rFonts w:ascii="Arial" w:cs="Arial" w:eastAsia="Arial" w:hAnsi="Arial"/>
          <w:sz w:val="24"/>
          <w:szCs w:val="24"/>
        </w:rPr>
        <w:t xml:space="preserve">Rank compounds by antipodal score (inverse distance, corrected for multiple testing)</w:t>
      </w:r>
    </w:p>
    <w:p>
      <w:pPr>
        <w:pStyle w:val="ListParagraph"/>
        <w:numPr>
          <w:ilvl w:val="0"/>
          <w:numId w:val="2"/>
        </w:numPr>
        <w:spacing w:after="100" w:line="360"/>
      </w:pPr>
      <w:r>
        <w:rPr>
          <w:rFonts w:ascii="Arial" w:cs="Arial" w:eastAsia="Arial" w:hAnsi="Arial"/>
          <w:sz w:val="24"/>
          <w:szCs w:val="24"/>
        </w:rPr>
        <w:t xml:space="preserve">Identify top 100 antipodal compounds and calculate 95% confidence intervals for distance metrics</w:t>
      </w:r>
    </w:p>
    <w:p>
      <w:pPr>
        <w:pStyle w:val="ListParagraph"/>
        <w:numPr>
          <w:ilvl w:val="0"/>
          <w:numId w:val="2"/>
        </w:numPr>
        <w:spacing w:after="100" w:line="360"/>
      </w:pPr>
      <w:r>
        <w:rPr>
          <w:rFonts w:ascii="Arial" w:cs="Arial" w:eastAsia="Arial" w:hAnsi="Arial"/>
          <w:sz w:val="24"/>
          <w:szCs w:val="24"/>
        </w:rPr>
        <w:t xml:space="preserve">Cluster antipodal compounds by EP phenotype to detect convergent drug mechanisms</w:t>
      </w:r>
    </w:p>
    <w:p>
      <w:pPr>
        <w:pStyle w:val="ListParagraph"/>
        <w:numPr>
          <w:ilvl w:val="0"/>
          <w:numId w:val="2"/>
        </w:numPr>
        <w:spacing w:after="100" w:line="360"/>
      </w:pPr>
      <w:r>
        <w:rPr>
          <w:rFonts w:ascii="Arial" w:cs="Arial" w:eastAsia="Arial" w:hAnsi="Arial"/>
          <w:sz w:val="24"/>
          <w:szCs w:val="24"/>
        </w:rPr>
        <w:t xml:space="preserve">Generate dose-response curves for top 20 antipodal compounds, extracting EC50/IC50 values</w:t>
      </w:r>
    </w:p>
    <w:p>
      <w:pPr>
        <w:spacing w:after="100" w:line="360"/>
      </w:pPr>
      <w:r>
        <w:rPr>
          <w:rFonts w:ascii="Arial" w:cs="Arial" w:eastAsia="Arial" w:hAnsi="Arial"/>
          <w:b/>
          <w:bCs/>
          <w:sz w:val="24"/>
          <w:szCs w:val="24"/>
        </w:rPr>
        <w:t xml:space="preserve">Expected Outputs:</w:t>
      </w:r>
    </w:p>
    <w:p>
      <w:pPr>
        <w:pStyle w:val="ListParagraph"/>
        <w:numPr>
          <w:ilvl w:val="0"/>
          <w:numId w:val="2"/>
        </w:numPr>
        <w:spacing w:after="100" w:line="360"/>
      </w:pPr>
      <w:r>
        <w:rPr>
          <w:rFonts w:ascii="Arial" w:cs="Arial" w:eastAsia="Arial" w:hAnsi="Arial"/>
          <w:sz w:val="24"/>
          <w:szCs w:val="24"/>
        </w:rPr>
        <w:t xml:space="preserve">Ranked list of 3,500 compounds scored by antipodal phenotype distance (z-scores, p-values)</w:t>
      </w:r>
    </w:p>
    <w:p>
      <w:pPr>
        <w:pStyle w:val="ListParagraph"/>
        <w:numPr>
          <w:ilvl w:val="0"/>
          <w:numId w:val="2"/>
        </w:numPr>
        <w:spacing w:after="100" w:line="360"/>
      </w:pPr>
      <w:r>
        <w:rPr>
          <w:rFonts w:ascii="Arial" w:cs="Arial" w:eastAsia="Arial" w:hAnsi="Arial"/>
          <w:sz w:val="24"/>
          <w:szCs w:val="24"/>
        </w:rPr>
        <w:t xml:space="preserve">Top 100 antipodal compounds with detailed EP feature reversals (which 50 features normalized most)</w:t>
      </w:r>
    </w:p>
    <w:p>
      <w:pPr>
        <w:pStyle w:val="ListParagraph"/>
        <w:numPr>
          <w:ilvl w:val="0"/>
          <w:numId w:val="2"/>
        </w:numPr>
        <w:spacing w:after="100" w:line="360"/>
      </w:pPr>
      <w:r>
        <w:rPr>
          <w:rFonts w:ascii="Arial" w:cs="Arial" w:eastAsia="Arial" w:hAnsi="Arial"/>
          <w:sz w:val="24"/>
          <w:szCs w:val="24"/>
        </w:rPr>
        <w:t xml:space="preserve">Statistical significance matrix (Bonferroni-corrected, q&lt;0.05 threshold)</w:t>
      </w:r>
    </w:p>
    <w:p>
      <w:pPr>
        <w:pStyle w:val="ListParagraph"/>
        <w:numPr>
          <w:ilvl w:val="0"/>
          <w:numId w:val="2"/>
        </w:numPr>
        <w:spacing w:after="100" w:line="360"/>
      </w:pPr>
      <w:r>
        <w:rPr>
          <w:rFonts w:ascii="Arial" w:cs="Arial" w:eastAsia="Arial" w:hAnsi="Arial"/>
          <w:sz w:val="24"/>
          <w:szCs w:val="24"/>
        </w:rPr>
        <w:t xml:space="preserve">Dose-response parameters for top 50 leads (EC50, Hill coefficient, maximum effect)</w:t>
      </w:r>
    </w:p>
    <w:p>
      <w:pPr>
        <w:pStyle w:val="ListParagraph"/>
        <w:numPr>
          <w:ilvl w:val="0"/>
          <w:numId w:val="2"/>
        </w:numPr>
        <w:spacing w:after="100" w:line="360"/>
      </w:pPr>
      <w:r>
        <w:rPr>
          <w:rFonts w:ascii="Arial" w:cs="Arial" w:eastAsia="Arial" w:hAnsi="Arial"/>
          <w:sz w:val="24"/>
          <w:szCs w:val="24"/>
        </w:rPr>
        <w:t xml:space="preserve">Phenotype cluster assignments for antipodal compounds (5-8 distinct clusters)</w:t>
      </w:r>
    </w:p>
    <w:p>
      <w:pPr>
        <w:pStyle w:val="ListParagraph"/>
        <w:numPr>
          <w:ilvl w:val="0"/>
          <w:numId w:val="2"/>
        </w:numPr>
        <w:spacing w:after="100" w:line="360"/>
      </w:pPr>
      <w:r>
        <w:rPr>
          <w:rFonts w:ascii="Arial" w:cs="Arial" w:eastAsia="Arial" w:hAnsi="Arial"/>
          <w:sz w:val="24"/>
          <w:szCs w:val="24"/>
        </w:rPr>
        <w:t xml:space="preserve">Interactive volcano plot: antipodal score vs. effect size for all 3,500 compounds</w:t>
      </w:r>
    </w:p>
    <w:p>
      <w:pPr>
        <w:spacing w:after="200" w:line="360"/>
      </w:pPr>
      <w:r>
        <w:rPr>
          <w:rFonts w:ascii="Arial" w:cs="Arial" w:eastAsia="Arial" w:hAnsi="Arial"/>
          <w:b/>
          <w:bCs/>
          <w:sz w:val="24"/>
          <w:szCs w:val="24"/>
        </w:rPr>
        <w:t xml:space="preserve">Format: </w:t>
      </w:r>
      <w:r>
        <w:rPr>
          <w:rFonts w:ascii="Arial" w:cs="Arial" w:eastAsia="Arial" w:hAnsi="Arial"/>
          <w:sz w:val="24"/>
          <w:szCs w:val="24"/>
        </w:rPr>
        <w:t xml:space="preserve">Tab-delimited ranked compound list with scoring metrics; dose-response curve parameters (CSV); phenotype cluster assignments; visualization: volcano plot, heatmap of top 100 compounds × 50 dysregulated features</w:t>
      </w:r>
    </w:p>
    <w:p>
      <w:pPr>
        <w:pStyle w:val="Heading2"/>
        <w:spacing w:after="200" w:before="200"/>
      </w:pPr>
      <w:r>
        <w:rPr>
          <w:rFonts w:ascii="Arial" w:cs="Arial" w:eastAsia="Arial" w:hAnsi="Arial"/>
          <w:b/>
          <w:bCs/>
          <w:sz w:val="28"/>
          <w:szCs w:val="28"/>
        </w:rPr>
        <w:t xml:space="preserve">Stage 3: Mechanism of Action Inference &amp; Pathway Deconvolution</w:t>
      </w:r>
    </w:p>
    <w:p>
      <w:pPr>
        <w:spacing w:after="200" w:line="360"/>
      </w:pPr>
      <w:r>
        <w:rPr>
          <w:rFonts w:ascii="Arial" w:cs="Arial" w:eastAsia="Arial" w:hAnsi="Arial"/>
          <w:b/>
          <w:bCs/>
          <w:sz w:val="24"/>
          <w:szCs w:val="24"/>
        </w:rPr>
        <w:t xml:space="preserve">Purpose: </w:t>
      </w:r>
      <w:r>
        <w:rPr>
          <w:rFonts w:ascii="Arial" w:cs="Arial" w:eastAsia="Arial" w:hAnsi="Arial"/>
          <w:sz w:val="24"/>
          <w:szCs w:val="24"/>
        </w:rPr>
        <w:t xml:space="preserve">Identify mechanistic pathways underlying antipodal phenotypes by integrating compound targets, pathway databases, and secondary electrophysiology features.</w:t>
      </w:r>
    </w:p>
    <w:p>
      <w:pPr>
        <w:spacing w:after="100" w:line="360"/>
      </w:pPr>
      <w:r>
        <w:rPr>
          <w:rFonts w:ascii="Arial" w:cs="Arial" w:eastAsia="Arial" w:hAnsi="Arial"/>
          <w:b/>
          <w:bCs/>
          <w:sz w:val="24"/>
          <w:szCs w:val="24"/>
        </w:rPr>
        <w:t xml:space="preserve">Inputs:</w:t>
      </w:r>
    </w:p>
    <w:p>
      <w:pPr>
        <w:pStyle w:val="ListParagraph"/>
        <w:numPr>
          <w:ilvl w:val="0"/>
          <w:numId w:val="2"/>
        </w:numPr>
        <w:spacing w:after="100" w:line="360"/>
      </w:pPr>
      <w:r>
        <w:rPr>
          <w:rFonts w:ascii="Arial" w:cs="Arial" w:eastAsia="Arial" w:hAnsi="Arial"/>
          <w:sz w:val="24"/>
          <w:szCs w:val="24"/>
        </w:rPr>
        <w:t xml:space="preserve">Top 100 antipodal compounds and their known/predicted targets (from ChEMBL, STITCH)</w:t>
      </w:r>
    </w:p>
    <w:p>
      <w:pPr>
        <w:pStyle w:val="ListParagraph"/>
        <w:numPr>
          <w:ilvl w:val="0"/>
          <w:numId w:val="2"/>
        </w:numPr>
        <w:spacing w:after="100" w:line="360"/>
      </w:pPr>
      <w:r>
        <w:rPr>
          <w:rFonts w:ascii="Arial" w:cs="Arial" w:eastAsia="Arial" w:hAnsi="Arial"/>
          <w:sz w:val="24"/>
          <w:szCs w:val="24"/>
        </w:rPr>
        <w:t xml:space="preserve">KEGG pathway database subset (ion channel, calcium signaling, MAPK, TrkA pathways)</w:t>
      </w:r>
    </w:p>
    <w:p>
      <w:pPr>
        <w:pStyle w:val="ListParagraph"/>
        <w:numPr>
          <w:ilvl w:val="0"/>
          <w:numId w:val="2"/>
        </w:numPr>
        <w:spacing w:after="100" w:line="360"/>
      </w:pPr>
      <w:r>
        <w:rPr>
          <w:rFonts w:ascii="Arial" w:cs="Arial" w:eastAsia="Arial" w:hAnsi="Arial"/>
          <w:sz w:val="24"/>
          <w:szCs w:val="24"/>
        </w:rPr>
        <w:t xml:space="preserve">Secondary EP features for antipodal compounds (subthreshold sodium currents, potassium channel kinetics, calcium dynamics)</w:t>
      </w:r>
    </w:p>
    <w:p>
      <w:pPr>
        <w:pStyle w:val="ListParagraph"/>
        <w:numPr>
          <w:ilvl w:val="0"/>
          <w:numId w:val="2"/>
        </w:numPr>
        <w:spacing w:after="100" w:line="360"/>
      </w:pPr>
      <w:r>
        <w:rPr>
          <w:rFonts w:ascii="Arial" w:cs="Arial" w:eastAsia="Arial" w:hAnsi="Arial"/>
          <w:sz w:val="24"/>
          <w:szCs w:val="24"/>
        </w:rPr>
        <w:t xml:space="preserve">Gene knockout/knockdown EP phenotypes from CRISPR atlas (500+ gene perturbations)</w:t>
      </w:r>
    </w:p>
    <w:p>
      <w:pPr>
        <w:pStyle w:val="ListParagraph"/>
        <w:numPr>
          <w:ilvl w:val="0"/>
          <w:numId w:val="2"/>
        </w:numPr>
        <w:spacing w:after="100" w:line="360"/>
      </w:pPr>
      <w:r>
        <w:rPr>
          <w:rFonts w:ascii="Arial" w:cs="Arial" w:eastAsia="Arial" w:hAnsi="Arial"/>
          <w:sz w:val="24"/>
          <w:szCs w:val="24"/>
        </w:rPr>
        <w:t xml:space="preserve">Protein-protein interaction network (STRING database, tissue-specific for DRG neurons)</w:t>
      </w:r>
    </w:p>
    <w:p>
      <w:pPr>
        <w:spacing w:after="100" w:line="360"/>
      </w:pPr>
      <w:r>
        <w:rPr>
          <w:rFonts w:ascii="Arial" w:cs="Arial" w:eastAsia="Arial" w:hAnsi="Arial"/>
          <w:b/>
          <w:bCs/>
          <w:sz w:val="24"/>
          <w:szCs w:val="24"/>
        </w:rPr>
        <w:t xml:space="preserve">Tools &amp; Databases Called:</w:t>
      </w:r>
    </w:p>
    <w:p>
      <w:pPr>
        <w:pStyle w:val="ListParagraph"/>
        <w:numPr>
          <w:ilvl w:val="0"/>
          <w:numId w:val="2"/>
        </w:numPr>
        <w:spacing w:after="100" w:line="360"/>
      </w:pPr>
      <w:r>
        <w:rPr>
          <w:rFonts w:ascii="Arial" w:cs="Arial" w:eastAsia="Arial" w:hAnsi="Arial"/>
          <w:sz w:val="24"/>
          <w:szCs w:val="24"/>
        </w:rPr>
        <w:t xml:space="preserve">ChEMBL target prediction API (target probability for each compound)</w:t>
      </w:r>
    </w:p>
    <w:p>
      <w:pPr>
        <w:pStyle w:val="ListParagraph"/>
        <w:numPr>
          <w:ilvl w:val="0"/>
          <w:numId w:val="2"/>
        </w:numPr>
        <w:spacing w:after="100" w:line="360"/>
      </w:pPr>
      <w:r>
        <w:rPr>
          <w:rFonts w:ascii="Arial" w:cs="Arial" w:eastAsia="Arial" w:hAnsi="Arial"/>
          <w:sz w:val="24"/>
          <w:szCs w:val="24"/>
        </w:rPr>
        <w:t xml:space="preserve">KEGG pathway enrichment analysis (Fisher's exact test, pathway scoring)</w:t>
      </w:r>
    </w:p>
    <w:p>
      <w:pPr>
        <w:pStyle w:val="ListParagraph"/>
        <w:numPr>
          <w:ilvl w:val="0"/>
          <w:numId w:val="2"/>
        </w:numPr>
        <w:spacing w:after="100" w:line="360"/>
      </w:pPr>
      <w:r>
        <w:rPr>
          <w:rFonts w:ascii="Arial" w:cs="Arial" w:eastAsia="Arial" w:hAnsi="Arial"/>
          <w:sz w:val="24"/>
          <w:szCs w:val="24"/>
        </w:rPr>
        <w:t xml:space="preserve">Genetic Interaction Network Analysis (GINeC pipeline for target prediction via EP similarity)</w:t>
      </w:r>
    </w:p>
    <w:p>
      <w:pPr>
        <w:pStyle w:val="ListParagraph"/>
        <w:numPr>
          <w:ilvl w:val="0"/>
          <w:numId w:val="2"/>
        </w:numPr>
        <w:spacing w:after="100" w:line="360"/>
      </w:pPr>
      <w:r>
        <w:rPr>
          <w:rFonts w:ascii="Arial" w:cs="Arial" w:eastAsia="Arial" w:hAnsi="Arial"/>
          <w:sz w:val="24"/>
          <w:szCs w:val="24"/>
        </w:rPr>
        <w:t xml:space="preserve">Pathway crosstalk mapping (node-edge analysis of ion channel regulators)</w:t>
      </w:r>
    </w:p>
    <w:p>
      <w:pPr>
        <w:pStyle w:val="ListParagraph"/>
        <w:numPr>
          <w:ilvl w:val="0"/>
          <w:numId w:val="2"/>
        </w:numPr>
        <w:spacing w:after="100" w:line="360"/>
      </w:pPr>
      <w:r>
        <w:rPr>
          <w:rFonts w:ascii="Arial" w:cs="Arial" w:eastAsia="Arial" w:hAnsi="Arial"/>
          <w:sz w:val="24"/>
          <w:szCs w:val="24"/>
        </w:rPr>
        <w:t xml:space="preserve">Bayesian network modeling for mechanistic inference (probabilistic graphical models)</w:t>
      </w:r>
    </w:p>
    <w:p>
      <w:pPr>
        <w:pStyle w:val="ListParagraph"/>
        <w:numPr>
          <w:ilvl w:val="0"/>
          <w:numId w:val="2"/>
        </w:numPr>
        <w:spacing w:after="100" w:line="360"/>
      </w:pPr>
      <w:r>
        <w:rPr>
          <w:rFonts w:ascii="Arial" w:cs="Arial" w:eastAsia="Arial" w:hAnsi="Arial"/>
          <w:sz w:val="24"/>
          <w:szCs w:val="24"/>
        </w:rPr>
        <w:t xml:space="preserve">Integrated target-phenotype correlation analysis (phenotype-guided target discovery)</w:t>
      </w:r>
    </w:p>
    <w:p>
      <w:pPr>
        <w:spacing w:after="100" w:line="360"/>
      </w:pPr>
      <w:r>
        <w:rPr>
          <w:rFonts w:ascii="Arial" w:cs="Arial" w:eastAsia="Arial" w:hAnsi="Arial"/>
          <w:b/>
          <w:bCs/>
          <w:sz w:val="24"/>
          <w:szCs w:val="24"/>
        </w:rPr>
        <w:t xml:space="preserve">Exemplary Sub-Prompts:</w:t>
      </w:r>
    </w:p>
    <w:p>
      <w:pPr>
        <w:pStyle w:val="ListParagraph"/>
        <w:numPr>
          <w:ilvl w:val="0"/>
          <w:numId w:val="2"/>
        </w:numPr>
        <w:spacing w:after="100" w:line="360"/>
      </w:pPr>
      <w:r>
        <w:rPr>
          <w:rFonts w:ascii="Arial" w:cs="Arial" w:eastAsia="Arial" w:hAnsi="Arial"/>
          <w:sz w:val="24"/>
          <w:szCs w:val="24"/>
        </w:rPr>
        <w:t xml:space="preserve">For each of top 20 antipodal compounds, extract known targets from ChEMBL (probability &gt;70%)</w:t>
      </w:r>
    </w:p>
    <w:p>
      <w:pPr>
        <w:pStyle w:val="ListParagraph"/>
        <w:numPr>
          <w:ilvl w:val="0"/>
          <w:numId w:val="2"/>
        </w:numPr>
        <w:spacing w:after="100" w:line="360"/>
      </w:pPr>
      <w:r>
        <w:rPr>
          <w:rFonts w:ascii="Arial" w:cs="Arial" w:eastAsia="Arial" w:hAnsi="Arial"/>
          <w:sz w:val="24"/>
          <w:szCs w:val="24"/>
        </w:rPr>
        <w:t xml:space="preserve">Map compound targets to KEGG pathways; rank pathways by overlap with antipodal mechanisms</w:t>
      </w:r>
    </w:p>
    <w:p>
      <w:pPr>
        <w:pStyle w:val="ListParagraph"/>
        <w:numPr>
          <w:ilvl w:val="0"/>
          <w:numId w:val="2"/>
        </w:numPr>
        <w:spacing w:after="100" w:line="360"/>
      </w:pPr>
      <w:r>
        <w:rPr>
          <w:rFonts w:ascii="Arial" w:cs="Arial" w:eastAsia="Arial" w:hAnsi="Arial"/>
          <w:sz w:val="24"/>
          <w:szCs w:val="24"/>
        </w:rPr>
        <w:t xml:space="preserve">Correlate compound targets with CRISPR perturbations producing similar antipodal phenotypes</w:t>
      </w:r>
    </w:p>
    <w:p>
      <w:pPr>
        <w:pStyle w:val="ListParagraph"/>
        <w:numPr>
          <w:ilvl w:val="0"/>
          <w:numId w:val="2"/>
        </w:numPr>
        <w:spacing w:after="100" w:line="360"/>
      </w:pPr>
      <w:r>
        <w:rPr>
          <w:rFonts w:ascii="Arial" w:cs="Arial" w:eastAsia="Arial" w:hAnsi="Arial"/>
          <w:sz w:val="24"/>
          <w:szCs w:val="24"/>
        </w:rPr>
        <w:t xml:space="preserve">Identify secondary targets shared among top antipodal compounds (target convergence analysis)</w:t>
      </w:r>
    </w:p>
    <w:p>
      <w:pPr>
        <w:pStyle w:val="ListParagraph"/>
        <w:numPr>
          <w:ilvl w:val="0"/>
          <w:numId w:val="2"/>
        </w:numPr>
        <w:spacing w:after="100" w:line="360"/>
      </w:pPr>
      <w:r>
        <w:rPr>
          <w:rFonts w:ascii="Arial" w:cs="Arial" w:eastAsia="Arial" w:hAnsi="Arial"/>
          <w:sz w:val="24"/>
          <w:szCs w:val="24"/>
        </w:rPr>
        <w:t xml:space="preserve">Build mechanistic hypotheses linking compound targets to Nav1.7 GOF phenotype normalization</w:t>
      </w:r>
    </w:p>
    <w:p>
      <w:pPr>
        <w:spacing w:after="100" w:line="360"/>
      </w:pPr>
      <w:r>
        <w:rPr>
          <w:rFonts w:ascii="Arial" w:cs="Arial" w:eastAsia="Arial" w:hAnsi="Arial"/>
          <w:b/>
          <w:bCs/>
          <w:sz w:val="24"/>
          <w:szCs w:val="24"/>
        </w:rPr>
        <w:t xml:space="preserve">Expected Outputs:</w:t>
      </w:r>
    </w:p>
    <w:p>
      <w:pPr>
        <w:pStyle w:val="ListParagraph"/>
        <w:numPr>
          <w:ilvl w:val="0"/>
          <w:numId w:val="2"/>
        </w:numPr>
        <w:spacing w:after="100" w:line="360"/>
      </w:pPr>
      <w:r>
        <w:rPr>
          <w:rFonts w:ascii="Arial" w:cs="Arial" w:eastAsia="Arial" w:hAnsi="Arial"/>
          <w:sz w:val="24"/>
          <w:szCs w:val="24"/>
        </w:rPr>
        <w:t xml:space="preserve">Target-pathway mapping for top 100 antipodal compounds (targets, KEGG pathways, enrichment p-values)</w:t>
      </w:r>
    </w:p>
    <w:p>
      <w:pPr>
        <w:pStyle w:val="ListParagraph"/>
        <w:numPr>
          <w:ilvl w:val="0"/>
          <w:numId w:val="2"/>
        </w:numPr>
        <w:spacing w:after="100" w:line="360"/>
      </w:pPr>
      <w:r>
        <w:rPr>
          <w:rFonts w:ascii="Arial" w:cs="Arial" w:eastAsia="Arial" w:hAnsi="Arial"/>
          <w:sz w:val="24"/>
          <w:szCs w:val="24"/>
        </w:rPr>
        <w:t xml:space="preserve">Convergent mechanism groups (5-10 mechanisms identified, each supported by 10-30 compounds)</w:t>
      </w:r>
    </w:p>
    <w:p>
      <w:pPr>
        <w:pStyle w:val="ListParagraph"/>
        <w:numPr>
          <w:ilvl w:val="0"/>
          <w:numId w:val="2"/>
        </w:numPr>
        <w:spacing w:after="100" w:line="360"/>
      </w:pPr>
      <w:r>
        <w:rPr>
          <w:rFonts w:ascii="Arial" w:cs="Arial" w:eastAsia="Arial" w:hAnsi="Arial"/>
          <w:sz w:val="24"/>
          <w:szCs w:val="24"/>
        </w:rPr>
        <w:t xml:space="preserve">Genetic interaction evidence: genes whose perturbations phenocopy antipodal compounds</w:t>
      </w:r>
    </w:p>
    <w:p>
      <w:pPr>
        <w:pStyle w:val="ListParagraph"/>
        <w:numPr>
          <w:ilvl w:val="0"/>
          <w:numId w:val="2"/>
        </w:numPr>
        <w:spacing w:after="100" w:line="360"/>
      </w:pPr>
      <w:r>
        <w:rPr>
          <w:rFonts w:ascii="Arial" w:cs="Arial" w:eastAsia="Arial" w:hAnsi="Arial"/>
          <w:sz w:val="24"/>
          <w:szCs w:val="24"/>
        </w:rPr>
        <w:t xml:space="preserve">Mechanistic certainty scores for each antipodal compound (high/medium/low confidence)</w:t>
      </w:r>
    </w:p>
    <w:p>
      <w:pPr>
        <w:pStyle w:val="ListParagraph"/>
        <w:numPr>
          <w:ilvl w:val="0"/>
          <w:numId w:val="2"/>
        </w:numPr>
        <w:spacing w:after="100" w:line="360"/>
      </w:pPr>
      <w:r>
        <w:rPr>
          <w:rFonts w:ascii="Arial" w:cs="Arial" w:eastAsia="Arial" w:hAnsi="Arial"/>
          <w:sz w:val="24"/>
          <w:szCs w:val="24"/>
        </w:rPr>
        <w:t xml:space="preserve">Pathway cross-talk diagram showing how compound targets modulate ion channel balance</w:t>
      </w:r>
    </w:p>
    <w:p>
      <w:pPr>
        <w:pStyle w:val="ListParagraph"/>
        <w:numPr>
          <w:ilvl w:val="0"/>
          <w:numId w:val="2"/>
        </w:numPr>
        <w:spacing w:after="100" w:line="360"/>
      </w:pPr>
      <w:r>
        <w:rPr>
          <w:rFonts w:ascii="Arial" w:cs="Arial" w:eastAsia="Arial" w:hAnsi="Arial"/>
          <w:sz w:val="24"/>
          <w:szCs w:val="24"/>
        </w:rPr>
        <w:t xml:space="preserve">Predicted secondary targets and off-target liabilities for lead compounds</w:t>
      </w:r>
    </w:p>
    <w:p>
      <w:pPr>
        <w:spacing w:after="200" w:line="360"/>
      </w:pPr>
      <w:r>
        <w:rPr>
          <w:rFonts w:ascii="Arial" w:cs="Arial" w:eastAsia="Arial" w:hAnsi="Arial"/>
          <w:b/>
          <w:bCs/>
          <w:sz w:val="24"/>
          <w:szCs w:val="24"/>
        </w:rPr>
        <w:t xml:space="preserve">Format: </w:t>
      </w:r>
      <w:r>
        <w:rPr>
          <w:rFonts w:ascii="Arial" w:cs="Arial" w:eastAsia="Arial" w:hAnsi="Arial"/>
          <w:sz w:val="24"/>
          <w:szCs w:val="24"/>
        </w:rPr>
        <w:t xml:space="preserve">Pathway enrichment table (pathway name, genes, p-value, fold-enrichment); target-phenotype correlation matrix; mechanistic network visualization (Cytoscape format); confidence scoring table</w:t>
      </w:r>
    </w:p>
    <w:p>
      <w:pPr>
        <w:pStyle w:val="Heading2"/>
        <w:spacing w:after="200" w:before="200"/>
      </w:pPr>
      <w:r>
        <w:rPr>
          <w:rFonts w:ascii="Arial" w:cs="Arial" w:eastAsia="Arial" w:hAnsi="Arial"/>
          <w:b/>
          <w:bCs/>
          <w:sz w:val="28"/>
          <w:szCs w:val="28"/>
        </w:rPr>
        <w:t xml:space="preserve">Stage 4: Phenotype Inversion Validation &amp; Selectivity Profiling</w:t>
      </w:r>
    </w:p>
    <w:p>
      <w:pPr>
        <w:spacing w:after="200" w:line="360"/>
      </w:pPr>
      <w:r>
        <w:rPr>
          <w:rFonts w:ascii="Arial" w:cs="Arial" w:eastAsia="Arial" w:hAnsi="Arial"/>
          <w:b/>
          <w:bCs/>
          <w:sz w:val="24"/>
          <w:szCs w:val="24"/>
        </w:rPr>
        <w:t xml:space="preserve">Purpose: </w:t>
      </w:r>
      <w:r>
        <w:rPr>
          <w:rFonts w:ascii="Arial" w:cs="Arial" w:eastAsia="Arial" w:hAnsi="Arial"/>
          <w:sz w:val="24"/>
          <w:szCs w:val="24"/>
        </w:rPr>
        <w:t xml:space="preserve">Validate antipodal phenotypes in secondary DRG neuron populations and assess selectivity against healthy neurons to exclude global toxins.</w:t>
      </w:r>
    </w:p>
    <w:p>
      <w:pPr>
        <w:spacing w:after="100" w:line="360"/>
      </w:pPr>
      <w:r>
        <w:rPr>
          <w:rFonts w:ascii="Arial" w:cs="Arial" w:eastAsia="Arial" w:hAnsi="Arial"/>
          <w:b/>
          <w:bCs/>
          <w:sz w:val="24"/>
          <w:szCs w:val="24"/>
        </w:rPr>
        <w:t xml:space="preserve">Inputs:</w:t>
      </w:r>
    </w:p>
    <w:p>
      <w:pPr>
        <w:pStyle w:val="ListParagraph"/>
        <w:numPr>
          <w:ilvl w:val="0"/>
          <w:numId w:val="2"/>
        </w:numPr>
        <w:spacing w:after="100" w:line="360"/>
      </w:pPr>
      <w:r>
        <w:rPr>
          <w:rFonts w:ascii="Arial" w:cs="Arial" w:eastAsia="Arial" w:hAnsi="Arial"/>
          <w:sz w:val="24"/>
          <w:szCs w:val="24"/>
        </w:rPr>
        <w:t xml:space="preserve">Top 50 antipodal compounds (from Stage 2-3 ranking)</w:t>
      </w:r>
    </w:p>
    <w:p>
      <w:pPr>
        <w:pStyle w:val="ListParagraph"/>
        <w:numPr>
          <w:ilvl w:val="0"/>
          <w:numId w:val="2"/>
        </w:numPr>
        <w:spacing w:after="100" w:line="360"/>
      </w:pPr>
      <w:r>
        <w:rPr>
          <w:rFonts w:ascii="Arial" w:cs="Arial" w:eastAsia="Arial" w:hAnsi="Arial"/>
          <w:sz w:val="24"/>
          <w:szCs w:val="24"/>
        </w:rPr>
        <w:t xml:space="preserve">Secondary DRG neuron population (distinct developmental stage, sensory subtype, or genetic background)</w:t>
      </w:r>
    </w:p>
    <w:p>
      <w:pPr>
        <w:pStyle w:val="ListParagraph"/>
        <w:numPr>
          <w:ilvl w:val="0"/>
          <w:numId w:val="2"/>
        </w:numPr>
        <w:spacing w:after="100" w:line="360"/>
      </w:pPr>
      <w:r>
        <w:rPr>
          <w:rFonts w:ascii="Arial" w:cs="Arial" w:eastAsia="Arial" w:hAnsi="Arial"/>
          <w:sz w:val="24"/>
          <w:szCs w:val="24"/>
        </w:rPr>
        <w:t xml:space="preserve">Healthy, non-perturbed DRG neuron EP profiles (n=1000+ cells, all 500+ features)</w:t>
      </w:r>
    </w:p>
    <w:p>
      <w:pPr>
        <w:pStyle w:val="ListParagraph"/>
        <w:numPr>
          <w:ilvl w:val="0"/>
          <w:numId w:val="2"/>
        </w:numPr>
        <w:spacing w:after="100" w:line="360"/>
      </w:pPr>
      <w:r>
        <w:rPr>
          <w:rFonts w:ascii="Arial" w:cs="Arial" w:eastAsia="Arial" w:hAnsi="Arial"/>
          <w:sz w:val="24"/>
          <w:szCs w:val="24"/>
        </w:rPr>
        <w:t xml:space="preserve">Neuropathic pain model neuron profiles (SNL, CCI injury models from Quiver atlas)</w:t>
      </w:r>
    </w:p>
    <w:p>
      <w:pPr>
        <w:pStyle w:val="ListParagraph"/>
        <w:numPr>
          <w:ilvl w:val="0"/>
          <w:numId w:val="2"/>
        </w:numPr>
        <w:spacing w:after="100" w:line="360"/>
      </w:pPr>
      <w:r>
        <w:rPr>
          <w:rFonts w:ascii="Arial" w:cs="Arial" w:eastAsia="Arial" w:hAnsi="Arial"/>
          <w:sz w:val="24"/>
          <w:szCs w:val="24"/>
        </w:rPr>
        <w:t xml:space="preserve">Compound toxicity/viability assays (LDH release, calcein-AM, patch success rates)</w:t>
      </w:r>
    </w:p>
    <w:p>
      <w:pPr>
        <w:spacing w:after="100" w:line="360"/>
      </w:pPr>
      <w:r>
        <w:rPr>
          <w:rFonts w:ascii="Arial" w:cs="Arial" w:eastAsia="Arial" w:hAnsi="Arial"/>
          <w:b/>
          <w:bCs/>
          <w:sz w:val="24"/>
          <w:szCs w:val="24"/>
        </w:rPr>
        <w:t xml:space="preserve">Tools &amp; Databases Called:</w:t>
      </w:r>
    </w:p>
    <w:p>
      <w:pPr>
        <w:pStyle w:val="ListParagraph"/>
        <w:numPr>
          <w:ilvl w:val="0"/>
          <w:numId w:val="2"/>
        </w:numPr>
        <w:spacing w:after="100" w:line="360"/>
      </w:pPr>
      <w:r>
        <w:rPr>
          <w:rFonts w:ascii="Arial" w:cs="Arial" w:eastAsia="Arial" w:hAnsi="Arial"/>
          <w:sz w:val="24"/>
          <w:szCs w:val="24"/>
        </w:rPr>
        <w:t xml:space="preserve">Quiver secondary/validation DRG neuron datasets (SNL, CCI, developmental series)</w:t>
      </w:r>
    </w:p>
    <w:p>
      <w:pPr>
        <w:pStyle w:val="ListParagraph"/>
        <w:numPr>
          <w:ilvl w:val="0"/>
          <w:numId w:val="2"/>
        </w:numPr>
        <w:spacing w:after="100" w:line="360"/>
      </w:pPr>
      <w:r>
        <w:rPr>
          <w:rFonts w:ascii="Arial" w:cs="Arial" w:eastAsia="Arial" w:hAnsi="Arial"/>
          <w:sz w:val="24"/>
          <w:szCs w:val="24"/>
        </w:rPr>
        <w:t xml:space="preserve">Multi-population phenotype distance calculation (distance to Nav1.7 GOF vs. healthy WT)</w:t>
      </w:r>
    </w:p>
    <w:p>
      <w:pPr>
        <w:pStyle w:val="ListParagraph"/>
        <w:numPr>
          <w:ilvl w:val="0"/>
          <w:numId w:val="2"/>
        </w:numPr>
        <w:spacing w:after="100" w:line="360"/>
      </w:pPr>
      <w:r>
        <w:rPr>
          <w:rFonts w:ascii="Arial" w:cs="Arial" w:eastAsia="Arial" w:hAnsi="Arial"/>
          <w:sz w:val="24"/>
          <w:szCs w:val="24"/>
        </w:rPr>
        <w:t xml:space="preserve">Selectivity index calculation (phenotype normalization in Nav1.7 GOF / dysregulation in WT)</w:t>
      </w:r>
    </w:p>
    <w:p>
      <w:pPr>
        <w:pStyle w:val="ListParagraph"/>
        <w:numPr>
          <w:ilvl w:val="0"/>
          <w:numId w:val="2"/>
        </w:numPr>
        <w:spacing w:after="100" w:line="360"/>
      </w:pPr>
      <w:r>
        <w:rPr>
          <w:rFonts w:ascii="Arial" w:cs="Arial" w:eastAsia="Arial" w:hAnsi="Arial"/>
          <w:sz w:val="24"/>
          <w:szCs w:val="24"/>
        </w:rPr>
        <w:t xml:space="preserve">Toxicity scoring pipeline (viability metrics, patch clamp success rates, morphology analysis)</w:t>
      </w:r>
    </w:p>
    <w:p>
      <w:pPr>
        <w:pStyle w:val="ListParagraph"/>
        <w:numPr>
          <w:ilvl w:val="0"/>
          <w:numId w:val="2"/>
        </w:numPr>
        <w:spacing w:after="100" w:line="360"/>
      </w:pPr>
      <w:r>
        <w:rPr>
          <w:rFonts w:ascii="Arial" w:cs="Arial" w:eastAsia="Arial" w:hAnsi="Arial"/>
          <w:sz w:val="24"/>
          <w:szCs w:val="24"/>
        </w:rPr>
        <w:t xml:space="preserve">Statistical validation (paired t-tests, effect size calculations across populations)</w:t>
      </w:r>
    </w:p>
    <w:p>
      <w:pPr>
        <w:pStyle w:val="ListParagraph"/>
        <w:numPr>
          <w:ilvl w:val="0"/>
          <w:numId w:val="2"/>
        </w:numPr>
        <w:spacing w:after="100" w:line="360"/>
      </w:pPr>
      <w:r>
        <w:rPr>
          <w:rFonts w:ascii="Arial" w:cs="Arial" w:eastAsia="Arial" w:hAnsi="Arial"/>
          <w:sz w:val="24"/>
          <w:szCs w:val="24"/>
        </w:rPr>
        <w:t xml:space="preserve">Phenotype stability analysis (intra-population variance, replicability metrics)</w:t>
      </w:r>
    </w:p>
    <w:p>
      <w:pPr>
        <w:spacing w:after="100" w:line="360"/>
      </w:pPr>
      <w:r>
        <w:rPr>
          <w:rFonts w:ascii="Arial" w:cs="Arial" w:eastAsia="Arial" w:hAnsi="Arial"/>
          <w:b/>
          <w:bCs/>
          <w:sz w:val="24"/>
          <w:szCs w:val="24"/>
        </w:rPr>
        <w:t xml:space="preserve">Exemplary Sub-Prompts:</w:t>
      </w:r>
    </w:p>
    <w:p>
      <w:pPr>
        <w:pStyle w:val="ListParagraph"/>
        <w:numPr>
          <w:ilvl w:val="0"/>
          <w:numId w:val="2"/>
        </w:numPr>
        <w:spacing w:after="100" w:line="360"/>
      </w:pPr>
      <w:r>
        <w:rPr>
          <w:rFonts w:ascii="Arial" w:cs="Arial" w:eastAsia="Arial" w:hAnsi="Arial"/>
          <w:sz w:val="24"/>
          <w:szCs w:val="24"/>
        </w:rPr>
        <w:t xml:space="preserve">For each of top 50 antipodal compounds, measure EP phenotype in secondary DRG population</w:t>
      </w:r>
    </w:p>
    <w:p>
      <w:pPr>
        <w:pStyle w:val="ListParagraph"/>
        <w:numPr>
          <w:ilvl w:val="0"/>
          <w:numId w:val="2"/>
        </w:numPr>
        <w:spacing w:after="100" w:line="360"/>
      </w:pPr>
      <w:r>
        <w:rPr>
          <w:rFonts w:ascii="Arial" w:cs="Arial" w:eastAsia="Arial" w:hAnsi="Arial"/>
          <w:sz w:val="24"/>
          <w:szCs w:val="24"/>
        </w:rPr>
        <w:t xml:space="preserve">Calculate selectivity index: (phenotype distance reversal in Nav1.7 GOF) / (dysregulation in WT neurons)</w:t>
      </w:r>
    </w:p>
    <w:p>
      <w:pPr>
        <w:pStyle w:val="ListParagraph"/>
        <w:numPr>
          <w:ilvl w:val="0"/>
          <w:numId w:val="2"/>
        </w:numPr>
        <w:spacing w:after="100" w:line="360"/>
      </w:pPr>
      <w:r>
        <w:rPr>
          <w:rFonts w:ascii="Arial" w:cs="Arial" w:eastAsia="Arial" w:hAnsi="Arial"/>
          <w:sz w:val="24"/>
          <w:szCs w:val="24"/>
        </w:rPr>
        <w:t xml:space="preserve">Filter compounds with poor selectivity index (&lt;2-fold preference for Nav1.7 GOF rescue)</w:t>
      </w:r>
    </w:p>
    <w:p>
      <w:pPr>
        <w:pStyle w:val="ListParagraph"/>
        <w:numPr>
          <w:ilvl w:val="0"/>
          <w:numId w:val="2"/>
        </w:numPr>
        <w:spacing w:after="100" w:line="360"/>
      </w:pPr>
      <w:r>
        <w:rPr>
          <w:rFonts w:ascii="Arial" w:cs="Arial" w:eastAsia="Arial" w:hAnsi="Arial"/>
          <w:sz w:val="24"/>
          <w:szCs w:val="24"/>
        </w:rPr>
        <w:t xml:space="preserve">Assess compound effects on neuropathic pain model neurons (SNL, CCI) for therapeutic relevance</w:t>
      </w:r>
    </w:p>
    <w:p>
      <w:pPr>
        <w:pStyle w:val="ListParagraph"/>
        <w:numPr>
          <w:ilvl w:val="0"/>
          <w:numId w:val="2"/>
        </w:numPr>
        <w:spacing w:after="100" w:line="360"/>
      </w:pPr>
      <w:r>
        <w:rPr>
          <w:rFonts w:ascii="Arial" w:cs="Arial" w:eastAsia="Arial" w:hAnsi="Arial"/>
          <w:sz w:val="24"/>
          <w:szCs w:val="24"/>
        </w:rPr>
        <w:t xml:space="preserve">Generate toxicity profiles: viability, patch success, morphology integrity across all tested populations</w:t>
      </w:r>
    </w:p>
    <w:p>
      <w:pPr>
        <w:spacing w:after="100" w:line="360"/>
      </w:pPr>
      <w:r>
        <w:rPr>
          <w:rFonts w:ascii="Arial" w:cs="Arial" w:eastAsia="Arial" w:hAnsi="Arial"/>
          <w:b/>
          <w:bCs/>
          <w:sz w:val="24"/>
          <w:szCs w:val="24"/>
        </w:rPr>
        <w:t xml:space="preserve">Expected Outputs:</w:t>
      </w:r>
    </w:p>
    <w:p>
      <w:pPr>
        <w:pStyle w:val="ListParagraph"/>
        <w:numPr>
          <w:ilvl w:val="0"/>
          <w:numId w:val="2"/>
        </w:numPr>
        <w:spacing w:after="100" w:line="360"/>
      </w:pPr>
      <w:r>
        <w:rPr>
          <w:rFonts w:ascii="Arial" w:cs="Arial" w:eastAsia="Arial" w:hAnsi="Arial"/>
          <w:sz w:val="24"/>
          <w:szCs w:val="24"/>
        </w:rPr>
        <w:t xml:space="preserve">Validation dataset: 50 compounds × 5 populations × 500 features (structured matrix)</w:t>
      </w:r>
    </w:p>
    <w:p>
      <w:pPr>
        <w:pStyle w:val="ListParagraph"/>
        <w:numPr>
          <w:ilvl w:val="0"/>
          <w:numId w:val="2"/>
        </w:numPr>
        <w:spacing w:after="100" w:line="360"/>
      </w:pPr>
      <w:r>
        <w:rPr>
          <w:rFonts w:ascii="Arial" w:cs="Arial" w:eastAsia="Arial" w:hAnsi="Arial"/>
          <w:sz w:val="24"/>
          <w:szCs w:val="24"/>
        </w:rPr>
        <w:t xml:space="preserve">Selectivity index for all 50 compounds (Nav1.7 GOF rescue selectivity, ranking)</w:t>
      </w:r>
    </w:p>
    <w:p>
      <w:pPr>
        <w:pStyle w:val="ListParagraph"/>
        <w:numPr>
          <w:ilvl w:val="0"/>
          <w:numId w:val="2"/>
        </w:numPr>
        <w:spacing w:after="100" w:line="360"/>
      </w:pPr>
      <w:r>
        <w:rPr>
          <w:rFonts w:ascii="Arial" w:cs="Arial" w:eastAsia="Arial" w:hAnsi="Arial"/>
          <w:sz w:val="24"/>
          <w:szCs w:val="24"/>
        </w:rPr>
        <w:t xml:space="preserve">Toxicity/viability scores for each compound (% cell viability, patch success rate, off-target indicators)</w:t>
      </w:r>
    </w:p>
    <w:p>
      <w:pPr>
        <w:pStyle w:val="ListParagraph"/>
        <w:numPr>
          <w:ilvl w:val="0"/>
          <w:numId w:val="2"/>
        </w:numPr>
        <w:spacing w:after="100" w:line="360"/>
      </w:pPr>
      <w:r>
        <w:rPr>
          <w:rFonts w:ascii="Arial" w:cs="Arial" w:eastAsia="Arial" w:hAnsi="Arial"/>
          <w:sz w:val="24"/>
          <w:szCs w:val="24"/>
        </w:rPr>
        <w:t xml:space="preserve">Phenotype inversion statistics (effect sizes, confidence intervals, replicability p-values across populations)</w:t>
      </w:r>
    </w:p>
    <w:p>
      <w:pPr>
        <w:pStyle w:val="ListParagraph"/>
        <w:numPr>
          <w:ilvl w:val="0"/>
          <w:numId w:val="2"/>
        </w:numPr>
        <w:spacing w:after="100" w:line="360"/>
      </w:pPr>
      <w:r>
        <w:rPr>
          <w:rFonts w:ascii="Arial" w:cs="Arial" w:eastAsia="Arial" w:hAnsi="Arial"/>
          <w:sz w:val="24"/>
          <w:szCs w:val="24"/>
        </w:rPr>
        <w:t xml:space="preserve">Population-specific rankings (top 20 antipodal compounds in Nav1.7 GOF vs. neuropathic models)</w:t>
      </w:r>
    </w:p>
    <w:p>
      <w:pPr>
        <w:pStyle w:val="ListParagraph"/>
        <w:numPr>
          <w:ilvl w:val="0"/>
          <w:numId w:val="2"/>
        </w:numPr>
        <w:spacing w:after="100" w:line="360"/>
      </w:pPr>
      <w:r>
        <w:rPr>
          <w:rFonts w:ascii="Arial" w:cs="Arial" w:eastAsia="Arial" w:hAnsi="Arial"/>
          <w:sz w:val="24"/>
          <w:szCs w:val="24"/>
        </w:rPr>
        <w:t xml:space="preserve">Exclusion list: compounds with poor selectivity, toxicity, or variable phenotype responses</w:t>
      </w:r>
    </w:p>
    <w:p>
      <w:pPr>
        <w:spacing w:after="200" w:line="360"/>
      </w:pPr>
      <w:r>
        <w:rPr>
          <w:rFonts w:ascii="Arial" w:cs="Arial" w:eastAsia="Arial" w:hAnsi="Arial"/>
          <w:b/>
          <w:bCs/>
          <w:sz w:val="24"/>
          <w:szCs w:val="24"/>
        </w:rPr>
        <w:t xml:space="preserve">Format: </w:t>
      </w:r>
      <w:r>
        <w:rPr>
          <w:rFonts w:ascii="Arial" w:cs="Arial" w:eastAsia="Arial" w:hAnsi="Arial"/>
          <w:sz w:val="24"/>
          <w:szCs w:val="24"/>
        </w:rPr>
        <w:t xml:space="preserve">Multi-dimensional phenotype matrix (compounds × populations × features); selectivity index ranking table; toxicity scorecard; validation statistics table; population-specific compound rankings</w:t>
      </w:r>
    </w:p>
    <w:p>
      <w:pPr>
        <w:pStyle w:val="Heading2"/>
        <w:spacing w:after="200" w:before="200"/>
      </w:pPr>
      <w:r>
        <w:rPr>
          <w:rFonts w:ascii="Arial" w:cs="Arial" w:eastAsia="Arial" w:hAnsi="Arial"/>
          <w:b/>
          <w:bCs/>
          <w:sz w:val="28"/>
          <w:szCs w:val="28"/>
        </w:rPr>
        <w:t xml:space="preserve">Stage 5: Erythromelalgia &amp; PEPD Model Integration &amp; Clinical Relevance Scoring</w:t>
      </w:r>
    </w:p>
    <w:p>
      <w:pPr>
        <w:spacing w:after="200" w:line="360"/>
      </w:pPr>
      <w:r>
        <w:rPr>
          <w:rFonts w:ascii="Arial" w:cs="Arial" w:eastAsia="Arial" w:hAnsi="Arial"/>
          <w:b/>
          <w:bCs/>
          <w:sz w:val="24"/>
          <w:szCs w:val="24"/>
        </w:rPr>
        <w:t xml:space="preserve">Purpose: </w:t>
      </w:r>
      <w:r>
        <w:rPr>
          <w:rFonts w:ascii="Arial" w:cs="Arial" w:eastAsia="Arial" w:hAnsi="Arial"/>
          <w:sz w:val="24"/>
          <w:szCs w:val="24"/>
        </w:rPr>
        <w:t xml:space="preserve">Integrate erythromelalgia and paroxysmal extreme pain disorder (PEPD) patient-specific CRISPR models to ensure antipodal compounds rescue disease-relevant phenotypes.</w:t>
      </w:r>
    </w:p>
    <w:p>
      <w:pPr>
        <w:spacing w:after="100" w:line="360"/>
      </w:pPr>
      <w:r>
        <w:rPr>
          <w:rFonts w:ascii="Arial" w:cs="Arial" w:eastAsia="Arial" w:hAnsi="Arial"/>
          <w:b/>
          <w:bCs/>
          <w:sz w:val="24"/>
          <w:szCs w:val="24"/>
        </w:rPr>
        <w:t xml:space="preserve">Inputs:</w:t>
      </w:r>
    </w:p>
    <w:p>
      <w:pPr>
        <w:pStyle w:val="ListParagraph"/>
        <w:numPr>
          <w:ilvl w:val="0"/>
          <w:numId w:val="2"/>
        </w:numPr>
        <w:spacing w:after="100" w:line="360"/>
      </w:pPr>
      <w:r>
        <w:rPr>
          <w:rFonts w:ascii="Arial" w:cs="Arial" w:eastAsia="Arial" w:hAnsi="Arial"/>
          <w:sz w:val="24"/>
          <w:szCs w:val="24"/>
        </w:rPr>
        <w:t xml:space="preserve">Patient-derived or patient-matched Nav1.7 mutations (erythromelalgia: L858H, I848T; PEPD: Y1795H, M1627K variants)</w:t>
      </w:r>
    </w:p>
    <w:p>
      <w:pPr>
        <w:pStyle w:val="ListParagraph"/>
        <w:numPr>
          <w:ilvl w:val="0"/>
          <w:numId w:val="2"/>
        </w:numPr>
        <w:spacing w:after="100" w:line="360"/>
      </w:pPr>
      <w:r>
        <w:rPr>
          <w:rFonts w:ascii="Arial" w:cs="Arial" w:eastAsia="Arial" w:hAnsi="Arial"/>
          <w:sz w:val="24"/>
          <w:szCs w:val="24"/>
        </w:rPr>
        <w:t xml:space="preserve">Patient-specific DRG neuron EP phenotypes from Quiver CRISPR atlas (matched genetic background where possible)</w:t>
      </w:r>
    </w:p>
    <w:p>
      <w:pPr>
        <w:pStyle w:val="ListParagraph"/>
        <w:numPr>
          <w:ilvl w:val="0"/>
          <w:numId w:val="2"/>
        </w:numPr>
        <w:spacing w:after="100" w:line="360"/>
      </w:pPr>
      <w:r>
        <w:rPr>
          <w:rFonts w:ascii="Arial" w:cs="Arial" w:eastAsia="Arial" w:hAnsi="Arial"/>
          <w:sz w:val="24"/>
          <w:szCs w:val="24"/>
        </w:rPr>
        <w:t xml:space="preserve">Clinical phenotype descriptors (pain intensity, flare frequency, temperature sensitivity, response to existing therapeutics)</w:t>
      </w:r>
    </w:p>
    <w:p>
      <w:pPr>
        <w:pStyle w:val="ListParagraph"/>
        <w:numPr>
          <w:ilvl w:val="0"/>
          <w:numId w:val="2"/>
        </w:numPr>
        <w:spacing w:after="100" w:line="360"/>
      </w:pPr>
      <w:r>
        <w:rPr>
          <w:rFonts w:ascii="Arial" w:cs="Arial" w:eastAsia="Arial" w:hAnsi="Arial"/>
          <w:sz w:val="24"/>
          <w:szCs w:val="24"/>
        </w:rPr>
        <w:t xml:space="preserve">Disease-relevant EP metrics (spontaneous firing rate, burst frequency, thermal sensitivity thresholds)</w:t>
      </w:r>
    </w:p>
    <w:p>
      <w:pPr>
        <w:pStyle w:val="ListParagraph"/>
        <w:numPr>
          <w:ilvl w:val="0"/>
          <w:numId w:val="2"/>
        </w:numPr>
        <w:spacing w:after="100" w:line="360"/>
      </w:pPr>
      <w:r>
        <w:rPr>
          <w:rFonts w:ascii="Arial" w:cs="Arial" w:eastAsia="Arial" w:hAnsi="Arial"/>
          <w:sz w:val="24"/>
          <w:szCs w:val="24"/>
        </w:rPr>
        <w:t xml:space="preserve">Literature-curated Nav1.7 disease-associated phenotypes (from rodent Nav1.7 knockin models)</w:t>
      </w:r>
    </w:p>
    <w:p>
      <w:pPr>
        <w:spacing w:after="100" w:line="360"/>
      </w:pPr>
      <w:r>
        <w:rPr>
          <w:rFonts w:ascii="Arial" w:cs="Arial" w:eastAsia="Arial" w:hAnsi="Arial"/>
          <w:b/>
          <w:bCs/>
          <w:sz w:val="24"/>
          <w:szCs w:val="24"/>
        </w:rPr>
        <w:t xml:space="preserve">Tools &amp; Databases Called:</w:t>
      </w:r>
    </w:p>
    <w:p>
      <w:pPr>
        <w:pStyle w:val="ListParagraph"/>
        <w:numPr>
          <w:ilvl w:val="0"/>
          <w:numId w:val="2"/>
        </w:numPr>
        <w:spacing w:after="100" w:line="360"/>
      </w:pPr>
      <w:r>
        <w:rPr>
          <w:rFonts w:ascii="Arial" w:cs="Arial" w:eastAsia="Arial" w:hAnsi="Arial"/>
          <w:sz w:val="24"/>
          <w:szCs w:val="24"/>
        </w:rPr>
        <w:t xml:space="preserve">Quiver patient-specific CRISPR model dataset (erythromelalgia, PEPD variant panels)</w:t>
      </w:r>
    </w:p>
    <w:p>
      <w:pPr>
        <w:pStyle w:val="ListParagraph"/>
        <w:numPr>
          <w:ilvl w:val="0"/>
          <w:numId w:val="2"/>
        </w:numPr>
        <w:spacing w:after="100" w:line="360"/>
      </w:pPr>
      <w:r>
        <w:rPr>
          <w:rFonts w:ascii="Arial" w:cs="Arial" w:eastAsia="Arial" w:hAnsi="Arial"/>
          <w:sz w:val="24"/>
          <w:szCs w:val="24"/>
        </w:rPr>
        <w:t xml:space="preserve">Patient phenotype-EP signature correlation analysis (clinical severity vs. EP dysregulation metrics)</w:t>
      </w:r>
    </w:p>
    <w:p>
      <w:pPr>
        <w:pStyle w:val="ListParagraph"/>
        <w:numPr>
          <w:ilvl w:val="0"/>
          <w:numId w:val="2"/>
        </w:numPr>
        <w:spacing w:after="100" w:line="360"/>
      </w:pPr>
      <w:r>
        <w:rPr>
          <w:rFonts w:ascii="Arial" w:cs="Arial" w:eastAsia="Arial" w:hAnsi="Arial"/>
          <w:sz w:val="24"/>
          <w:szCs w:val="24"/>
        </w:rPr>
        <w:t xml:space="preserve">Mutation-specific phenotype stratification (variant-by-variant EP profiles)</w:t>
      </w:r>
    </w:p>
    <w:p>
      <w:pPr>
        <w:pStyle w:val="ListParagraph"/>
        <w:numPr>
          <w:ilvl w:val="0"/>
          <w:numId w:val="2"/>
        </w:numPr>
        <w:spacing w:after="100" w:line="360"/>
      </w:pPr>
      <w:r>
        <w:rPr>
          <w:rFonts w:ascii="Arial" w:cs="Arial" w:eastAsia="Arial" w:hAnsi="Arial"/>
          <w:sz w:val="24"/>
          <w:szCs w:val="24"/>
        </w:rPr>
        <w:t xml:space="preserve">Clinical relevance scoring (compound rescue of disease-specific metrics, weight by clinical burden)</w:t>
      </w:r>
    </w:p>
    <w:p>
      <w:pPr>
        <w:pStyle w:val="ListParagraph"/>
        <w:numPr>
          <w:ilvl w:val="0"/>
          <w:numId w:val="2"/>
        </w:numPr>
        <w:spacing w:after="100" w:line="360"/>
      </w:pPr>
      <w:r>
        <w:rPr>
          <w:rFonts w:ascii="Arial" w:cs="Arial" w:eastAsia="Arial" w:hAnsi="Arial"/>
          <w:sz w:val="24"/>
          <w:szCs w:val="24"/>
        </w:rPr>
        <w:t xml:space="preserve">Thermal sensitivity modeling (temperature-dependent EP changes in disease contexts)</w:t>
      </w:r>
    </w:p>
    <w:p>
      <w:pPr>
        <w:pStyle w:val="ListParagraph"/>
        <w:numPr>
          <w:ilvl w:val="0"/>
          <w:numId w:val="2"/>
        </w:numPr>
        <w:spacing w:after="100" w:line="360"/>
      </w:pPr>
      <w:r>
        <w:rPr>
          <w:rFonts w:ascii="Arial" w:cs="Arial" w:eastAsia="Arial" w:hAnsi="Arial"/>
          <w:sz w:val="24"/>
          <w:szCs w:val="24"/>
        </w:rPr>
        <w:t xml:space="preserve">Genetic modifier analysis (compound efficacy stratified by background mutations, ancestry-specific variants)</w:t>
      </w:r>
    </w:p>
    <w:p>
      <w:pPr>
        <w:spacing w:after="100" w:line="360"/>
      </w:pPr>
      <w:r>
        <w:rPr>
          <w:rFonts w:ascii="Arial" w:cs="Arial" w:eastAsia="Arial" w:hAnsi="Arial"/>
          <w:b/>
          <w:bCs/>
          <w:sz w:val="24"/>
          <w:szCs w:val="24"/>
        </w:rPr>
        <w:t xml:space="preserve">Exemplary Sub-Prompts:</w:t>
      </w:r>
    </w:p>
    <w:p>
      <w:pPr>
        <w:pStyle w:val="ListParagraph"/>
        <w:numPr>
          <w:ilvl w:val="0"/>
          <w:numId w:val="2"/>
        </w:numPr>
        <w:spacing w:after="100" w:line="360"/>
      </w:pPr>
      <w:r>
        <w:rPr>
          <w:rFonts w:ascii="Arial" w:cs="Arial" w:eastAsia="Arial" w:hAnsi="Arial"/>
          <w:sz w:val="24"/>
          <w:szCs w:val="24"/>
        </w:rPr>
        <w:t xml:space="preserve">Extract patient-matched Nav1.7 mutation EP phenotypes from Quiver CRISPR atlas (all disease variants)</w:t>
      </w:r>
    </w:p>
    <w:p>
      <w:pPr>
        <w:pStyle w:val="ListParagraph"/>
        <w:numPr>
          <w:ilvl w:val="0"/>
          <w:numId w:val="2"/>
        </w:numPr>
        <w:spacing w:after="100" w:line="360"/>
      </w:pPr>
      <w:r>
        <w:rPr>
          <w:rFonts w:ascii="Arial" w:cs="Arial" w:eastAsia="Arial" w:hAnsi="Arial"/>
          <w:sz w:val="24"/>
          <w:szCs w:val="24"/>
        </w:rPr>
        <w:t xml:space="preserve">Score antipodal compounds by disease-relevance: which rescue erythromelalgia-specific metrics (spontaneous firing, thermal hypersensitivity)?</w:t>
      </w:r>
    </w:p>
    <w:p>
      <w:pPr>
        <w:pStyle w:val="ListParagraph"/>
        <w:numPr>
          <w:ilvl w:val="0"/>
          <w:numId w:val="2"/>
        </w:numPr>
        <w:spacing w:after="100" w:line="360"/>
      </w:pPr>
      <w:r>
        <w:rPr>
          <w:rFonts w:ascii="Arial" w:cs="Arial" w:eastAsia="Arial" w:hAnsi="Arial"/>
          <w:sz w:val="24"/>
          <w:szCs w:val="24"/>
        </w:rPr>
        <w:t xml:space="preserve">Stratify top 20 antipodal compounds by efficacy across disease variants (L858H, I848T, Y1795H, M1627K)</w:t>
      </w:r>
    </w:p>
    <w:p>
      <w:pPr>
        <w:pStyle w:val="ListParagraph"/>
        <w:numPr>
          <w:ilvl w:val="0"/>
          <w:numId w:val="2"/>
        </w:numPr>
        <w:spacing w:after="100" w:line="360"/>
      </w:pPr>
      <w:r>
        <w:rPr>
          <w:rFonts w:ascii="Arial" w:cs="Arial" w:eastAsia="Arial" w:hAnsi="Arial"/>
          <w:sz w:val="24"/>
          <w:szCs w:val="24"/>
        </w:rPr>
        <w:t xml:space="preserve">Correlate clinical pain severity (from literature, patient registries) with EP phenotype dysregulation magnitude</w:t>
      </w:r>
    </w:p>
    <w:p>
      <w:pPr>
        <w:pStyle w:val="ListParagraph"/>
        <w:numPr>
          <w:ilvl w:val="0"/>
          <w:numId w:val="2"/>
        </w:numPr>
        <w:spacing w:after="100" w:line="360"/>
      </w:pPr>
      <w:r>
        <w:rPr>
          <w:rFonts w:ascii="Arial" w:cs="Arial" w:eastAsia="Arial" w:hAnsi="Arial"/>
          <w:sz w:val="24"/>
          <w:szCs w:val="24"/>
        </w:rPr>
        <w:t xml:space="preserve">Identify compounds showing variant-specific or background-specific efficacy (personalized medicine signals)</w:t>
      </w:r>
    </w:p>
    <w:p>
      <w:pPr>
        <w:spacing w:after="100" w:line="360"/>
      </w:pPr>
      <w:r>
        <w:rPr>
          <w:rFonts w:ascii="Arial" w:cs="Arial" w:eastAsia="Arial" w:hAnsi="Arial"/>
          <w:b/>
          <w:bCs/>
          <w:sz w:val="24"/>
          <w:szCs w:val="24"/>
        </w:rPr>
        <w:t xml:space="preserve">Expected Outputs:</w:t>
      </w:r>
    </w:p>
    <w:p>
      <w:pPr>
        <w:pStyle w:val="ListParagraph"/>
        <w:numPr>
          <w:ilvl w:val="0"/>
          <w:numId w:val="2"/>
        </w:numPr>
        <w:spacing w:after="100" w:line="360"/>
      </w:pPr>
      <w:r>
        <w:rPr>
          <w:rFonts w:ascii="Arial" w:cs="Arial" w:eastAsia="Arial" w:hAnsi="Arial"/>
          <w:sz w:val="24"/>
          <w:szCs w:val="24"/>
        </w:rPr>
        <w:t xml:space="preserve">Disease-specific EP phenotype profiles for erythromelalgia and PEPD patient Nav1.7 mutations</w:t>
      </w:r>
    </w:p>
    <w:p>
      <w:pPr>
        <w:pStyle w:val="ListParagraph"/>
        <w:numPr>
          <w:ilvl w:val="0"/>
          <w:numId w:val="2"/>
        </w:numPr>
        <w:spacing w:after="100" w:line="360"/>
      </w:pPr>
      <w:r>
        <w:rPr>
          <w:rFonts w:ascii="Arial" w:cs="Arial" w:eastAsia="Arial" w:hAnsi="Arial"/>
          <w:sz w:val="24"/>
          <w:szCs w:val="24"/>
        </w:rPr>
        <w:t xml:space="preserve">Clinical relevance scores for top 50 antipodal compounds (rescue of disease-specific metrics, weights)</w:t>
      </w:r>
    </w:p>
    <w:p>
      <w:pPr>
        <w:pStyle w:val="ListParagraph"/>
        <w:numPr>
          <w:ilvl w:val="0"/>
          <w:numId w:val="2"/>
        </w:numPr>
        <w:spacing w:after="100" w:line="360"/>
      </w:pPr>
      <w:r>
        <w:rPr>
          <w:rFonts w:ascii="Arial" w:cs="Arial" w:eastAsia="Arial" w:hAnsi="Arial"/>
          <w:sz w:val="24"/>
          <w:szCs w:val="24"/>
        </w:rPr>
        <w:t xml:space="preserve">Variant-stratified compound rankings (top 20 for L858H, I848T, Y1795H, M1627K separately)</w:t>
      </w:r>
    </w:p>
    <w:p>
      <w:pPr>
        <w:pStyle w:val="ListParagraph"/>
        <w:numPr>
          <w:ilvl w:val="0"/>
          <w:numId w:val="2"/>
        </w:numPr>
        <w:spacing w:after="100" w:line="360"/>
      </w:pPr>
      <w:r>
        <w:rPr>
          <w:rFonts w:ascii="Arial" w:cs="Arial" w:eastAsia="Arial" w:hAnsi="Arial"/>
          <w:sz w:val="24"/>
          <w:szCs w:val="24"/>
        </w:rPr>
        <w:t xml:space="preserve">Mutation-specific antipodal phenotype signatures (which features normalized most in each disease variant)</w:t>
      </w:r>
    </w:p>
    <w:p>
      <w:pPr>
        <w:pStyle w:val="ListParagraph"/>
        <w:numPr>
          <w:ilvl w:val="0"/>
          <w:numId w:val="2"/>
        </w:numPr>
        <w:spacing w:after="100" w:line="360"/>
      </w:pPr>
      <w:r>
        <w:rPr>
          <w:rFonts w:ascii="Arial" w:cs="Arial" w:eastAsia="Arial" w:hAnsi="Arial"/>
          <w:sz w:val="24"/>
          <w:szCs w:val="24"/>
        </w:rPr>
        <w:t xml:space="preserve">Thermal sensitivity rescue profiles (compound effects on temperature-dependent EP changes)</w:t>
      </w:r>
    </w:p>
    <w:p>
      <w:pPr>
        <w:pStyle w:val="ListParagraph"/>
        <w:numPr>
          <w:ilvl w:val="0"/>
          <w:numId w:val="2"/>
        </w:numPr>
        <w:spacing w:after="100" w:line="360"/>
      </w:pPr>
      <w:r>
        <w:rPr>
          <w:rFonts w:ascii="Arial" w:cs="Arial" w:eastAsia="Arial" w:hAnsi="Arial"/>
          <w:sz w:val="24"/>
          <w:szCs w:val="24"/>
        </w:rPr>
        <w:t xml:space="preserve">Personalized medicine predictions: genetic modifiers predicting compound responder phenotypes</w:t>
      </w:r>
    </w:p>
    <w:p>
      <w:pPr>
        <w:spacing w:after="200" w:line="360"/>
      </w:pPr>
      <w:r>
        <w:rPr>
          <w:rFonts w:ascii="Arial" w:cs="Arial" w:eastAsia="Arial" w:hAnsi="Arial"/>
          <w:b/>
          <w:bCs/>
          <w:sz w:val="24"/>
          <w:szCs w:val="24"/>
        </w:rPr>
        <w:t xml:space="preserve">Format: </w:t>
      </w:r>
      <w:r>
        <w:rPr>
          <w:rFonts w:ascii="Arial" w:cs="Arial" w:eastAsia="Arial" w:hAnsi="Arial"/>
          <w:sz w:val="24"/>
          <w:szCs w:val="24"/>
        </w:rPr>
        <w:t xml:space="preserve">Patient mutation-stratified compound ranking table; clinical relevance scoring matrix; disease-specific EP phenotype profiles (heatmaps); variant-by-compound efficacy table; thermal sensitivity curves; personalized responder prediction features</w:t>
      </w:r>
    </w:p>
    <w:p>
      <w:pPr>
        <w:pStyle w:val="Heading2"/>
        <w:spacing w:after="200" w:before="200"/>
      </w:pPr>
      <w:r>
        <w:rPr>
          <w:rFonts w:ascii="Arial" w:cs="Arial" w:eastAsia="Arial" w:hAnsi="Arial"/>
          <w:b/>
          <w:bCs/>
          <w:sz w:val="28"/>
          <w:szCs w:val="28"/>
        </w:rPr>
        <w:t xml:space="preserve">Stage 6: Lead Candidate Summary &amp; Clinical Translation Roadmap</w:t>
      </w:r>
    </w:p>
    <w:p>
      <w:pPr>
        <w:spacing w:after="200" w:line="360"/>
      </w:pPr>
      <w:r>
        <w:rPr>
          <w:rFonts w:ascii="Arial" w:cs="Arial" w:eastAsia="Arial" w:hAnsi="Arial"/>
          <w:b/>
          <w:bCs/>
          <w:sz w:val="24"/>
          <w:szCs w:val="24"/>
        </w:rPr>
        <w:t xml:space="preserve">Purpose: </w:t>
      </w:r>
      <w:r>
        <w:rPr>
          <w:rFonts w:ascii="Arial" w:cs="Arial" w:eastAsia="Arial" w:hAnsi="Arial"/>
          <w:sz w:val="24"/>
          <w:szCs w:val="24"/>
        </w:rPr>
        <w:t xml:space="preserve">Synthesize findings into a prioritized lead compound list with clinical translation recommendations, off-target risk assessment, and pharmacokinetic considerations.</w:t>
      </w:r>
    </w:p>
    <w:p>
      <w:pPr>
        <w:spacing w:after="100" w:line="360"/>
      </w:pPr>
      <w:r>
        <w:rPr>
          <w:rFonts w:ascii="Arial" w:cs="Arial" w:eastAsia="Arial" w:hAnsi="Arial"/>
          <w:b/>
          <w:bCs/>
          <w:sz w:val="24"/>
          <w:szCs w:val="24"/>
        </w:rPr>
        <w:t xml:space="preserve">Inputs:</w:t>
      </w:r>
    </w:p>
    <w:p>
      <w:pPr>
        <w:pStyle w:val="ListParagraph"/>
        <w:numPr>
          <w:ilvl w:val="0"/>
          <w:numId w:val="2"/>
        </w:numPr>
        <w:spacing w:after="100" w:line="360"/>
      </w:pPr>
      <w:r>
        <w:rPr>
          <w:rFonts w:ascii="Arial" w:cs="Arial" w:eastAsia="Arial" w:hAnsi="Arial"/>
          <w:sz w:val="24"/>
          <w:szCs w:val="24"/>
        </w:rPr>
        <w:t xml:space="preserve">Top 20 antipodal compounds (integrated ranking from Stages 2-5: phenotype score, selectivity, disease-relevance)</w:t>
      </w:r>
    </w:p>
    <w:p>
      <w:pPr>
        <w:pStyle w:val="ListParagraph"/>
        <w:numPr>
          <w:ilvl w:val="0"/>
          <w:numId w:val="2"/>
        </w:numPr>
        <w:spacing w:after="100" w:line="360"/>
      </w:pPr>
      <w:r>
        <w:rPr>
          <w:rFonts w:ascii="Arial" w:cs="Arial" w:eastAsia="Arial" w:hAnsi="Arial"/>
          <w:sz w:val="24"/>
          <w:szCs w:val="24"/>
        </w:rPr>
        <w:t xml:space="preserve">Lead compound chemical structures and pharmacophore data (SMILES, MOL files)</w:t>
      </w:r>
    </w:p>
    <w:p>
      <w:pPr>
        <w:pStyle w:val="ListParagraph"/>
        <w:numPr>
          <w:ilvl w:val="0"/>
          <w:numId w:val="2"/>
        </w:numPr>
        <w:spacing w:after="100" w:line="360"/>
      </w:pPr>
      <w:r>
        <w:rPr>
          <w:rFonts w:ascii="Arial" w:cs="Arial" w:eastAsia="Arial" w:hAnsi="Arial"/>
          <w:sz w:val="24"/>
          <w:szCs w:val="24"/>
        </w:rPr>
        <w:t xml:space="preserve">ADME/pharmacokinetic predictions (solubility, permeability, hepatic metabolism, BBB penetration)</w:t>
      </w:r>
    </w:p>
    <w:p>
      <w:pPr>
        <w:pStyle w:val="ListParagraph"/>
        <w:numPr>
          <w:ilvl w:val="0"/>
          <w:numId w:val="2"/>
        </w:numPr>
        <w:spacing w:after="100" w:line="360"/>
      </w:pPr>
      <w:r>
        <w:rPr>
          <w:rFonts w:ascii="Arial" w:cs="Arial" w:eastAsia="Arial" w:hAnsi="Arial"/>
          <w:sz w:val="24"/>
          <w:szCs w:val="24"/>
        </w:rPr>
        <w:t xml:space="preserve">Off-target liability assessment (predicted interactions with 300+ off-targets from ToxCast, SEA)</w:t>
      </w:r>
    </w:p>
    <w:p>
      <w:pPr>
        <w:pStyle w:val="ListParagraph"/>
        <w:numPr>
          <w:ilvl w:val="0"/>
          <w:numId w:val="2"/>
        </w:numPr>
        <w:spacing w:after="100" w:line="360"/>
      </w:pPr>
      <w:r>
        <w:rPr>
          <w:rFonts w:ascii="Arial" w:cs="Arial" w:eastAsia="Arial" w:hAnsi="Arial"/>
          <w:sz w:val="24"/>
          <w:szCs w:val="24"/>
        </w:rPr>
        <w:t xml:space="preserve">Existing literature on lead compounds (prior studies, clinical development history, safety data)</w:t>
      </w:r>
    </w:p>
    <w:p>
      <w:pPr>
        <w:spacing w:after="100" w:line="360"/>
      </w:pPr>
      <w:r>
        <w:rPr>
          <w:rFonts w:ascii="Arial" w:cs="Arial" w:eastAsia="Arial" w:hAnsi="Arial"/>
          <w:b/>
          <w:bCs/>
          <w:sz w:val="24"/>
          <w:szCs w:val="24"/>
        </w:rPr>
        <w:t xml:space="preserve">Tools &amp; Databases Called:</w:t>
      </w:r>
    </w:p>
    <w:p>
      <w:pPr>
        <w:pStyle w:val="ListParagraph"/>
        <w:numPr>
          <w:ilvl w:val="0"/>
          <w:numId w:val="2"/>
        </w:numPr>
        <w:spacing w:after="100" w:line="360"/>
      </w:pPr>
      <w:r>
        <w:rPr>
          <w:rFonts w:ascii="Arial" w:cs="Arial" w:eastAsia="Arial" w:hAnsi="Arial"/>
          <w:sz w:val="24"/>
          <w:szCs w:val="24"/>
        </w:rPr>
        <w:t xml:space="preserve">Integrated compound ranking algorithm (multi-parameter optimization: phenotype score, selectivity, disease-relevance, ADME)</w:t>
      </w:r>
    </w:p>
    <w:p>
      <w:pPr>
        <w:pStyle w:val="ListParagraph"/>
        <w:numPr>
          <w:ilvl w:val="0"/>
          <w:numId w:val="2"/>
        </w:numPr>
        <w:spacing w:after="100" w:line="360"/>
      </w:pPr>
      <w:r>
        <w:rPr>
          <w:rFonts w:ascii="Arial" w:cs="Arial" w:eastAsia="Arial" w:hAnsi="Arial"/>
          <w:sz w:val="24"/>
          <w:szCs w:val="24"/>
        </w:rPr>
        <w:t xml:space="preserve">PK prediction toolkit (ADME predictor, hepatic clearance estimation, BBB permeability models)</w:t>
      </w:r>
    </w:p>
    <w:p>
      <w:pPr>
        <w:pStyle w:val="ListParagraph"/>
        <w:numPr>
          <w:ilvl w:val="0"/>
          <w:numId w:val="2"/>
        </w:numPr>
        <w:spacing w:after="100" w:line="360"/>
      </w:pPr>
      <w:r>
        <w:rPr>
          <w:rFonts w:ascii="Arial" w:cs="Arial" w:eastAsia="Arial" w:hAnsi="Arial"/>
          <w:sz w:val="24"/>
          <w:szCs w:val="24"/>
        </w:rPr>
        <w:t xml:space="preserve">Off-target screening (SEA tool, ToxCast database, Similarity Ensemble Approach)</w:t>
      </w:r>
    </w:p>
    <w:p>
      <w:pPr>
        <w:pStyle w:val="ListParagraph"/>
        <w:numPr>
          <w:ilvl w:val="0"/>
          <w:numId w:val="2"/>
        </w:numPr>
        <w:spacing w:after="100" w:line="360"/>
      </w:pPr>
      <w:r>
        <w:rPr>
          <w:rFonts w:ascii="Arial" w:cs="Arial" w:eastAsia="Arial" w:hAnsi="Arial"/>
          <w:sz w:val="24"/>
          <w:szCs w:val="24"/>
        </w:rPr>
        <w:t xml:space="preserve">Chemical property calculation (Lipinski's Rule of Five, drug-likeness scoring, synthetic accessibility estimation)</w:t>
      </w:r>
    </w:p>
    <w:p>
      <w:pPr>
        <w:pStyle w:val="ListParagraph"/>
        <w:numPr>
          <w:ilvl w:val="0"/>
          <w:numId w:val="2"/>
        </w:numPr>
        <w:spacing w:after="100" w:line="360"/>
      </w:pPr>
      <w:r>
        <w:rPr>
          <w:rFonts w:ascii="Arial" w:cs="Arial" w:eastAsia="Arial" w:hAnsi="Arial"/>
          <w:sz w:val="24"/>
          <w:szCs w:val="24"/>
        </w:rPr>
        <w:t xml:space="preserve">Literature mining pipeline (PubMed/ChEMBL historical data extraction for lead compounds)</w:t>
      </w:r>
    </w:p>
    <w:p>
      <w:pPr>
        <w:pStyle w:val="ListParagraph"/>
        <w:numPr>
          <w:ilvl w:val="0"/>
          <w:numId w:val="2"/>
        </w:numPr>
        <w:spacing w:after="100" w:line="360"/>
      </w:pPr>
      <w:r>
        <w:rPr>
          <w:rFonts w:ascii="Arial" w:cs="Arial" w:eastAsia="Arial" w:hAnsi="Arial"/>
          <w:sz w:val="24"/>
          <w:szCs w:val="24"/>
        </w:rPr>
        <w:t xml:space="preserve">Combination therapy assessment (synergy prediction for compound + Nav1.7 inhibitor combinations)</w:t>
      </w:r>
    </w:p>
    <w:p>
      <w:pPr>
        <w:spacing w:after="100" w:line="360"/>
      </w:pPr>
      <w:r>
        <w:rPr>
          <w:rFonts w:ascii="Arial" w:cs="Arial" w:eastAsia="Arial" w:hAnsi="Arial"/>
          <w:b/>
          <w:bCs/>
          <w:sz w:val="24"/>
          <w:szCs w:val="24"/>
        </w:rPr>
        <w:t xml:space="preserve">Exemplary Sub-Prompts:</w:t>
      </w:r>
    </w:p>
    <w:p>
      <w:pPr>
        <w:pStyle w:val="ListParagraph"/>
        <w:numPr>
          <w:ilvl w:val="0"/>
          <w:numId w:val="2"/>
        </w:numPr>
        <w:spacing w:after="100" w:line="360"/>
      </w:pPr>
      <w:r>
        <w:rPr>
          <w:rFonts w:ascii="Arial" w:cs="Arial" w:eastAsia="Arial" w:hAnsi="Arial"/>
          <w:sz w:val="24"/>
          <w:szCs w:val="24"/>
        </w:rPr>
        <w:t xml:space="preserve">Rank top 20 antipodal compounds by integrated multi-parameter score (phenotype × selectivity × disease-relevance × ADME viability)</w:t>
      </w:r>
    </w:p>
    <w:p>
      <w:pPr>
        <w:pStyle w:val="ListParagraph"/>
        <w:numPr>
          <w:ilvl w:val="0"/>
          <w:numId w:val="2"/>
        </w:numPr>
        <w:spacing w:after="100" w:line="360"/>
      </w:pPr>
      <w:r>
        <w:rPr>
          <w:rFonts w:ascii="Arial" w:cs="Arial" w:eastAsia="Arial" w:hAnsi="Arial"/>
          <w:sz w:val="24"/>
          <w:szCs w:val="24"/>
        </w:rPr>
        <w:t xml:space="preserve">Assess ADME properties and BBB penetration for top 10; prioritize peripherally-acting or CNS-penetrant based on mechanism</w:t>
      </w:r>
    </w:p>
    <w:p>
      <w:pPr>
        <w:pStyle w:val="ListParagraph"/>
        <w:numPr>
          <w:ilvl w:val="0"/>
          <w:numId w:val="2"/>
        </w:numPr>
        <w:spacing w:after="100" w:line="360"/>
      </w:pPr>
      <w:r>
        <w:rPr>
          <w:rFonts w:ascii="Arial" w:cs="Arial" w:eastAsia="Arial" w:hAnsi="Arial"/>
          <w:sz w:val="24"/>
          <w:szCs w:val="24"/>
        </w:rPr>
        <w:t xml:space="preserve">Screen top 20 compounds against 300+ off-targets (ToxCast, SEA); exclude compounds with high off-target burden</w:t>
      </w:r>
    </w:p>
    <w:p>
      <w:pPr>
        <w:pStyle w:val="ListParagraph"/>
        <w:numPr>
          <w:ilvl w:val="0"/>
          <w:numId w:val="2"/>
        </w:numPr>
        <w:spacing w:after="100" w:line="360"/>
      </w:pPr>
      <w:r>
        <w:rPr>
          <w:rFonts w:ascii="Arial" w:cs="Arial" w:eastAsia="Arial" w:hAnsi="Arial"/>
          <w:sz w:val="24"/>
          <w:szCs w:val="24"/>
        </w:rPr>
        <w:t xml:space="preserve">Extract literature safety/toxicity data for existing compounds; flag new chemical entities requiring safety studies</w:t>
      </w:r>
    </w:p>
    <w:p>
      <w:pPr>
        <w:pStyle w:val="ListParagraph"/>
        <w:numPr>
          <w:ilvl w:val="0"/>
          <w:numId w:val="2"/>
        </w:numPr>
        <w:spacing w:after="100" w:line="360"/>
      </w:pPr>
      <w:r>
        <w:rPr>
          <w:rFonts w:ascii="Arial" w:cs="Arial" w:eastAsia="Arial" w:hAnsi="Arial"/>
          <w:sz w:val="24"/>
          <w:szCs w:val="24"/>
        </w:rPr>
        <w:t xml:space="preserve">Evaluate top 5 leads for combination therapy potential with Nav1.7 inhibitors or other analgesic pathways</w:t>
      </w:r>
    </w:p>
    <w:p>
      <w:pPr>
        <w:spacing w:after="100" w:line="360"/>
      </w:pPr>
      <w:r>
        <w:rPr>
          <w:rFonts w:ascii="Arial" w:cs="Arial" w:eastAsia="Arial" w:hAnsi="Arial"/>
          <w:b/>
          <w:bCs/>
          <w:sz w:val="24"/>
          <w:szCs w:val="24"/>
        </w:rPr>
        <w:t xml:space="preserve">Expected Outputs:</w:t>
      </w:r>
    </w:p>
    <w:p>
      <w:pPr>
        <w:pStyle w:val="ListParagraph"/>
        <w:numPr>
          <w:ilvl w:val="0"/>
          <w:numId w:val="2"/>
        </w:numPr>
        <w:spacing w:after="100" w:line="360"/>
      </w:pPr>
      <w:r>
        <w:rPr>
          <w:rFonts w:ascii="Arial" w:cs="Arial" w:eastAsia="Arial" w:hAnsi="Arial"/>
          <w:sz w:val="24"/>
          <w:szCs w:val="24"/>
        </w:rPr>
        <w:t xml:space="preserve">Final prioritized lead list: top 5-10 antipodal compounds with integrated ranking scores and clinical recommendations</w:t>
      </w:r>
    </w:p>
    <w:p>
      <w:pPr>
        <w:pStyle w:val="ListParagraph"/>
        <w:numPr>
          <w:ilvl w:val="0"/>
          <w:numId w:val="2"/>
        </w:numPr>
        <w:spacing w:after="100" w:line="360"/>
      </w:pPr>
      <w:r>
        <w:rPr>
          <w:rFonts w:ascii="Arial" w:cs="Arial" w:eastAsia="Arial" w:hAnsi="Arial"/>
          <w:sz w:val="24"/>
          <w:szCs w:val="24"/>
        </w:rPr>
        <w:t xml:space="preserve">Lead compound profiles: structure, targets, mechanism, disease-relevance, selectivity index, ADME properties</w:t>
      </w:r>
    </w:p>
    <w:p>
      <w:pPr>
        <w:pStyle w:val="ListParagraph"/>
        <w:numPr>
          <w:ilvl w:val="0"/>
          <w:numId w:val="2"/>
        </w:numPr>
        <w:spacing w:after="100" w:line="360"/>
      </w:pPr>
      <w:r>
        <w:rPr>
          <w:rFonts w:ascii="Arial" w:cs="Arial" w:eastAsia="Arial" w:hAnsi="Arial"/>
          <w:sz w:val="24"/>
          <w:szCs w:val="24"/>
        </w:rPr>
        <w:t xml:space="preserve">Off-target risk assessment for top 10 leads (off-targets identified, probability scores, mitigation strategies)</w:t>
      </w:r>
    </w:p>
    <w:p>
      <w:pPr>
        <w:pStyle w:val="ListParagraph"/>
        <w:numPr>
          <w:ilvl w:val="0"/>
          <w:numId w:val="2"/>
        </w:numPr>
        <w:spacing w:after="100" w:line="360"/>
      </w:pPr>
      <w:r>
        <w:rPr>
          <w:rFonts w:ascii="Arial" w:cs="Arial" w:eastAsia="Arial" w:hAnsi="Arial"/>
          <w:sz w:val="24"/>
          <w:szCs w:val="24"/>
        </w:rPr>
        <w:t xml:space="preserve">Pharmacokinetic predictions (solubility, permeability, hepatic clearance t1/2, BBB penetration, predicted plasma concentration)</w:t>
      </w:r>
    </w:p>
    <w:p>
      <w:pPr>
        <w:pStyle w:val="ListParagraph"/>
        <w:numPr>
          <w:ilvl w:val="0"/>
          <w:numId w:val="2"/>
        </w:numPr>
        <w:spacing w:after="100" w:line="360"/>
      </w:pPr>
      <w:r>
        <w:rPr>
          <w:rFonts w:ascii="Arial" w:cs="Arial" w:eastAsia="Arial" w:hAnsi="Arial"/>
          <w:sz w:val="24"/>
          <w:szCs w:val="24"/>
        </w:rPr>
        <w:t xml:space="preserve">Clinical translation roadmap (recommended preclinical studies, efficacy models, safety studies, regulatory path)</w:t>
      </w:r>
    </w:p>
    <w:p>
      <w:pPr>
        <w:pStyle w:val="ListParagraph"/>
        <w:numPr>
          <w:ilvl w:val="0"/>
          <w:numId w:val="2"/>
        </w:numPr>
        <w:spacing w:after="100" w:line="360"/>
      </w:pPr>
      <w:r>
        <w:rPr>
          <w:rFonts w:ascii="Arial" w:cs="Arial" w:eastAsia="Arial" w:hAnsi="Arial"/>
          <w:sz w:val="24"/>
          <w:szCs w:val="24"/>
        </w:rPr>
        <w:t xml:space="preserve">Combination therapy recommendations (synergy with Nav1.7 inhibitors, CGRP antagonists, or other mechanisms)</w:t>
      </w:r>
    </w:p>
    <w:p>
      <w:pPr>
        <w:spacing w:after="200" w:line="360"/>
      </w:pPr>
      <w:r>
        <w:rPr>
          <w:rFonts w:ascii="Arial" w:cs="Arial" w:eastAsia="Arial" w:hAnsi="Arial"/>
          <w:b/>
          <w:bCs/>
          <w:sz w:val="24"/>
          <w:szCs w:val="24"/>
        </w:rPr>
        <w:t xml:space="preserve">Format: </w:t>
      </w:r>
      <w:r>
        <w:rPr>
          <w:rFonts w:ascii="Arial" w:cs="Arial" w:eastAsia="Arial" w:hAnsi="Arial"/>
          <w:sz w:val="24"/>
          <w:szCs w:val="24"/>
        </w:rPr>
        <w:t xml:space="preserve">Lead compound summary table (structure images, targets, scores, ADME, off-target risks); ranked lead list with clinical recommendations; ADME property heatmap; off-target liability scorecard; preclinical/clinical development pathway flowchart</w:t>
      </w:r>
    </w:p>
    <w:p>
      <w:pPr>
        <w:pStyle w:val="Heading2"/>
        <w:spacing w:after="200" w:before="200"/>
      </w:pPr>
      <w:r>
        <w:rPr>
          <w:rFonts w:ascii="Arial" w:cs="Arial" w:eastAsia="Arial" w:hAnsi="Arial"/>
          <w:b/>
          <w:bCs/>
          <w:sz w:val="28"/>
          <w:szCs w:val="28"/>
        </w:rPr>
        <w:t xml:space="preserve">Comprehensive Tools &amp; Databases Summary</w:t>
      </w:r>
    </w:p>
    <w:p>
      <w:pPr>
        <w:pStyle w:val="ListParagraph"/>
        <w:numPr>
          <w:ilvl w:val="0"/>
          <w:numId w:val="2"/>
        </w:numPr>
        <w:spacing w:after="100" w:line="360"/>
      </w:pPr>
      <w:r>
        <w:rPr>
          <w:rFonts w:ascii="Arial" w:cs="Arial" w:eastAsia="Arial" w:hAnsi="Arial"/>
          <w:sz w:val="24"/>
          <w:szCs w:val="24"/>
        </w:rPr>
        <w:t xml:space="preserve">Quiver Bioscience Electrophysiology CRISPR Atlas (~18,000 gene perturbations, ~3,500 compound perturbations, 500+ features per neuron)</w:t>
      </w:r>
    </w:p>
    <w:p>
      <w:pPr>
        <w:pStyle w:val="ListParagraph"/>
        <w:numPr>
          <w:ilvl w:val="0"/>
          <w:numId w:val="2"/>
        </w:numPr>
        <w:spacing w:after="100" w:line="360"/>
      </w:pPr>
      <w:r>
        <w:rPr>
          <w:rFonts w:ascii="Arial" w:cs="Arial" w:eastAsia="Arial" w:hAnsi="Arial"/>
          <w:sz w:val="24"/>
          <w:szCs w:val="24"/>
        </w:rPr>
        <w:t xml:space="preserve">Ephys.io Feature Extraction Pipeline (automated action potential metrics, firing kinetics, calcium dynamics)</w:t>
      </w:r>
    </w:p>
    <w:p>
      <w:pPr>
        <w:pStyle w:val="ListParagraph"/>
        <w:numPr>
          <w:ilvl w:val="0"/>
          <w:numId w:val="2"/>
        </w:numPr>
        <w:spacing w:after="100" w:line="360"/>
      </w:pPr>
      <w:r>
        <w:rPr>
          <w:rFonts w:ascii="Arial" w:cs="Arial" w:eastAsia="Arial" w:hAnsi="Arial"/>
          <w:sz w:val="24"/>
          <w:szCs w:val="24"/>
        </w:rPr>
        <w:t xml:space="preserve">ChEMBL &amp; STITCH Compound Target Databases (chemical structure, target predictions, pharmacophore data)</w:t>
      </w:r>
    </w:p>
    <w:p>
      <w:pPr>
        <w:pStyle w:val="ListParagraph"/>
        <w:numPr>
          <w:ilvl w:val="0"/>
          <w:numId w:val="2"/>
        </w:numPr>
        <w:spacing w:after="100" w:line="360"/>
      </w:pPr>
      <w:r>
        <w:rPr>
          <w:rFonts w:ascii="Arial" w:cs="Arial" w:eastAsia="Arial" w:hAnsi="Arial"/>
          <w:sz w:val="24"/>
          <w:szCs w:val="24"/>
        </w:rPr>
        <w:t xml:space="preserve">KEGG &amp; Reactome Pathway Annotation Databases (pain pathway mapping, enrichment analysis)</w:t>
      </w:r>
    </w:p>
    <w:p>
      <w:pPr>
        <w:pStyle w:val="ListParagraph"/>
        <w:numPr>
          <w:ilvl w:val="0"/>
          <w:numId w:val="2"/>
        </w:numPr>
        <w:spacing w:after="100" w:line="360"/>
      </w:pPr>
      <w:r>
        <w:rPr>
          <w:rFonts w:ascii="Arial" w:cs="Arial" w:eastAsia="Arial" w:hAnsi="Arial"/>
          <w:sz w:val="24"/>
          <w:szCs w:val="24"/>
        </w:rPr>
        <w:t xml:space="preserve">GWAS Summary Statistics &amp; Fine-Mapping Tools (pain loci, credible sets, causal variant identification)</w:t>
      </w:r>
    </w:p>
    <w:p>
      <w:pPr>
        <w:pStyle w:val="ListParagraph"/>
        <w:numPr>
          <w:ilvl w:val="0"/>
          <w:numId w:val="2"/>
        </w:numPr>
        <w:spacing w:after="100" w:line="360"/>
      </w:pPr>
      <w:r>
        <w:rPr>
          <w:rFonts w:ascii="Arial" w:cs="Arial" w:eastAsia="Arial" w:hAnsi="Arial"/>
          <w:sz w:val="24"/>
          <w:szCs w:val="24"/>
        </w:rPr>
        <w:t xml:space="preserve">PubMed Literature Mining &amp; Pharmacology Databases (historical pain efficacy, toxicity, mechanism data)</w:t>
      </w:r>
    </w:p>
    <w:p>
      <w:pPr>
        <w:pStyle w:val="ListParagraph"/>
        <w:numPr>
          <w:ilvl w:val="0"/>
          <w:numId w:val="2"/>
        </w:numPr>
        <w:spacing w:after="100" w:line="360"/>
      </w:pPr>
      <w:r>
        <w:rPr>
          <w:rFonts w:ascii="Arial" w:cs="Arial" w:eastAsia="Arial" w:hAnsi="Arial"/>
          <w:sz w:val="24"/>
          <w:szCs w:val="24"/>
        </w:rPr>
        <w:t xml:space="preserve">String Protein-Protein Interaction Database (gene regulatory networks, pathway cross-talk)</w:t>
      </w:r>
    </w:p>
    <w:p>
      <w:pPr>
        <w:pStyle w:val="ListParagraph"/>
        <w:numPr>
          <w:ilvl w:val="0"/>
          <w:numId w:val="2"/>
        </w:numPr>
        <w:spacing w:after="100" w:line="360"/>
      </w:pPr>
      <w:r>
        <w:rPr>
          <w:rFonts w:ascii="Arial" w:cs="Arial" w:eastAsia="Arial" w:hAnsi="Arial"/>
          <w:sz w:val="24"/>
          <w:szCs w:val="24"/>
        </w:rPr>
        <w:t xml:space="preserve">PhosphoSitePlus &amp; Kinase-Substrate Databases (phosphorylation sites, kinase selectivity mapping)</w:t>
      </w:r>
    </w:p>
    <w:p>
      <w:pPr>
        <w:pStyle w:val="ListParagraph"/>
        <w:numPr>
          <w:ilvl w:val="0"/>
          <w:numId w:val="2"/>
        </w:numPr>
        <w:spacing w:after="100" w:line="360"/>
      </w:pPr>
      <w:r>
        <w:rPr>
          <w:rFonts w:ascii="Arial" w:cs="Arial" w:eastAsia="Arial" w:hAnsi="Arial"/>
          <w:sz w:val="24"/>
          <w:szCs w:val="24"/>
        </w:rPr>
        <w:t xml:space="preserve">ADME Prediction Toolkit (solubility, permeability, hepatic clearance, BBB penetration models)</w:t>
      </w:r>
    </w:p>
    <w:p>
      <w:pPr>
        <w:pStyle w:val="ListParagraph"/>
        <w:numPr>
          <w:ilvl w:val="0"/>
          <w:numId w:val="2"/>
        </w:numPr>
        <w:spacing w:after="100" w:line="360"/>
      </w:pPr>
      <w:r>
        <w:rPr>
          <w:rFonts w:ascii="Arial" w:cs="Arial" w:eastAsia="Arial" w:hAnsi="Arial"/>
          <w:sz w:val="24"/>
          <w:szCs w:val="24"/>
        </w:rPr>
        <w:t xml:space="preserve">Statistical Analysis &amp; Machine Learning Pipelines (dimensionality reduction, clustering, ranking algorithms)</w:t>
      </w:r>
    </w:p>
    <w:p>
      <w:pPr>
        <w:pStyle w:val="ListParagraph"/>
        <w:numPr>
          <w:ilvl w:val="0"/>
          <w:numId w:val="2"/>
        </w:numPr>
        <w:spacing w:after="100" w:line="360"/>
      </w:pPr>
      <w:r>
        <w:rPr>
          <w:rFonts w:ascii="Arial" w:cs="Arial" w:eastAsia="Arial" w:hAnsi="Arial"/>
          <w:sz w:val="24"/>
          <w:szCs w:val="24"/>
        </w:rPr>
        <w:t xml:space="preserve">Neo &amp; Electrophysiology Data Standardization Framework (multi-format recording compatibility, signal processing)</w:t>
      </w:r>
    </w:p>
    <w:p>
      <w:pPr>
        <w:pStyle w:val="ListParagraph"/>
        <w:numPr>
          <w:ilvl w:val="0"/>
          <w:numId w:val="2"/>
        </w:numPr>
        <w:spacing w:after="100" w:line="360"/>
      </w:pPr>
      <w:r>
        <w:rPr>
          <w:rFonts w:ascii="Arial" w:cs="Arial" w:eastAsia="Arial" w:hAnsi="Arial"/>
          <w:sz w:val="24"/>
          <w:szCs w:val="24"/>
        </w:rPr>
        <w:t xml:space="preserve">Off-Target Liability Assessment Tools (ToxCast, SEA tool for secondary binding predictions)</w:t>
      </w:r>
    </w:p>
    <w:p>
      <w:pPr>
        <w:pStyle w:val="ListParagraph"/>
        <w:numPr>
          <w:ilvl w:val="0"/>
          <w:numId w:val="2"/>
        </w:numPr>
        <w:spacing w:after="100" w:line="360"/>
      </w:pPr>
      <w:r>
        <w:rPr>
          <w:rFonts w:ascii="Arial" w:cs="Arial" w:eastAsia="Arial" w:hAnsi="Arial"/>
          <w:sz w:val="24"/>
          <w:szCs w:val="24"/>
        </w:rPr>
        <w:t xml:space="preserve">Dose-Response Curve Fitting Suite (4-parameter logistic, Hill equation, EC50/IC50 calculations)</w:t>
      </w:r>
    </w:p>
    <w:p>
      <w:pPr>
        <w:pStyle w:val="ListParagraph"/>
        <w:numPr>
          <w:ilvl w:val="0"/>
          <w:numId w:val="2"/>
        </w:numPr>
        <w:spacing w:after="100" w:line="360"/>
      </w:pPr>
      <w:r>
        <w:rPr>
          <w:rFonts w:ascii="Arial" w:cs="Arial" w:eastAsia="Arial" w:hAnsi="Arial"/>
          <w:sz w:val="24"/>
          <w:szCs w:val="24"/>
        </w:rPr>
        <w:t xml:space="preserve">Pain Genetic Database Integration (PainGenesDB, OMIM, clinical pain phenotype-genotype associations)</w:t>
      </w:r>
    </w:p>
    <w:p>
      <w:pPr>
        <w:pStyle w:val="ListParagraph"/>
        <w:numPr>
          <w:ilvl w:val="0"/>
          <w:numId w:val="2"/>
        </w:numPr>
        <w:spacing w:after="100" w:line="360"/>
      </w:pPr>
      <w:r>
        <w:rPr>
          <w:rFonts w:ascii="Arial" w:cs="Arial" w:eastAsia="Arial" w:hAnsi="Arial"/>
          <w:sz w:val="24"/>
          <w:szCs w:val="24"/>
        </w:rPr>
        <w:t xml:space="preserve">Neuroinformatics Visualization Tools (Cytoscape, UMAP, interactive heatmap generation for phenotype analysis)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pPr>
    <w:rPr>
      <w:rFonts w:ascii="Arial" w:cs="Arial" w:eastAsia="Arial" w:hAnsi="Arial"/>
      <w:b/>
      <w:bCs/>
      <w:sz w:val="32"/>
      <w:szCs w:val="32"/>
    </w:rPr>
  </w:style>
  <w:style w:type="paragraph" w:styleId="Heading2">
    <w:name w:val="Heading 2"/>
    <w:basedOn w:val="Normal"/>
    <w:next w:val="Normal"/>
    <w:qFormat/>
    <w:pPr>
      <w:spacing w:after="200" w:before="200"/>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2026-03-04T14:31:12.860Z</dcterms:created>
  <dcterms:modified xsi:type="dcterms:W3CDTF">2026-03-04T14:31:12.860Z</dcterms:modified>
</cp:coreProperties>
</file>

<file path=docProps/custom.xml><?xml version="1.0" encoding="utf-8"?>
<Properties xmlns="http://schemas.openxmlformats.org/officeDocument/2006/custom-properties" xmlns:vt="http://schemas.openxmlformats.org/officeDocument/2006/docPropsVTypes"/>
</file>