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Sapphire Pipeline Workflow: Non-Opioid Analgesics EP + Genetics Convergence</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non-opioid analgesics supported by EP + genetics convergence.</w:t>
      </w:r>
    </w:p>
    <w:p>
      <w:pPr>
        <w:spacing w:after="200" w:line="360"/>
      </w:pPr>
      <w:r>
        <w:rPr>
          <w:rFonts w:ascii="Arial" w:cs="Arial" w:eastAsia="Arial" w:hAnsi="Arial"/>
          <w:sz w:val="24"/>
          <w:szCs w:val="24"/>
        </w:rPr>
        <w:t xml:space="preserve">This pipeline integrates electrophysiological phenotypes from the Quiver CRISPR atlas with human pain genetics (GWAS loci, candidate genes) to identify non-opioid analgesic mechanisms converging at both molecular and cellular levels. By mapping GWAS pain loci to EP-characterized pathways, this pipeline discovers drugs that act through genetically-validated targets while normalizing nociceptor hyperexcitability signatures.</w:t>
      </w:r>
    </w:p>
    <w:p>
      <w:pPr>
        <w:spacing w:after="200" w:line="360"/>
      </w:pPr>
      <w:r>
        <w:rPr>
          <w:rFonts w:ascii="Arial" w:cs="Arial" w:eastAsia="Arial" w:hAnsi="Arial"/>
          <w:sz w:val="24"/>
          <w:szCs w:val="24"/>
        </w:rPr>
        <w:t xml:space="preserve">The approach leverages convergence between genetic association studies (highlighting genes enriched in pain disorder populations) and quantitative electrophysiology (identifying EP phenotypes associated with analgesic function) to identify mechanisms with highest translational confidence. This ensures discovered compounds target pathways with dual validation: genetic association in human populations and functional rescue in nociceptor EP signatures.</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Non-Opioid Analgesics EP + Genetics Convergence stage 1 overview. This pipeline component addresses critical aspects of the drug discovery workflow, integrating electrophysiological phenotyping with mechanistic target identification and clinical validation. The stage incorporates 500+ features per neuron and quantitative metrics for ranking compounds by therapeutic potential.</w:t>
      </w:r>
    </w:p>
    <w:p>
      <w:pPr>
        <w:spacing w:after="200" w:line="360"/>
      </w:pPr>
      <w:r>
        <w:rPr>
          <w:rFonts w:ascii="Arial" w:cs="Arial" w:eastAsia="Arial" w:hAnsi="Arial"/>
          <w:sz w:val="24"/>
          <w:szCs w:val="24"/>
        </w:rPr>
        <w:t xml:space="preserve">Non-Opioid Analgesics EP + Genetics Convergence stage 2 overview. This pipeline component addresses critical aspects of the drug discovery workflow, integrating electrophysiological phenotyping with mechanistic target identification and clinical validation. The stage incorporates 500+ features per neuron and quantitative metrics for ranking compounds by therapeutic potential.</w:t>
      </w:r>
    </w:p>
    <w:p>
      <w:pPr>
        <w:pStyle w:val="Heading2"/>
        <w:spacing w:after="200" w:before="200"/>
      </w:pPr>
      <w:r>
        <w:rPr>
          <w:rFonts w:ascii="Arial" w:cs="Arial" w:eastAsia="Arial" w:hAnsi="Arial"/>
          <w:b/>
          <w:bCs/>
          <w:sz w:val="28"/>
          <w:szCs w:val="28"/>
        </w:rPr>
        <w:t xml:space="preserve">Stage 1: GWAS Pain Loci Integration &amp; Genetic Target Identification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Extract and prioritize pain-associated genetic loci from large-scale GWAS studies and map to Quiver CRISPR atlas coverage for EP phenotyping.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GWAS summary statistics for chronic pain, fibromyalgia, migraine, neuropathic pain (meta-analyses, 500k+ subjects)</w:t>
      </w:r>
    </w:p>
    <w:p>
      <w:pPr>
        <w:pStyle w:val="ListParagraph"/>
        <w:numPr>
          <w:ilvl w:val="0"/>
          <w:numId w:val="2"/>
        </w:numPr>
        <w:spacing w:after="100" w:line="360"/>
      </w:pPr>
      <w:r>
        <w:rPr>
          <w:rFonts w:ascii="Arial" w:cs="Arial" w:eastAsia="Arial" w:hAnsi="Arial"/>
          <w:sz w:val="24"/>
          <w:szCs w:val="24"/>
        </w:rPr>
        <w:t xml:space="preserve">Fine-mapped pain-associated loci with credible sets and causal variant probabilities (LD-clumped, posterior probability &gt;95%)</w:t>
      </w:r>
    </w:p>
    <w:p>
      <w:pPr>
        <w:pStyle w:val="ListParagraph"/>
        <w:numPr>
          <w:ilvl w:val="0"/>
          <w:numId w:val="2"/>
        </w:numPr>
        <w:spacing w:after="100" w:line="360"/>
      </w:pPr>
      <w:r>
        <w:rPr>
          <w:rFonts w:ascii="Arial" w:cs="Arial" w:eastAsia="Arial" w:hAnsi="Arial"/>
          <w:sz w:val="24"/>
          <w:szCs w:val="24"/>
        </w:rPr>
        <w:t xml:space="preserve">Known pain-relevant genes from curated databases (PainGenesDB, OMIM, genetic associations with analgesia)</w:t>
      </w:r>
    </w:p>
    <w:p>
      <w:pPr>
        <w:pStyle w:val="ListParagraph"/>
        <w:numPr>
          <w:ilvl w:val="0"/>
          <w:numId w:val="2"/>
        </w:numPr>
        <w:spacing w:after="100" w:line="360"/>
      </w:pPr>
      <w:r>
        <w:rPr>
          <w:rFonts w:ascii="Arial" w:cs="Arial" w:eastAsia="Arial" w:hAnsi="Arial"/>
          <w:sz w:val="24"/>
          <w:szCs w:val="24"/>
        </w:rPr>
        <w:t xml:space="preserve">CRISPR perturbation coverage: 18,000 genes in Quiver atlas with EP phenotyping available</w:t>
      </w:r>
    </w:p>
    <w:p>
      <w:pPr>
        <w:pStyle w:val="ListParagraph"/>
        <w:numPr>
          <w:ilvl w:val="0"/>
          <w:numId w:val="2"/>
        </w:numPr>
        <w:spacing w:after="100" w:line="360"/>
      </w:pPr>
      <w:r>
        <w:rPr>
          <w:rFonts w:ascii="Arial" w:cs="Arial" w:eastAsia="Arial" w:hAnsi="Arial"/>
          <w:sz w:val="24"/>
          <w:szCs w:val="24"/>
        </w:rPr>
        <w:t xml:space="preserve">Gene expression profiles in DRG neurons, C-fibers, and pain-relevant CNS regions (tissue-specificity data)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GWAS summary statistics databases (UK Biobank, FinnGen, LOCUSZOOM for pain phenotypes)</w:t>
      </w:r>
    </w:p>
    <w:p>
      <w:pPr>
        <w:pStyle w:val="ListParagraph"/>
        <w:numPr>
          <w:ilvl w:val="0"/>
          <w:numId w:val="2"/>
        </w:numPr>
        <w:spacing w:after="100" w:line="360"/>
      </w:pPr>
      <w:r>
        <w:rPr>
          <w:rFonts w:ascii="Arial" w:cs="Arial" w:eastAsia="Arial" w:hAnsi="Arial"/>
          <w:sz w:val="24"/>
          <w:szCs w:val="24"/>
        </w:rPr>
        <w:t xml:space="preserve">Bayesian fine-mapping tools (SuSiE, FINEMAP for credible set generation)</w:t>
      </w:r>
    </w:p>
    <w:p>
      <w:pPr>
        <w:pStyle w:val="ListParagraph"/>
        <w:numPr>
          <w:ilvl w:val="0"/>
          <w:numId w:val="2"/>
        </w:numPr>
        <w:spacing w:after="100" w:line="360"/>
      </w:pPr>
      <w:r>
        <w:rPr>
          <w:rFonts w:ascii="Arial" w:cs="Arial" w:eastAsia="Arial" w:hAnsi="Arial"/>
          <w:sz w:val="24"/>
          <w:szCs w:val="24"/>
        </w:rPr>
        <w:t xml:space="preserve">Gene annotation databases (ENSEMBL, GENCODE, VEP for variant-to-gene mapping)</w:t>
      </w:r>
    </w:p>
    <w:p>
      <w:pPr>
        <w:pStyle w:val="ListParagraph"/>
        <w:numPr>
          <w:ilvl w:val="0"/>
          <w:numId w:val="2"/>
        </w:numPr>
        <w:spacing w:after="100" w:line="360"/>
      </w:pPr>
      <w:r>
        <w:rPr>
          <w:rFonts w:ascii="Arial" w:cs="Arial" w:eastAsia="Arial" w:hAnsi="Arial"/>
          <w:sz w:val="24"/>
          <w:szCs w:val="24"/>
        </w:rPr>
        <w:t xml:space="preserve">Tissue-specific enrichment analysis (LDSC-SEG, MAGMA for DRG neuron tissue prioritization)</w:t>
      </w:r>
    </w:p>
    <w:p>
      <w:pPr>
        <w:pStyle w:val="ListParagraph"/>
        <w:numPr>
          <w:ilvl w:val="0"/>
          <w:numId w:val="2"/>
        </w:numPr>
        <w:spacing w:after="100" w:line="360"/>
      </w:pPr>
      <w:r>
        <w:rPr>
          <w:rFonts w:ascii="Arial" w:cs="Arial" w:eastAsia="Arial" w:hAnsi="Arial"/>
          <w:sz w:val="24"/>
          <w:szCs w:val="24"/>
        </w:rPr>
        <w:t xml:space="preserve">Pathway enrichment tools (KEGG, Reactome, MSigDB for pain pathway identification)</w:t>
      </w:r>
    </w:p>
    <w:p>
      <w:pPr>
        <w:pStyle w:val="ListParagraph"/>
        <w:numPr>
          <w:ilvl w:val="0"/>
          <w:numId w:val="2"/>
        </w:numPr>
        <w:spacing w:after="100" w:line="360"/>
      </w:pPr>
      <w:r>
        <w:rPr>
          <w:rFonts w:ascii="Arial" w:cs="Arial" w:eastAsia="Arial" w:hAnsi="Arial"/>
          <w:sz w:val="24"/>
          <w:szCs w:val="24"/>
        </w:rPr>
        <w:t xml:space="preserve">Quiver CRISPR atlas gene coverage lookup (identify which GWAS genes have EP perturbation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Aggregate GWAS loci for pain phenotypes: chronic pain, fibromyalgia, migraine, neuropathic pain from largest meta-analyses</w:t>
      </w:r>
    </w:p>
    <w:p>
      <w:pPr>
        <w:pStyle w:val="ListParagraph"/>
        <w:numPr>
          <w:ilvl w:val="0"/>
          <w:numId w:val="2"/>
        </w:numPr>
        <w:spacing w:after="100" w:line="360"/>
      </w:pPr>
      <w:r>
        <w:rPr>
          <w:rFonts w:ascii="Arial" w:cs="Arial" w:eastAsia="Arial" w:hAnsi="Arial"/>
          <w:sz w:val="24"/>
          <w:szCs w:val="24"/>
        </w:rPr>
        <w:t xml:space="preserve">Fine-map credible sets: identify likely causal variants/genes at each locus (posterior probability &gt;95%)</w:t>
      </w:r>
    </w:p>
    <w:p>
      <w:pPr>
        <w:pStyle w:val="ListParagraph"/>
        <w:numPr>
          <w:ilvl w:val="0"/>
          <w:numId w:val="2"/>
        </w:numPr>
        <w:spacing w:after="100" w:line="360"/>
      </w:pPr>
      <w:r>
        <w:rPr>
          <w:rFonts w:ascii="Arial" w:cs="Arial" w:eastAsia="Arial" w:hAnsi="Arial"/>
          <w:sz w:val="24"/>
          <w:szCs w:val="24"/>
        </w:rPr>
        <w:t xml:space="preserve">Prioritize genes by DRG neuron tissue specificity (expression in nociceptors, C-fibers vs. other tissues)</w:t>
      </w:r>
    </w:p>
    <w:p>
      <w:pPr>
        <w:pStyle w:val="ListParagraph"/>
        <w:numPr>
          <w:ilvl w:val="0"/>
          <w:numId w:val="2"/>
        </w:numPr>
        <w:spacing w:after="100" w:line="360"/>
      </w:pPr>
      <w:r>
        <w:rPr>
          <w:rFonts w:ascii="Arial" w:cs="Arial" w:eastAsia="Arial" w:hAnsi="Arial"/>
          <w:sz w:val="24"/>
          <w:szCs w:val="24"/>
        </w:rPr>
        <w:t xml:space="preserve">Cross-reference fine-mapped genes with Quiver CRISPR atlas: identify which pain genes have EP perturbation data available</w:t>
      </w:r>
    </w:p>
    <w:p>
      <w:pPr>
        <w:pStyle w:val="ListParagraph"/>
        <w:numPr>
          <w:ilvl w:val="0"/>
          <w:numId w:val="2"/>
        </w:numPr>
        <w:spacing w:after="100" w:line="360"/>
      </w:pPr>
      <w:r>
        <w:rPr>
          <w:rFonts w:ascii="Arial" w:cs="Arial" w:eastAsia="Arial" w:hAnsi="Arial"/>
          <w:sz w:val="24"/>
          <w:szCs w:val="24"/>
        </w:rPr>
        <w:t xml:space="preserve">Rank genes by GWAS signal strength (smallest p-value), credible set probability, and tissue-specificity for DRG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Consolidated GWAS pain locus table: locus ID, lead SNP, p-value, credible set genes, posterior probability</w:t>
      </w:r>
    </w:p>
    <w:p>
      <w:pPr>
        <w:pStyle w:val="ListParagraph"/>
        <w:numPr>
          <w:ilvl w:val="0"/>
          <w:numId w:val="2"/>
        </w:numPr>
        <w:spacing w:after="100" w:line="360"/>
      </w:pPr>
      <w:r>
        <w:rPr>
          <w:rFonts w:ascii="Arial" w:cs="Arial" w:eastAsia="Arial" w:hAnsi="Arial"/>
          <w:sz w:val="24"/>
          <w:szCs w:val="24"/>
        </w:rPr>
        <w:t xml:space="preserve">Fine-mapped causal genes (500-1000 genes) with tissue-specificity scores and pain genetic association strength</w:t>
      </w:r>
    </w:p>
    <w:p>
      <w:pPr>
        <w:pStyle w:val="ListParagraph"/>
        <w:numPr>
          <w:ilvl w:val="0"/>
          <w:numId w:val="2"/>
        </w:numPr>
        <w:spacing w:after="100" w:line="360"/>
      </w:pPr>
      <w:r>
        <w:rPr>
          <w:rFonts w:ascii="Arial" w:cs="Arial" w:eastAsia="Arial" w:hAnsi="Arial"/>
          <w:sz w:val="24"/>
          <w:szCs w:val="24"/>
        </w:rPr>
        <w:t xml:space="preserve">Quiver CRISPR atlas coverage summary: which fine-mapped pain genes have EP perturbation data (18k gene atlas)</w:t>
      </w:r>
    </w:p>
    <w:p>
      <w:pPr>
        <w:pStyle w:val="ListParagraph"/>
        <w:numPr>
          <w:ilvl w:val="0"/>
          <w:numId w:val="2"/>
        </w:numPr>
        <w:spacing w:after="100" w:line="360"/>
      </w:pPr>
      <w:r>
        <w:rPr>
          <w:rFonts w:ascii="Arial" w:cs="Arial" w:eastAsia="Arial" w:hAnsi="Arial"/>
          <w:sz w:val="24"/>
          <w:szCs w:val="24"/>
        </w:rPr>
        <w:t xml:space="preserve">Tissue-specificity enrichment scores (DRG neurons, C-fibers, spinal cord, brain region-specific weights)</w:t>
      </w:r>
    </w:p>
    <w:p>
      <w:pPr>
        <w:pStyle w:val="ListParagraph"/>
        <w:numPr>
          <w:ilvl w:val="0"/>
          <w:numId w:val="2"/>
        </w:numPr>
        <w:spacing w:after="100" w:line="360"/>
      </w:pPr>
      <w:r>
        <w:rPr>
          <w:rFonts w:ascii="Arial" w:cs="Arial" w:eastAsia="Arial" w:hAnsi="Arial"/>
          <w:sz w:val="24"/>
          <w:szCs w:val="24"/>
        </w:rPr>
        <w:t xml:space="preserve">Top 100 pain-associated genes prioritized for EP-genetics convergence analysis</w:t>
      </w:r>
    </w:p>
    <w:p>
      <w:pPr>
        <w:pStyle w:val="ListParagraph"/>
        <w:numPr>
          <w:ilvl w:val="0"/>
          <w:numId w:val="2"/>
        </w:numPr>
        <w:spacing w:after="100" w:line="360"/>
      </w:pPr>
      <w:r>
        <w:rPr>
          <w:rFonts w:ascii="Arial" w:cs="Arial" w:eastAsia="Arial" w:hAnsi="Arial"/>
          <w:sz w:val="24"/>
          <w:szCs w:val="24"/>
        </w:rPr>
        <w:t xml:space="preserve">GWAS-to-Quiver gene matching table (GWAS gene → Quiver CRISPR gene ID, EP features available)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GWAS locus summary table (chrom, lead variant, p-value, credible set genes); tissue-specificity scores (gene × tissue matrix); Quiver coverage cross-reference (matched gene list with EP data availability); visualization: Manhattan plot with pain loci, tissue-specificity heatmap</w:t>
      </w:r>
    </w:p>
    <w:p>
      <w:pPr>
        <w:pStyle w:val="Heading2"/>
        <w:spacing w:after="200" w:before="200"/>
      </w:pPr>
      <w:r>
        <w:rPr>
          <w:rFonts w:ascii="Arial" w:cs="Arial" w:eastAsia="Arial" w:hAnsi="Arial"/>
          <w:b/>
          <w:bCs/>
          <w:sz w:val="28"/>
          <w:szCs w:val="28"/>
        </w:rPr>
        <w:t xml:space="preserve">Stage 2: EP Phenotype-Genetics Convergence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Quantify convergence between GWAS genetic associations and EP rescue signatures by scoring compounds that normalize phenotypes linked to pain-associated genes.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100 fine-mapped pain-associated genes and their CRISPR perturbation EP profiles from Quiver atlas</w:t>
      </w:r>
    </w:p>
    <w:p>
      <w:pPr>
        <w:pStyle w:val="ListParagraph"/>
        <w:numPr>
          <w:ilvl w:val="0"/>
          <w:numId w:val="2"/>
        </w:numPr>
        <w:spacing w:after="100" w:line="360"/>
      </w:pPr>
      <w:r>
        <w:rPr>
          <w:rFonts w:ascii="Arial" w:cs="Arial" w:eastAsia="Arial" w:hAnsi="Arial"/>
          <w:sz w:val="24"/>
          <w:szCs w:val="24"/>
        </w:rPr>
        <w:t xml:space="preserve">Compound perturbation EP profiles (3,500 compounds × 500 features × DRG neurons)</w:t>
      </w:r>
    </w:p>
    <w:p>
      <w:pPr>
        <w:pStyle w:val="ListParagraph"/>
        <w:numPr>
          <w:ilvl w:val="0"/>
          <w:numId w:val="2"/>
        </w:numPr>
        <w:spacing w:after="100" w:line="360"/>
      </w:pPr>
      <w:r>
        <w:rPr>
          <w:rFonts w:ascii="Arial" w:cs="Arial" w:eastAsia="Arial" w:hAnsi="Arial"/>
          <w:sz w:val="24"/>
          <w:szCs w:val="24"/>
        </w:rPr>
        <w:t xml:space="preserve">Genetic association effect sizes and confidence intervals from GWAS (odds ratios, betas, standard errors)</w:t>
      </w:r>
    </w:p>
    <w:p>
      <w:pPr>
        <w:pStyle w:val="ListParagraph"/>
        <w:numPr>
          <w:ilvl w:val="0"/>
          <w:numId w:val="2"/>
        </w:numPr>
        <w:spacing w:after="100" w:line="360"/>
      </w:pPr>
      <w:r>
        <w:rPr>
          <w:rFonts w:ascii="Arial" w:cs="Arial" w:eastAsia="Arial" w:hAnsi="Arial"/>
          <w:sz w:val="24"/>
          <w:szCs w:val="24"/>
        </w:rPr>
        <w:t xml:space="preserve">Drug target information: ChEMBL targets for all 3,500 compounds, target-gene mapping</w:t>
      </w:r>
    </w:p>
    <w:p>
      <w:pPr>
        <w:pStyle w:val="ListParagraph"/>
        <w:numPr>
          <w:ilvl w:val="0"/>
          <w:numId w:val="2"/>
        </w:numPr>
        <w:spacing w:after="100" w:line="360"/>
      </w:pPr>
      <w:r>
        <w:rPr>
          <w:rFonts w:ascii="Arial" w:cs="Arial" w:eastAsia="Arial" w:hAnsi="Arial"/>
          <w:sz w:val="24"/>
          <w:szCs w:val="24"/>
        </w:rPr>
        <w:t xml:space="preserve">Known analgesic compounds and their mechanisms (mu-opioid independent: NSAIDs, CGRP antagonists, TNF inhibitors, gabapentinoids)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Phenotype-target correlation analysis (compound EP similarity to pain-gene perturbation signatures)</w:t>
      </w:r>
    </w:p>
    <w:p>
      <w:pPr>
        <w:pStyle w:val="ListParagraph"/>
        <w:numPr>
          <w:ilvl w:val="0"/>
          <w:numId w:val="2"/>
        </w:numPr>
        <w:spacing w:after="100" w:line="360"/>
      </w:pPr>
      <w:r>
        <w:rPr>
          <w:rFonts w:ascii="Arial" w:cs="Arial" w:eastAsia="Arial" w:hAnsi="Arial"/>
          <w:sz w:val="24"/>
          <w:szCs w:val="24"/>
        </w:rPr>
        <w:t xml:space="preserve">Genetic association weighting (GWAS signal strength × compound target genetic overlap)</w:t>
      </w:r>
    </w:p>
    <w:p>
      <w:pPr>
        <w:pStyle w:val="ListParagraph"/>
        <w:numPr>
          <w:ilvl w:val="0"/>
          <w:numId w:val="2"/>
        </w:numPr>
        <w:spacing w:after="100" w:line="360"/>
      </w:pPr>
      <w:r>
        <w:rPr>
          <w:rFonts w:ascii="Arial" w:cs="Arial" w:eastAsia="Arial" w:hAnsi="Arial"/>
          <w:sz w:val="24"/>
          <w:szCs w:val="24"/>
        </w:rPr>
        <w:t xml:space="preserve">Multi-dimensional convergence scoring (EP similarity + genetic association + known analgesic mechanism)</w:t>
      </w:r>
    </w:p>
    <w:p>
      <w:pPr>
        <w:pStyle w:val="ListParagraph"/>
        <w:numPr>
          <w:ilvl w:val="0"/>
          <w:numId w:val="2"/>
        </w:numPr>
        <w:spacing w:after="100" w:line="360"/>
      </w:pPr>
      <w:r>
        <w:rPr>
          <w:rFonts w:ascii="Arial" w:cs="Arial" w:eastAsia="Arial" w:hAnsi="Arial"/>
          <w:sz w:val="24"/>
          <w:szCs w:val="24"/>
        </w:rPr>
        <w:t xml:space="preserve">Target-pathway mapping for pain genes (KEGG, Reactome enrichment of compound targets)</w:t>
      </w:r>
    </w:p>
    <w:p>
      <w:pPr>
        <w:pStyle w:val="ListParagraph"/>
        <w:numPr>
          <w:ilvl w:val="0"/>
          <w:numId w:val="2"/>
        </w:numPr>
        <w:spacing w:after="100" w:line="360"/>
      </w:pPr>
      <w:r>
        <w:rPr>
          <w:rFonts w:ascii="Arial" w:cs="Arial" w:eastAsia="Arial" w:hAnsi="Arial"/>
          <w:sz w:val="24"/>
          <w:szCs w:val="24"/>
        </w:rPr>
        <w:t xml:space="preserve">Statistical integration (Bayesian modeling of EP + genetic + literature evidence)</w:t>
      </w:r>
    </w:p>
    <w:p>
      <w:pPr>
        <w:pStyle w:val="ListParagraph"/>
        <w:numPr>
          <w:ilvl w:val="0"/>
          <w:numId w:val="2"/>
        </w:numPr>
        <w:spacing w:after="100" w:line="360"/>
      </w:pPr>
      <w:r>
        <w:rPr>
          <w:rFonts w:ascii="Arial" w:cs="Arial" w:eastAsia="Arial" w:hAnsi="Arial"/>
          <w:sz w:val="24"/>
          <w:szCs w:val="24"/>
        </w:rPr>
        <w:t xml:space="preserve">Analgesic mechanism classifier (machine learning trained on known non-opioid analgesics)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100 pain-associated genes, extract mean EP perturbation signature from Quiver atlas (500 features)</w:t>
      </w:r>
    </w:p>
    <w:p>
      <w:pPr>
        <w:pStyle w:val="ListParagraph"/>
        <w:numPr>
          <w:ilvl w:val="0"/>
          <w:numId w:val="2"/>
        </w:numPr>
        <w:spacing w:after="100" w:line="360"/>
      </w:pPr>
      <w:r>
        <w:rPr>
          <w:rFonts w:ascii="Arial" w:cs="Arial" w:eastAsia="Arial" w:hAnsi="Arial"/>
          <w:sz w:val="24"/>
          <w:szCs w:val="24"/>
        </w:rPr>
        <w:t xml:space="preserve">Score each of 3,500 compounds by EP similarity to pain-gene perturbation phenotypes (cosine similarity, Euclidean distance)</w:t>
      </w:r>
    </w:p>
    <w:p>
      <w:pPr>
        <w:pStyle w:val="ListParagraph"/>
        <w:numPr>
          <w:ilvl w:val="0"/>
          <w:numId w:val="2"/>
        </w:numPr>
        <w:spacing w:after="100" w:line="360"/>
      </w:pPr>
      <w:r>
        <w:rPr>
          <w:rFonts w:ascii="Arial" w:cs="Arial" w:eastAsia="Arial" w:hAnsi="Arial"/>
          <w:sz w:val="24"/>
          <w:szCs w:val="24"/>
        </w:rPr>
        <w:t xml:space="preserve">For compounds targeting pain-associated genes, weight convergence score by GWAS association strength (posterior probability × effect size)</w:t>
      </w:r>
    </w:p>
    <w:p>
      <w:pPr>
        <w:pStyle w:val="ListParagraph"/>
        <w:numPr>
          <w:ilvl w:val="0"/>
          <w:numId w:val="2"/>
        </w:numPr>
        <w:spacing w:after="100" w:line="360"/>
      </w:pPr>
      <w:r>
        <w:rPr>
          <w:rFonts w:ascii="Arial" w:cs="Arial" w:eastAsia="Arial" w:hAnsi="Arial"/>
          <w:sz w:val="24"/>
          <w:szCs w:val="24"/>
        </w:rPr>
        <w:t xml:space="preserve">Identify compounds whose targets overlap with top 20 pain-associated genes (direct genetic convergence)</w:t>
      </w:r>
    </w:p>
    <w:p>
      <w:pPr>
        <w:pStyle w:val="ListParagraph"/>
        <w:numPr>
          <w:ilvl w:val="0"/>
          <w:numId w:val="2"/>
        </w:numPr>
        <w:spacing w:after="100" w:line="360"/>
      </w:pPr>
      <w:r>
        <w:rPr>
          <w:rFonts w:ascii="Arial" w:cs="Arial" w:eastAsia="Arial" w:hAnsi="Arial"/>
          <w:sz w:val="24"/>
          <w:szCs w:val="24"/>
        </w:rPr>
        <w:t xml:space="preserve">Score compounds by analgesic mechanism alignment: do they normalize nociceptor hyperexcitability phenotypes similar to known non-opioid analgesics?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Convergence scores for all 3,500 compounds: EP-genetic agreement (rank by convergence strength)</w:t>
      </w:r>
    </w:p>
    <w:p>
      <w:pPr>
        <w:pStyle w:val="ListParagraph"/>
        <w:numPr>
          <w:ilvl w:val="0"/>
          <w:numId w:val="2"/>
        </w:numPr>
        <w:spacing w:after="100" w:line="360"/>
      </w:pPr>
      <w:r>
        <w:rPr>
          <w:rFonts w:ascii="Arial" w:cs="Arial" w:eastAsia="Arial" w:hAnsi="Arial"/>
          <w:sz w:val="24"/>
          <w:szCs w:val="24"/>
        </w:rPr>
        <w:t xml:space="preserve">Top 100 compounds with highest EP-genetics convergence (ranked, with component scores: EP similarity, genetic overlap, mechanism alignment)</w:t>
      </w:r>
    </w:p>
    <w:p>
      <w:pPr>
        <w:pStyle w:val="ListParagraph"/>
        <w:numPr>
          <w:ilvl w:val="0"/>
          <w:numId w:val="2"/>
        </w:numPr>
        <w:spacing w:after="100" w:line="360"/>
      </w:pPr>
      <w:r>
        <w:rPr>
          <w:rFonts w:ascii="Arial" w:cs="Arial" w:eastAsia="Arial" w:hAnsi="Arial"/>
          <w:sz w:val="24"/>
          <w:szCs w:val="24"/>
        </w:rPr>
        <w:t xml:space="preserve">Pain-associated gene-to-compound target mapping (100 pain genes × 3500 compounds, targets linked)</w:t>
      </w:r>
    </w:p>
    <w:p>
      <w:pPr>
        <w:pStyle w:val="ListParagraph"/>
        <w:numPr>
          <w:ilvl w:val="0"/>
          <w:numId w:val="2"/>
        </w:numPr>
        <w:spacing w:after="100" w:line="360"/>
      </w:pPr>
      <w:r>
        <w:rPr>
          <w:rFonts w:ascii="Arial" w:cs="Arial" w:eastAsia="Arial" w:hAnsi="Arial"/>
          <w:sz w:val="24"/>
          <w:szCs w:val="24"/>
        </w:rPr>
        <w:t xml:space="preserve">Analgesic mechanism classification for top 100 compounds (CGRP pathway, TNF pathway, TRPV1-like, etc.)</w:t>
      </w:r>
    </w:p>
    <w:p>
      <w:pPr>
        <w:pStyle w:val="ListParagraph"/>
        <w:numPr>
          <w:ilvl w:val="0"/>
          <w:numId w:val="2"/>
        </w:numPr>
        <w:spacing w:after="100" w:line="360"/>
      </w:pPr>
      <w:r>
        <w:rPr>
          <w:rFonts w:ascii="Arial" w:cs="Arial" w:eastAsia="Arial" w:hAnsi="Arial"/>
          <w:sz w:val="24"/>
          <w:szCs w:val="24"/>
        </w:rPr>
        <w:t xml:space="preserve">Convergence evidence summary for top 20 compounds: GWAS genes targeted, EP features normalized, analgesic mechanism</w:t>
      </w:r>
    </w:p>
    <w:p>
      <w:pPr>
        <w:pStyle w:val="ListParagraph"/>
        <w:numPr>
          <w:ilvl w:val="0"/>
          <w:numId w:val="2"/>
        </w:numPr>
        <w:spacing w:after="100" w:line="360"/>
      </w:pPr>
      <w:r>
        <w:rPr>
          <w:rFonts w:ascii="Arial" w:cs="Arial" w:eastAsia="Arial" w:hAnsi="Arial"/>
          <w:sz w:val="24"/>
          <w:szCs w:val="24"/>
        </w:rPr>
        <w:t xml:space="preserve">Integration confidence scores (high/medium/low confidence in EP-genetics convergence for each compound)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Convergence score ranking table (compound, convergence score, EP component, genetic component, mechanism); pain gene-compound target interaction matrix; convergence evidence table for top compounds; visualization: scatter plot (EP score vs. genetic association strength)</w:t>
      </w:r>
    </w:p>
    <w:p>
      <w:pPr>
        <w:pStyle w:val="Heading2"/>
        <w:spacing w:after="200" w:before="200"/>
      </w:pPr>
      <w:r>
        <w:rPr>
          <w:rFonts w:ascii="Arial" w:cs="Arial" w:eastAsia="Arial" w:hAnsi="Arial"/>
          <w:b/>
          <w:bCs/>
          <w:sz w:val="28"/>
          <w:szCs w:val="28"/>
        </w:rPr>
        <w:t xml:space="preserve">Stage 3: Mu-Opioid Independent Mechanism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and prioritize analgesic mechanisms that do not depend on mu-opioid receptor activation, assessing compounds for opioid-sparing therapeutic potential.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Compound target lists (ChEMBL, STITCH) for top 100 convergent compounds</w:t>
      </w:r>
    </w:p>
    <w:p>
      <w:pPr>
        <w:pStyle w:val="ListParagraph"/>
        <w:numPr>
          <w:ilvl w:val="0"/>
          <w:numId w:val="2"/>
        </w:numPr>
        <w:spacing w:after="100" w:line="360"/>
      </w:pPr>
      <w:r>
        <w:rPr>
          <w:rFonts w:ascii="Arial" w:cs="Arial" w:eastAsia="Arial" w:hAnsi="Arial"/>
          <w:sz w:val="24"/>
          <w:szCs w:val="24"/>
        </w:rPr>
        <w:t xml:space="preserve">Opioid receptor expression data in DRG neurons (mu, delta, kappa receptor patterns)</w:t>
      </w:r>
    </w:p>
    <w:p>
      <w:pPr>
        <w:pStyle w:val="ListParagraph"/>
        <w:numPr>
          <w:ilvl w:val="0"/>
          <w:numId w:val="2"/>
        </w:numPr>
        <w:spacing w:after="100" w:line="360"/>
      </w:pPr>
      <w:r>
        <w:rPr>
          <w:rFonts w:ascii="Arial" w:cs="Arial" w:eastAsia="Arial" w:hAnsi="Arial"/>
          <w:sz w:val="24"/>
          <w:szCs w:val="24"/>
        </w:rPr>
        <w:t xml:space="preserve">Receptor selectivity profiles: does each compound target mu-opioid receptor (direct or indirect)?</w:t>
      </w:r>
    </w:p>
    <w:p>
      <w:pPr>
        <w:pStyle w:val="ListParagraph"/>
        <w:numPr>
          <w:ilvl w:val="0"/>
          <w:numId w:val="2"/>
        </w:numPr>
        <w:spacing w:after="100" w:line="360"/>
      </w:pPr>
      <w:r>
        <w:rPr>
          <w:rFonts w:ascii="Arial" w:cs="Arial" w:eastAsia="Arial" w:hAnsi="Arial"/>
          <w:sz w:val="24"/>
          <w:szCs w:val="24"/>
        </w:rPr>
        <w:t xml:space="preserve">Known non-opioid analgesic mechanisms: CGRP antagonism, TNF-alpha inhibition, TRPV1 modulation, P2X3 antagonism, GABA-B agonism</w:t>
      </w:r>
    </w:p>
    <w:p>
      <w:pPr>
        <w:pStyle w:val="ListParagraph"/>
        <w:numPr>
          <w:ilvl w:val="0"/>
          <w:numId w:val="2"/>
        </w:numPr>
        <w:spacing w:after="100" w:line="360"/>
      </w:pPr>
      <w:r>
        <w:rPr>
          <w:rFonts w:ascii="Arial" w:cs="Arial" w:eastAsia="Arial" w:hAnsi="Arial"/>
          <w:sz w:val="24"/>
          <w:szCs w:val="24"/>
        </w:rPr>
        <w:t xml:space="preserve">Nociceptor-specific ion channels and signaling pathways (TrkA, p38 MAPK, ASIC, NaV1.7-1.9, CACNA1A)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Opioid receptor target filtering (exclude compounds binding mu, delta, kappa opioid receptors)</w:t>
      </w:r>
    </w:p>
    <w:p>
      <w:pPr>
        <w:pStyle w:val="ListParagraph"/>
        <w:numPr>
          <w:ilvl w:val="0"/>
          <w:numId w:val="2"/>
        </w:numPr>
        <w:spacing w:after="100" w:line="360"/>
      </w:pPr>
      <w:r>
        <w:rPr>
          <w:rFonts w:ascii="Arial" w:cs="Arial" w:eastAsia="Arial" w:hAnsi="Arial"/>
          <w:sz w:val="24"/>
          <w:szCs w:val="24"/>
        </w:rPr>
        <w:t xml:space="preserve">Non-opioid analgesic mechanism annotation (manual curation + ML classifier trained on known analgesics)</w:t>
      </w:r>
    </w:p>
    <w:p>
      <w:pPr>
        <w:pStyle w:val="ListParagraph"/>
        <w:numPr>
          <w:ilvl w:val="0"/>
          <w:numId w:val="2"/>
        </w:numPr>
        <w:spacing w:after="100" w:line="360"/>
      </w:pPr>
      <w:r>
        <w:rPr>
          <w:rFonts w:ascii="Arial" w:cs="Arial" w:eastAsia="Arial" w:hAnsi="Arial"/>
          <w:sz w:val="24"/>
          <w:szCs w:val="24"/>
        </w:rPr>
        <w:t xml:space="preserve">Target-to-mechanism mapping (compound targets → CGRP pathway, TNF pathway, TrkA, ASIC, etc.)</w:t>
      </w:r>
    </w:p>
    <w:p>
      <w:pPr>
        <w:pStyle w:val="ListParagraph"/>
        <w:numPr>
          <w:ilvl w:val="0"/>
          <w:numId w:val="2"/>
        </w:numPr>
        <w:spacing w:after="100" w:line="360"/>
      </w:pPr>
      <w:r>
        <w:rPr>
          <w:rFonts w:ascii="Arial" w:cs="Arial" w:eastAsia="Arial" w:hAnsi="Arial"/>
          <w:sz w:val="24"/>
          <w:szCs w:val="24"/>
        </w:rPr>
        <w:t xml:space="preserve">Off-opioid-pathway selectivity scoring (target overlap with known mu-opioid regulatory networks, indirect effects assessment)</w:t>
      </w:r>
    </w:p>
    <w:p>
      <w:pPr>
        <w:pStyle w:val="ListParagraph"/>
        <w:numPr>
          <w:ilvl w:val="0"/>
          <w:numId w:val="2"/>
        </w:numPr>
        <w:spacing w:after="100" w:line="360"/>
      </w:pPr>
      <w:r>
        <w:rPr>
          <w:rFonts w:ascii="Arial" w:cs="Arial" w:eastAsia="Arial" w:hAnsi="Arial"/>
          <w:sz w:val="24"/>
          <w:szCs w:val="24"/>
        </w:rPr>
        <w:t xml:space="preserve">Nociceptor-specific pathway enrichment (pathway analysis restricted to pain-neuron-relevant genes)</w:t>
      </w:r>
    </w:p>
    <w:p>
      <w:pPr>
        <w:pStyle w:val="ListParagraph"/>
        <w:numPr>
          <w:ilvl w:val="0"/>
          <w:numId w:val="2"/>
        </w:numPr>
        <w:spacing w:after="100" w:line="360"/>
      </w:pPr>
      <w:r>
        <w:rPr>
          <w:rFonts w:ascii="Arial" w:cs="Arial" w:eastAsia="Arial" w:hAnsi="Arial"/>
          <w:sz w:val="24"/>
          <w:szCs w:val="24"/>
        </w:rPr>
        <w:t xml:space="preserve">Pharmacodynamic mechanism classification (peripheral vs. CNS acting, receptor vs. kinase, transient vs. sustained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Filter top 100 convergent compounds: exclude any directly targeting mu/delta/kappa opioid receptors</w:t>
      </w:r>
    </w:p>
    <w:p>
      <w:pPr>
        <w:pStyle w:val="ListParagraph"/>
        <w:numPr>
          <w:ilvl w:val="0"/>
          <w:numId w:val="2"/>
        </w:numPr>
        <w:spacing w:after="100" w:line="360"/>
      </w:pPr>
      <w:r>
        <w:rPr>
          <w:rFonts w:ascii="Arial" w:cs="Arial" w:eastAsia="Arial" w:hAnsi="Arial"/>
          <w:sz w:val="24"/>
          <w:szCs w:val="24"/>
        </w:rPr>
        <w:t xml:space="preserve">For remaining 80-90 compounds, annotate primary analgesic mechanism (CGRP, TNF, TrkA, TRPV1, ASIC, etc.)</w:t>
      </w:r>
    </w:p>
    <w:p>
      <w:pPr>
        <w:pStyle w:val="ListParagraph"/>
        <w:numPr>
          <w:ilvl w:val="0"/>
          <w:numId w:val="2"/>
        </w:numPr>
        <w:spacing w:after="100" w:line="360"/>
      </w:pPr>
      <w:r>
        <w:rPr>
          <w:rFonts w:ascii="Arial" w:cs="Arial" w:eastAsia="Arial" w:hAnsi="Arial"/>
          <w:sz w:val="24"/>
          <w:szCs w:val="24"/>
        </w:rPr>
        <w:t xml:space="preserve">Assess indirect mu-opioid pathway effects: do compound targets modulate opioid signaling indirectly (e.g., via G-protein coupling)?</w:t>
      </w:r>
    </w:p>
    <w:p>
      <w:pPr>
        <w:pStyle w:val="ListParagraph"/>
        <w:numPr>
          <w:ilvl w:val="0"/>
          <w:numId w:val="2"/>
        </w:numPr>
        <w:spacing w:after="100" w:line="360"/>
      </w:pPr>
      <w:r>
        <w:rPr>
          <w:rFonts w:ascii="Arial" w:cs="Arial" w:eastAsia="Arial" w:hAnsi="Arial"/>
          <w:sz w:val="24"/>
          <w:szCs w:val="24"/>
        </w:rPr>
        <w:t xml:space="preserve">Identify compounds acting through distinct non-opioid mechanisms (target convergence analysis: how many targets per mechanism)?</w:t>
      </w:r>
    </w:p>
    <w:p>
      <w:pPr>
        <w:pStyle w:val="ListParagraph"/>
        <w:numPr>
          <w:ilvl w:val="0"/>
          <w:numId w:val="2"/>
        </w:numPr>
        <w:spacing w:after="100" w:line="360"/>
      </w:pPr>
      <w:r>
        <w:rPr>
          <w:rFonts w:ascii="Arial" w:cs="Arial" w:eastAsia="Arial" w:hAnsi="Arial"/>
          <w:sz w:val="24"/>
          <w:szCs w:val="24"/>
        </w:rPr>
        <w:t xml:space="preserve">Score compounds by mechanism diversity: prioritize mechanisms with multiple independent compound supports (robustness)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Opioid receptor cross-reactivity filter: compounds excluded due to mu/delta/kappa off-target binding</w:t>
      </w:r>
    </w:p>
    <w:p>
      <w:pPr>
        <w:pStyle w:val="ListParagraph"/>
        <w:numPr>
          <w:ilvl w:val="0"/>
          <w:numId w:val="2"/>
        </w:numPr>
        <w:spacing w:after="100" w:line="360"/>
      </w:pPr>
      <w:r>
        <w:rPr>
          <w:rFonts w:ascii="Arial" w:cs="Arial" w:eastAsia="Arial" w:hAnsi="Arial"/>
          <w:sz w:val="24"/>
          <w:szCs w:val="24"/>
        </w:rPr>
        <w:t xml:space="preserve">Filtered compound list (80-90 non-opioid compounds) ranked by convergence score</w:t>
      </w:r>
    </w:p>
    <w:p>
      <w:pPr>
        <w:pStyle w:val="ListParagraph"/>
        <w:numPr>
          <w:ilvl w:val="0"/>
          <w:numId w:val="2"/>
        </w:numPr>
        <w:spacing w:after="100" w:line="360"/>
      </w:pPr>
      <w:r>
        <w:rPr>
          <w:rFonts w:ascii="Arial" w:cs="Arial" w:eastAsia="Arial" w:hAnsi="Arial"/>
          <w:sz w:val="24"/>
          <w:szCs w:val="24"/>
        </w:rPr>
        <w:t xml:space="preserve">Non-opioid mechanism annotation for all filtered compounds (primary mechanism, secondary targets, evidence strength)</w:t>
      </w:r>
    </w:p>
    <w:p>
      <w:pPr>
        <w:pStyle w:val="ListParagraph"/>
        <w:numPr>
          <w:ilvl w:val="0"/>
          <w:numId w:val="2"/>
        </w:numPr>
        <w:spacing w:after="100" w:line="360"/>
      </w:pPr>
      <w:r>
        <w:rPr>
          <w:rFonts w:ascii="Arial" w:cs="Arial" w:eastAsia="Arial" w:hAnsi="Arial"/>
          <w:sz w:val="24"/>
          <w:szCs w:val="24"/>
        </w:rPr>
        <w:t xml:space="preserve">Mechanism stratification table: CGRP pathway (n compounds), TNF pathway, TrkA/NGF, TRPV1, ASIC, other mechanisms (with compound counts)</w:t>
      </w:r>
    </w:p>
    <w:p>
      <w:pPr>
        <w:pStyle w:val="ListParagraph"/>
        <w:numPr>
          <w:ilvl w:val="0"/>
          <w:numId w:val="2"/>
        </w:numPr>
        <w:spacing w:after="100" w:line="360"/>
      </w:pPr>
      <w:r>
        <w:rPr>
          <w:rFonts w:ascii="Arial" w:cs="Arial" w:eastAsia="Arial" w:hAnsi="Arial"/>
          <w:sz w:val="24"/>
          <w:szCs w:val="24"/>
        </w:rPr>
        <w:t xml:space="preserve">Pharmacodynamic profile for top 30 compounds (peripheral vs. CNS, kinase vs. receptor, mechanism durability)</w:t>
      </w:r>
    </w:p>
    <w:p>
      <w:pPr>
        <w:pStyle w:val="ListParagraph"/>
        <w:numPr>
          <w:ilvl w:val="0"/>
          <w:numId w:val="2"/>
        </w:numPr>
        <w:spacing w:after="100" w:line="360"/>
      </w:pPr>
      <w:r>
        <w:rPr>
          <w:rFonts w:ascii="Arial" w:cs="Arial" w:eastAsia="Arial" w:hAnsi="Arial"/>
          <w:sz w:val="24"/>
          <w:szCs w:val="24"/>
        </w:rPr>
        <w:t xml:space="preserve">Indirect opioid pathway effect assessment (off-target risk: compounds with potential indirect mu-receptor modulation)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Opioid cross-reactivity filtering results; non-opioid mechanism annotation table (compound × mechanism); mechanism stratification heatmap; pharmacodynamic profile summary; excluded compound list with rationale</w:t>
      </w:r>
    </w:p>
    <w:p>
      <w:pPr>
        <w:pStyle w:val="Heading2"/>
        <w:spacing w:after="200" w:before="200"/>
      </w:pPr>
      <w:r>
        <w:rPr>
          <w:rFonts w:ascii="Arial" w:cs="Arial" w:eastAsia="Arial" w:hAnsi="Arial"/>
          <w:b/>
          <w:bCs/>
          <w:sz w:val="28"/>
          <w:szCs w:val="28"/>
        </w:rPr>
        <w:t xml:space="preserve">Stage 4: CGRP Pathway &amp; EP Phenotype Clustering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CGRP pathway modulators (primary analgesic mechanism in many pain disorders) and identify EP phenotype clusters representing convergent analgesic actions.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CGRP pathway genes: CALCB, RAMP1, CLR, CALCRL, ADCYAP1, PACAP, PAC1R, VIPR1, and downstream signaling (CREB, ERK, calcium)</w:t>
      </w:r>
    </w:p>
    <w:p>
      <w:pPr>
        <w:pStyle w:val="ListParagraph"/>
        <w:numPr>
          <w:ilvl w:val="0"/>
          <w:numId w:val="2"/>
        </w:numPr>
        <w:spacing w:after="100" w:line="360"/>
      </w:pPr>
      <w:r>
        <w:rPr>
          <w:rFonts w:ascii="Arial" w:cs="Arial" w:eastAsia="Arial" w:hAnsi="Arial"/>
          <w:sz w:val="24"/>
          <w:szCs w:val="24"/>
        </w:rPr>
        <w:t xml:space="preserve">CGRP perturbation EP phenotypes from Quiver atlas (CALCB knockdown/knockout, RAMP1 perturbations, etc.)</w:t>
      </w:r>
    </w:p>
    <w:p>
      <w:pPr>
        <w:pStyle w:val="ListParagraph"/>
        <w:numPr>
          <w:ilvl w:val="0"/>
          <w:numId w:val="2"/>
        </w:numPr>
        <w:spacing w:after="100" w:line="360"/>
      </w:pPr>
      <w:r>
        <w:rPr>
          <w:rFonts w:ascii="Arial" w:cs="Arial" w:eastAsia="Arial" w:hAnsi="Arial"/>
          <w:sz w:val="24"/>
          <w:szCs w:val="24"/>
        </w:rPr>
        <w:t xml:space="preserve">Compound targets and predicted targets enriched in CGRP pathway (kinase inhibitors modulating downstream signaling)</w:t>
      </w:r>
    </w:p>
    <w:p>
      <w:pPr>
        <w:pStyle w:val="ListParagraph"/>
        <w:numPr>
          <w:ilvl w:val="0"/>
          <w:numId w:val="2"/>
        </w:numPr>
        <w:spacing w:after="100" w:line="360"/>
      </w:pPr>
      <w:r>
        <w:rPr>
          <w:rFonts w:ascii="Arial" w:cs="Arial" w:eastAsia="Arial" w:hAnsi="Arial"/>
          <w:sz w:val="24"/>
          <w:szCs w:val="24"/>
        </w:rPr>
        <w:t xml:space="preserve">EP phenotype clusters from top 100 convergent compounds (unsupervised clustering of compound-induced EP signatures)</w:t>
      </w:r>
    </w:p>
    <w:p>
      <w:pPr>
        <w:pStyle w:val="ListParagraph"/>
        <w:numPr>
          <w:ilvl w:val="0"/>
          <w:numId w:val="2"/>
        </w:numPr>
        <w:spacing w:after="100" w:line="360"/>
      </w:pPr>
      <w:r>
        <w:rPr>
          <w:rFonts w:ascii="Arial" w:cs="Arial" w:eastAsia="Arial" w:hAnsi="Arial"/>
          <w:sz w:val="24"/>
          <w:szCs w:val="24"/>
        </w:rPr>
        <w:t xml:space="preserve">Clinical evidence: migraine, fibromyalgia, and neuropathic pain responsiveness to CGRP monoclonal antibodies and receptor antagonists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CGRP pathway database (KEGG, Reactome, literature-curated signaling cascade)</w:t>
      </w:r>
    </w:p>
    <w:p>
      <w:pPr>
        <w:pStyle w:val="ListParagraph"/>
        <w:numPr>
          <w:ilvl w:val="0"/>
          <w:numId w:val="2"/>
        </w:numPr>
        <w:spacing w:after="100" w:line="360"/>
      </w:pPr>
      <w:r>
        <w:rPr>
          <w:rFonts w:ascii="Arial" w:cs="Arial" w:eastAsia="Arial" w:hAnsi="Arial"/>
          <w:sz w:val="24"/>
          <w:szCs w:val="24"/>
        </w:rPr>
        <w:t xml:space="preserve">Unsupervised clustering of compound EP phenotypes (k-means, hierarchical clustering, UMAP on 3,500 × 500 feature space)</w:t>
      </w:r>
    </w:p>
    <w:p>
      <w:pPr>
        <w:pStyle w:val="ListParagraph"/>
        <w:numPr>
          <w:ilvl w:val="0"/>
          <w:numId w:val="2"/>
        </w:numPr>
        <w:spacing w:after="100" w:line="360"/>
      </w:pPr>
      <w:r>
        <w:rPr>
          <w:rFonts w:ascii="Arial" w:cs="Arial" w:eastAsia="Arial" w:hAnsi="Arial"/>
          <w:sz w:val="24"/>
          <w:szCs w:val="24"/>
        </w:rPr>
        <w:t xml:space="preserve">Pathway enrichment analysis (Fisher's exact test, GSEA for CGRP/neuropeptide signaling in clustered phenotypes)</w:t>
      </w:r>
    </w:p>
    <w:p>
      <w:pPr>
        <w:pStyle w:val="ListParagraph"/>
        <w:numPr>
          <w:ilvl w:val="0"/>
          <w:numId w:val="2"/>
        </w:numPr>
        <w:spacing w:after="100" w:line="360"/>
      </w:pPr>
      <w:r>
        <w:rPr>
          <w:rFonts w:ascii="Arial" w:cs="Arial" w:eastAsia="Arial" w:hAnsi="Arial"/>
          <w:sz w:val="24"/>
          <w:szCs w:val="24"/>
        </w:rPr>
        <w:t xml:space="preserve">CGRP-phenotype correlation analysis (do compounds clustering with CGRP perturbations show mechanism similarity?)</w:t>
      </w:r>
    </w:p>
    <w:p>
      <w:pPr>
        <w:pStyle w:val="ListParagraph"/>
        <w:numPr>
          <w:ilvl w:val="0"/>
          <w:numId w:val="2"/>
        </w:numPr>
        <w:spacing w:after="100" w:line="360"/>
      </w:pPr>
      <w:r>
        <w:rPr>
          <w:rFonts w:ascii="Arial" w:cs="Arial" w:eastAsia="Arial" w:hAnsi="Arial"/>
          <w:sz w:val="24"/>
          <w:szCs w:val="24"/>
        </w:rPr>
        <w:t xml:space="preserve">Calcium imaging/kinase activity prediction from electrophysiology (proxy for CGRP-downstream activation state)</w:t>
      </w:r>
    </w:p>
    <w:p>
      <w:pPr>
        <w:pStyle w:val="ListParagraph"/>
        <w:numPr>
          <w:ilvl w:val="0"/>
          <w:numId w:val="2"/>
        </w:numPr>
        <w:spacing w:after="100" w:line="360"/>
      </w:pPr>
      <w:r>
        <w:rPr>
          <w:rFonts w:ascii="Arial" w:cs="Arial" w:eastAsia="Arial" w:hAnsi="Arial"/>
          <w:sz w:val="24"/>
          <w:szCs w:val="24"/>
        </w:rPr>
        <w:t xml:space="preserve">Clinical translation scoring (cluster overlap with known CGRP-sensitive pain conditions: migraine vs. fibromyalgia vs. neuropathic pain)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Extract CGRP pathway gene perturbations from Quiver atlas; identify top 20 most dysregulated EP features under CGRP modulation</w:t>
      </w:r>
    </w:p>
    <w:p>
      <w:pPr>
        <w:pStyle w:val="ListParagraph"/>
        <w:numPr>
          <w:ilvl w:val="0"/>
          <w:numId w:val="2"/>
        </w:numPr>
        <w:spacing w:after="100" w:line="360"/>
      </w:pPr>
      <w:r>
        <w:rPr>
          <w:rFonts w:ascii="Arial" w:cs="Arial" w:eastAsia="Arial" w:hAnsi="Arial"/>
          <w:sz w:val="24"/>
          <w:szCs w:val="24"/>
        </w:rPr>
        <w:t xml:space="preserve">Cluster top 100 convergent compounds by EP phenotype similarity (k-means on 50 key features, k=5-8 clusters expected)</w:t>
      </w:r>
    </w:p>
    <w:p>
      <w:pPr>
        <w:pStyle w:val="ListParagraph"/>
        <w:numPr>
          <w:ilvl w:val="0"/>
          <w:numId w:val="2"/>
        </w:numPr>
        <w:spacing w:after="100" w:line="360"/>
      </w:pPr>
      <w:r>
        <w:rPr>
          <w:rFonts w:ascii="Arial" w:cs="Arial" w:eastAsia="Arial" w:hAnsi="Arial"/>
          <w:sz w:val="24"/>
          <w:szCs w:val="24"/>
        </w:rPr>
        <w:t xml:space="preserve">For each cluster, assess CGRP pathway enrichment (do cluster targets converge on CGRP signaling pathway genes?)</w:t>
      </w:r>
    </w:p>
    <w:p>
      <w:pPr>
        <w:pStyle w:val="ListParagraph"/>
        <w:numPr>
          <w:ilvl w:val="0"/>
          <w:numId w:val="2"/>
        </w:numPr>
        <w:spacing w:after="100" w:line="360"/>
      </w:pPr>
      <w:r>
        <w:rPr>
          <w:rFonts w:ascii="Arial" w:cs="Arial" w:eastAsia="Arial" w:hAnsi="Arial"/>
          <w:sz w:val="24"/>
          <w:szCs w:val="24"/>
        </w:rPr>
        <w:t xml:space="preserve">Score each cluster by clinical pain condition relevance: migraine, fibromyalgia, neuropathic pain sensitivity</w:t>
      </w:r>
    </w:p>
    <w:p>
      <w:pPr>
        <w:pStyle w:val="ListParagraph"/>
        <w:numPr>
          <w:ilvl w:val="0"/>
          <w:numId w:val="2"/>
        </w:numPr>
        <w:spacing w:after="100" w:line="360"/>
      </w:pPr>
      <w:r>
        <w:rPr>
          <w:rFonts w:ascii="Arial" w:cs="Arial" w:eastAsia="Arial" w:hAnsi="Arial"/>
          <w:sz w:val="24"/>
          <w:szCs w:val="24"/>
        </w:rPr>
        <w:t xml:space="preserve">Identify EP phenotype signatures clustering with known CGRP antagonists/monoclonal antibodies (validation of CGRP mechanism cluster)</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CGRP pathway perturbation EP phenotype (50 most dysregulated features under CGRP manipulation)</w:t>
      </w:r>
    </w:p>
    <w:p>
      <w:pPr>
        <w:pStyle w:val="ListParagraph"/>
        <w:numPr>
          <w:ilvl w:val="0"/>
          <w:numId w:val="2"/>
        </w:numPr>
        <w:spacing w:after="100" w:line="360"/>
      </w:pPr>
      <w:r>
        <w:rPr>
          <w:rFonts w:ascii="Arial" w:cs="Arial" w:eastAsia="Arial" w:hAnsi="Arial"/>
          <w:sz w:val="24"/>
          <w:szCs w:val="24"/>
        </w:rPr>
        <w:t xml:space="preserve">Unsupervised compound clustering results: 5-8 phenotype clusters for 100 convergent compounds (cluster memberships, sizes)</w:t>
      </w:r>
    </w:p>
    <w:p>
      <w:pPr>
        <w:pStyle w:val="ListParagraph"/>
        <w:numPr>
          <w:ilvl w:val="0"/>
          <w:numId w:val="2"/>
        </w:numPr>
        <w:spacing w:after="100" w:line="360"/>
      </w:pPr>
      <w:r>
        <w:rPr>
          <w:rFonts w:ascii="Arial" w:cs="Arial" w:eastAsia="Arial" w:hAnsi="Arial"/>
          <w:sz w:val="24"/>
          <w:szCs w:val="24"/>
        </w:rPr>
        <w:t xml:space="preserve">Cluster-specific target enrichment (which pathways/genes enriched in each cluster: CGRP, TNF, TrkA, ASIC, etc.)</w:t>
      </w:r>
    </w:p>
    <w:p>
      <w:pPr>
        <w:pStyle w:val="ListParagraph"/>
        <w:numPr>
          <w:ilvl w:val="0"/>
          <w:numId w:val="2"/>
        </w:numPr>
        <w:spacing w:after="100" w:line="360"/>
      </w:pPr>
      <w:r>
        <w:rPr>
          <w:rFonts w:ascii="Arial" w:cs="Arial" w:eastAsia="Arial" w:hAnsi="Arial"/>
          <w:sz w:val="24"/>
          <w:szCs w:val="24"/>
        </w:rPr>
        <w:t xml:space="preserve">CGRP cluster validation: compounds in CGRP cluster show similar targets and phenotypes to known CGRP antagonists</w:t>
      </w:r>
    </w:p>
    <w:p>
      <w:pPr>
        <w:pStyle w:val="ListParagraph"/>
        <w:numPr>
          <w:ilvl w:val="0"/>
          <w:numId w:val="2"/>
        </w:numPr>
        <w:spacing w:after="100" w:line="360"/>
      </w:pPr>
      <w:r>
        <w:rPr>
          <w:rFonts w:ascii="Arial" w:cs="Arial" w:eastAsia="Arial" w:hAnsi="Arial"/>
          <w:sz w:val="24"/>
          <w:szCs w:val="24"/>
        </w:rPr>
        <w:t xml:space="preserve">Clinical pain condition sensitivity for each cluster (migraine sensitivity, fibromyalgia sensitivity, neuropathic pain sensitivity)</w:t>
      </w:r>
    </w:p>
    <w:p>
      <w:pPr>
        <w:pStyle w:val="ListParagraph"/>
        <w:numPr>
          <w:ilvl w:val="0"/>
          <w:numId w:val="2"/>
        </w:numPr>
        <w:spacing w:after="100" w:line="360"/>
      </w:pPr>
      <w:r>
        <w:rPr>
          <w:rFonts w:ascii="Arial" w:cs="Arial" w:eastAsia="Arial" w:hAnsi="Arial"/>
          <w:sz w:val="24"/>
          <w:szCs w:val="24"/>
        </w:rPr>
        <w:t xml:space="preserve">Within-cluster compound homogeneity scores (co-clustering confidence, intra-cluster phenotype consistency)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CGRP pathway annotation with dysregulated EP features; unsupervised cluster membership table; target enrichment results per cluster (pathway name, p-value, fold-enrichment); cluster-clinical condition sensitivity matrix; visualization: UMAP plot colored by cluster and clinical pain condition</w:t>
      </w:r>
    </w:p>
    <w:p>
      <w:pPr>
        <w:pStyle w:val="Heading2"/>
        <w:spacing w:after="200" w:before="200"/>
      </w:pPr>
      <w:r>
        <w:rPr>
          <w:rFonts w:ascii="Arial" w:cs="Arial" w:eastAsia="Arial" w:hAnsi="Arial"/>
          <w:b/>
          <w:bCs/>
          <w:sz w:val="28"/>
          <w:szCs w:val="28"/>
        </w:rPr>
        <w:t xml:space="preserve">Stage 5: GWAS Locus Validation &amp; Secondary Gene Integration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compounds against a broader GWAS genetic landscape, integrating secondary pain loci, comorbidity genes, and related phenotype associations.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 convergent non-opioid analgesic compounds (from Stage 2, filtered for non-opioid mechanism)</w:t>
      </w:r>
    </w:p>
    <w:p>
      <w:pPr>
        <w:pStyle w:val="ListParagraph"/>
        <w:numPr>
          <w:ilvl w:val="0"/>
          <w:numId w:val="2"/>
        </w:numPr>
        <w:spacing w:after="100" w:line="360"/>
      </w:pPr>
      <w:r>
        <w:rPr>
          <w:rFonts w:ascii="Arial" w:cs="Arial" w:eastAsia="Arial" w:hAnsi="Arial"/>
          <w:sz w:val="24"/>
          <w:szCs w:val="24"/>
        </w:rPr>
        <w:t xml:space="preserve">Extended GWAS pain loci: secondary signals at each pain-associated region, trans-ancestral fine-mapping results</w:t>
      </w:r>
    </w:p>
    <w:p>
      <w:pPr>
        <w:pStyle w:val="ListParagraph"/>
        <w:numPr>
          <w:ilvl w:val="0"/>
          <w:numId w:val="2"/>
        </w:numPr>
        <w:spacing w:after="100" w:line="360"/>
      </w:pPr>
      <w:r>
        <w:rPr>
          <w:rFonts w:ascii="Arial" w:cs="Arial" w:eastAsia="Arial" w:hAnsi="Arial"/>
          <w:sz w:val="24"/>
          <w:szCs w:val="24"/>
        </w:rPr>
        <w:t xml:space="preserve">Comorbidity GWAS: psychiatric (depression, anxiety), sleep (insomnia), migraine, fibromyalgia shared genetic architecture</w:t>
      </w:r>
    </w:p>
    <w:p>
      <w:pPr>
        <w:pStyle w:val="ListParagraph"/>
        <w:numPr>
          <w:ilvl w:val="0"/>
          <w:numId w:val="2"/>
        </w:numPr>
        <w:spacing w:after="100" w:line="360"/>
      </w:pPr>
      <w:r>
        <w:rPr>
          <w:rFonts w:ascii="Arial" w:cs="Arial" w:eastAsia="Arial" w:hAnsi="Arial"/>
          <w:sz w:val="24"/>
          <w:szCs w:val="24"/>
        </w:rPr>
        <w:t xml:space="preserve">Pleiotropy assessment: do pain GWAS hits also associate with other traits (psychosocial, inflammatory)?</w:t>
      </w:r>
    </w:p>
    <w:p>
      <w:pPr>
        <w:pStyle w:val="ListParagraph"/>
        <w:numPr>
          <w:ilvl w:val="0"/>
          <w:numId w:val="2"/>
        </w:numPr>
        <w:spacing w:after="100" w:line="360"/>
      </w:pPr>
      <w:r>
        <w:rPr>
          <w:rFonts w:ascii="Arial" w:cs="Arial" w:eastAsia="Arial" w:hAnsi="Arial"/>
          <w:sz w:val="24"/>
          <w:szCs w:val="24"/>
        </w:rPr>
        <w:t xml:space="preserve">Medicinal chemistry properties: compound solubility, BBB penetration, peripheral vs. CNS penetration predictions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Secondary signal fine-mapping (GCTA-JACO for joint analysis of pain GWAS loci)</w:t>
      </w:r>
    </w:p>
    <w:p>
      <w:pPr>
        <w:pStyle w:val="ListParagraph"/>
        <w:numPr>
          <w:ilvl w:val="0"/>
          <w:numId w:val="2"/>
        </w:numPr>
        <w:spacing w:after="100" w:line="360"/>
      </w:pPr>
      <w:r>
        <w:rPr>
          <w:rFonts w:ascii="Arial" w:cs="Arial" w:eastAsia="Arial" w:hAnsi="Arial"/>
          <w:sz w:val="24"/>
          <w:szCs w:val="24"/>
        </w:rPr>
        <w:t xml:space="preserve">Pleiotropy detection (MR-Egger, weighted median Mendelian randomization for shared genetic architecture)</w:t>
      </w:r>
    </w:p>
    <w:p>
      <w:pPr>
        <w:pStyle w:val="ListParagraph"/>
        <w:numPr>
          <w:ilvl w:val="0"/>
          <w:numId w:val="2"/>
        </w:numPr>
        <w:spacing w:after="100" w:line="360"/>
      </w:pPr>
      <w:r>
        <w:rPr>
          <w:rFonts w:ascii="Arial" w:cs="Arial" w:eastAsia="Arial" w:hAnsi="Arial"/>
          <w:sz w:val="24"/>
          <w:szCs w:val="24"/>
        </w:rPr>
        <w:t xml:space="preserve">Comorbidity gene-compound target mapping (psychiatric, sleep, inflammatory genes with compound overlap)</w:t>
      </w:r>
    </w:p>
    <w:p>
      <w:pPr>
        <w:pStyle w:val="ListParagraph"/>
        <w:numPr>
          <w:ilvl w:val="0"/>
          <w:numId w:val="2"/>
        </w:numPr>
        <w:spacing w:after="100" w:line="360"/>
      </w:pPr>
      <w:r>
        <w:rPr>
          <w:rFonts w:ascii="Arial" w:cs="Arial" w:eastAsia="Arial" w:hAnsi="Arial"/>
          <w:sz w:val="24"/>
          <w:szCs w:val="24"/>
        </w:rPr>
        <w:t xml:space="preserve">CNS vs. peripheral mechanism stratification (predicted BBB penetrance, CNS drug target databases)</w:t>
      </w:r>
    </w:p>
    <w:p>
      <w:pPr>
        <w:pStyle w:val="ListParagraph"/>
        <w:numPr>
          <w:ilvl w:val="0"/>
          <w:numId w:val="2"/>
        </w:numPr>
        <w:spacing w:after="100" w:line="360"/>
      </w:pPr>
      <w:r>
        <w:rPr>
          <w:rFonts w:ascii="Arial" w:cs="Arial" w:eastAsia="Arial" w:hAnsi="Arial"/>
          <w:sz w:val="24"/>
          <w:szCs w:val="24"/>
        </w:rPr>
        <w:t xml:space="preserve">Cross-trait GWAS validation (assess compound targets in depression, anxiety, insomnia GWAS for mechanism breadth)</w:t>
      </w:r>
    </w:p>
    <w:p>
      <w:pPr>
        <w:pStyle w:val="ListParagraph"/>
        <w:numPr>
          <w:ilvl w:val="0"/>
          <w:numId w:val="2"/>
        </w:numPr>
        <w:spacing w:after="100" w:line="360"/>
      </w:pPr>
      <w:r>
        <w:rPr>
          <w:rFonts w:ascii="Arial" w:cs="Arial" w:eastAsia="Arial" w:hAnsi="Arial"/>
          <w:sz w:val="24"/>
          <w:szCs w:val="24"/>
        </w:rPr>
        <w:t xml:space="preserve">Machine learning integration (train compound ranking model on extended GWAS validation features)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top 50 compounds, assess coverage of secondary GWAS pain loci: do compounds target genes in secondary signals?</w:t>
      </w:r>
    </w:p>
    <w:p>
      <w:pPr>
        <w:pStyle w:val="ListParagraph"/>
        <w:numPr>
          <w:ilvl w:val="0"/>
          <w:numId w:val="2"/>
        </w:numPr>
        <w:spacing w:after="100" w:line="360"/>
      </w:pPr>
      <w:r>
        <w:rPr>
          <w:rFonts w:ascii="Arial" w:cs="Arial" w:eastAsia="Arial" w:hAnsi="Arial"/>
          <w:sz w:val="24"/>
          <w:szCs w:val="24"/>
        </w:rPr>
        <w:t xml:space="preserve">Score compounds by pleiotropy integration: do they address shared genetic architecture with comorbid conditions (depression, anxiety)?</w:t>
      </w:r>
    </w:p>
    <w:p>
      <w:pPr>
        <w:pStyle w:val="ListParagraph"/>
        <w:numPr>
          <w:ilvl w:val="0"/>
          <w:numId w:val="2"/>
        </w:numPr>
        <w:spacing w:after="100" w:line="360"/>
      </w:pPr>
      <w:r>
        <w:rPr>
          <w:rFonts w:ascii="Arial" w:cs="Arial" w:eastAsia="Arial" w:hAnsi="Arial"/>
          <w:sz w:val="24"/>
          <w:szCs w:val="24"/>
        </w:rPr>
        <w:t xml:space="preserve">Identify compounds with CNS-penetrant mechanisms (target psychiatric/sleep comorbidity genes) vs. peripherally-restricted (pure pain targeting)</w:t>
      </w:r>
    </w:p>
    <w:p>
      <w:pPr>
        <w:pStyle w:val="ListParagraph"/>
        <w:numPr>
          <w:ilvl w:val="0"/>
          <w:numId w:val="2"/>
        </w:numPr>
        <w:spacing w:after="100" w:line="360"/>
      </w:pPr>
      <w:r>
        <w:rPr>
          <w:rFonts w:ascii="Arial" w:cs="Arial" w:eastAsia="Arial" w:hAnsi="Arial"/>
          <w:sz w:val="24"/>
          <w:szCs w:val="24"/>
        </w:rPr>
        <w:t xml:space="preserve">Validate compound target overlap with extended GWAS cohorts (trans-ancestral, sex-stratified pain GWAS)</w:t>
      </w:r>
    </w:p>
    <w:p>
      <w:pPr>
        <w:pStyle w:val="ListParagraph"/>
        <w:numPr>
          <w:ilvl w:val="0"/>
          <w:numId w:val="2"/>
        </w:numPr>
        <w:spacing w:after="100" w:line="360"/>
      </w:pPr>
      <w:r>
        <w:rPr>
          <w:rFonts w:ascii="Arial" w:cs="Arial" w:eastAsia="Arial" w:hAnsi="Arial"/>
          <w:sz w:val="24"/>
          <w:szCs w:val="24"/>
        </w:rPr>
        <w:t xml:space="preserve">Integrate medicinal chemistry: prioritize compounds with drug-like properties suitable for pain indication (oral bioavailability, CNS penetrance)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Extended GWAS gene coverage table for top 50 compounds (secondary loci, comorbidity genes, compound target matches)</w:t>
      </w:r>
    </w:p>
    <w:p>
      <w:pPr>
        <w:pStyle w:val="ListParagraph"/>
        <w:numPr>
          <w:ilvl w:val="0"/>
          <w:numId w:val="2"/>
        </w:numPr>
        <w:spacing w:after="100" w:line="360"/>
      </w:pPr>
      <w:r>
        <w:rPr>
          <w:rFonts w:ascii="Arial" w:cs="Arial" w:eastAsia="Arial" w:hAnsi="Arial"/>
          <w:sz w:val="24"/>
          <w:szCs w:val="24"/>
        </w:rPr>
        <w:t xml:space="preserve">Pleiotropy assessment: compounds addressing shared genetic architecture with psychiatric, sleep, inflammatory comorbidities</w:t>
      </w:r>
    </w:p>
    <w:p>
      <w:pPr>
        <w:pStyle w:val="ListParagraph"/>
        <w:numPr>
          <w:ilvl w:val="0"/>
          <w:numId w:val="2"/>
        </w:numPr>
        <w:spacing w:after="100" w:line="360"/>
      </w:pPr>
      <w:r>
        <w:rPr>
          <w:rFonts w:ascii="Arial" w:cs="Arial" w:eastAsia="Arial" w:hAnsi="Arial"/>
          <w:sz w:val="24"/>
          <w:szCs w:val="24"/>
        </w:rPr>
        <w:t xml:space="preserve">CNS vs. peripheral mechanism stratification (compounds classified by predicted BBB penetrance and target tissue specificity)</w:t>
      </w:r>
    </w:p>
    <w:p>
      <w:pPr>
        <w:pStyle w:val="ListParagraph"/>
        <w:numPr>
          <w:ilvl w:val="0"/>
          <w:numId w:val="2"/>
        </w:numPr>
        <w:spacing w:after="100" w:line="360"/>
      </w:pPr>
      <w:r>
        <w:rPr>
          <w:rFonts w:ascii="Arial" w:cs="Arial" w:eastAsia="Arial" w:hAnsi="Arial"/>
          <w:sz w:val="24"/>
          <w:szCs w:val="24"/>
        </w:rPr>
        <w:t xml:space="preserve">Cross-trait validation: compound targets in pain, depression, anxiety, insomnia, fibromyalgia GWAS (strength of association)</w:t>
      </w:r>
    </w:p>
    <w:p>
      <w:pPr>
        <w:pStyle w:val="ListParagraph"/>
        <w:numPr>
          <w:ilvl w:val="0"/>
          <w:numId w:val="2"/>
        </w:numPr>
        <w:spacing w:after="100" w:line="360"/>
      </w:pPr>
      <w:r>
        <w:rPr>
          <w:rFonts w:ascii="Arial" w:cs="Arial" w:eastAsia="Arial" w:hAnsi="Arial"/>
          <w:sz w:val="24"/>
          <w:szCs w:val="24"/>
        </w:rPr>
        <w:t xml:space="preserve">Trans-ancestral validation: compound efficacy predictions across ancestry groups (if differential genetic architecture detected)</w:t>
      </w:r>
    </w:p>
    <w:p>
      <w:pPr>
        <w:pStyle w:val="ListParagraph"/>
        <w:numPr>
          <w:ilvl w:val="0"/>
          <w:numId w:val="2"/>
        </w:numPr>
        <w:spacing w:after="100" w:line="360"/>
      </w:pPr>
      <w:r>
        <w:rPr>
          <w:rFonts w:ascii="Arial" w:cs="Arial" w:eastAsia="Arial" w:hAnsi="Arial"/>
          <w:sz w:val="24"/>
          <w:szCs w:val="24"/>
        </w:rPr>
        <w:t xml:space="preserve">Medicinal chemistry scorecard for top 30 compounds (solubility, permeability, protein binding, predicted clearance)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Extended GWAS coverage matrix (compound × GWAS locus type); pleiotropy enrichment table; comorbidity gene-compound interaction heatmap; CNS vs. peripheral mechanism classification; medicinal chemistry property table; cross-trait validation summary</w:t>
      </w:r>
    </w:p>
    <w:p>
      <w:pPr>
        <w:pStyle w:val="Heading2"/>
        <w:spacing w:after="200" w:before="200"/>
      </w:pPr>
      <w:r>
        <w:rPr>
          <w:rFonts w:ascii="Arial" w:cs="Arial" w:eastAsia="Arial" w:hAnsi="Arial"/>
          <w:b/>
          <w:bCs/>
          <w:sz w:val="28"/>
          <w:szCs w:val="28"/>
        </w:rPr>
        <w:t xml:space="preserve">Stage 6: Final Non-Opioid Analgesic Ranking &amp; Clinical Development Framework</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EP-genetic convergence, non-opioid mechanism validation, and extended GWAS evidence into final lead ranking with clinical development pathways.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 convergent non-opioid compounds with all prior stage scores (convergence, mechanism, CGRP clustering, GWAS validation)</w:t>
      </w:r>
    </w:p>
    <w:p>
      <w:pPr>
        <w:pStyle w:val="ListParagraph"/>
        <w:numPr>
          <w:ilvl w:val="0"/>
          <w:numId w:val="2"/>
        </w:numPr>
        <w:spacing w:after="100" w:line="360"/>
      </w:pPr>
      <w:r>
        <w:rPr>
          <w:rFonts w:ascii="Arial" w:cs="Arial" w:eastAsia="Arial" w:hAnsi="Arial"/>
          <w:sz w:val="24"/>
          <w:szCs w:val="24"/>
        </w:rPr>
        <w:t xml:space="preserve">Clinical efficacy data (where available): published outcomes for existing compounds tested in pain trials</w:t>
      </w:r>
    </w:p>
    <w:p>
      <w:pPr>
        <w:pStyle w:val="ListParagraph"/>
        <w:numPr>
          <w:ilvl w:val="0"/>
          <w:numId w:val="2"/>
        </w:numPr>
        <w:spacing w:after="100" w:line="360"/>
      </w:pPr>
      <w:r>
        <w:rPr>
          <w:rFonts w:ascii="Arial" w:cs="Arial" w:eastAsia="Arial" w:hAnsi="Arial"/>
          <w:sz w:val="24"/>
          <w:szCs w:val="24"/>
        </w:rPr>
        <w:t xml:space="preserve">Tolerability and long-term safety profiles: dependence liability assessment, tolerance development risk, adverse event databases</w:t>
      </w:r>
    </w:p>
    <w:p>
      <w:pPr>
        <w:pStyle w:val="ListParagraph"/>
        <w:numPr>
          <w:ilvl w:val="0"/>
          <w:numId w:val="2"/>
        </w:numPr>
        <w:spacing w:after="100" w:line="360"/>
      </w:pPr>
      <w:r>
        <w:rPr>
          <w:rFonts w:ascii="Arial" w:cs="Arial" w:eastAsia="Arial" w:hAnsi="Arial"/>
          <w:sz w:val="24"/>
          <w:szCs w:val="24"/>
        </w:rPr>
        <w:t xml:space="preserve">Pharmacogenetic markers: genetic variation predicting compound response or adverse effects in pain populations</w:t>
      </w:r>
    </w:p>
    <w:p>
      <w:pPr>
        <w:pStyle w:val="ListParagraph"/>
        <w:numPr>
          <w:ilvl w:val="0"/>
          <w:numId w:val="2"/>
        </w:numPr>
        <w:spacing w:after="100" w:line="360"/>
      </w:pPr>
      <w:r>
        <w:rPr>
          <w:rFonts w:ascii="Arial" w:cs="Arial" w:eastAsia="Arial" w:hAnsi="Arial"/>
          <w:sz w:val="24"/>
          <w:szCs w:val="24"/>
        </w:rPr>
        <w:t xml:space="preserve">Regulatory pathway precedent: analogous compounds in IND applications, clinical trial phase history for pain indications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Multi-parameter compound ranking (integrate convergence score, mechanism diversity, GWAS validation, medicinal chemistry, clinical precedent)</w:t>
      </w:r>
    </w:p>
    <w:p>
      <w:pPr>
        <w:pStyle w:val="ListParagraph"/>
        <w:numPr>
          <w:ilvl w:val="0"/>
          <w:numId w:val="2"/>
        </w:numPr>
        <w:spacing w:after="100" w:line="360"/>
      </w:pPr>
      <w:r>
        <w:rPr>
          <w:rFonts w:ascii="Arial" w:cs="Arial" w:eastAsia="Arial" w:hAnsi="Arial"/>
          <w:sz w:val="24"/>
          <w:szCs w:val="24"/>
        </w:rPr>
        <w:t xml:space="preserve">Clinical efficacy prediction (train ML model on known non-opioid analgesics, predict efficacy for compounds with high genetic-EP convergence)</w:t>
      </w:r>
    </w:p>
    <w:p>
      <w:pPr>
        <w:pStyle w:val="ListParagraph"/>
        <w:numPr>
          <w:ilvl w:val="0"/>
          <w:numId w:val="2"/>
        </w:numPr>
        <w:spacing w:after="100" w:line="360"/>
      </w:pPr>
      <w:r>
        <w:rPr>
          <w:rFonts w:ascii="Arial" w:cs="Arial" w:eastAsia="Arial" w:hAnsi="Arial"/>
          <w:sz w:val="24"/>
          <w:szCs w:val="24"/>
        </w:rPr>
        <w:t xml:space="preserve">Tolerability risk assessment (estimate dependence/tolerance liability based on mechanism and prior safety data)</w:t>
      </w:r>
    </w:p>
    <w:p>
      <w:pPr>
        <w:pStyle w:val="ListParagraph"/>
        <w:numPr>
          <w:ilvl w:val="0"/>
          <w:numId w:val="2"/>
        </w:numPr>
        <w:spacing w:after="100" w:line="360"/>
      </w:pPr>
      <w:r>
        <w:rPr>
          <w:rFonts w:ascii="Arial" w:cs="Arial" w:eastAsia="Arial" w:hAnsi="Arial"/>
          <w:sz w:val="24"/>
          <w:szCs w:val="24"/>
        </w:rPr>
        <w:t xml:space="preserve">Pharmacogenetic enrichment analysis (identify genetic markers predicting compound responders, personalized medicine opportunities)</w:t>
      </w:r>
    </w:p>
    <w:p>
      <w:pPr>
        <w:pStyle w:val="ListParagraph"/>
        <w:numPr>
          <w:ilvl w:val="0"/>
          <w:numId w:val="2"/>
        </w:numPr>
        <w:spacing w:after="100" w:line="360"/>
      </w:pPr>
      <w:r>
        <w:rPr>
          <w:rFonts w:ascii="Arial" w:cs="Arial" w:eastAsia="Arial" w:hAnsi="Arial"/>
          <w:sz w:val="24"/>
          <w:szCs w:val="24"/>
        </w:rPr>
        <w:t xml:space="preserve">Development pathway classification (repurposing candidates vs. novel targets, regulatory strategy recommendation)</w:t>
      </w:r>
    </w:p>
    <w:p>
      <w:pPr>
        <w:pStyle w:val="ListParagraph"/>
        <w:numPr>
          <w:ilvl w:val="0"/>
          <w:numId w:val="2"/>
        </w:numPr>
        <w:spacing w:after="100" w:line="360"/>
      </w:pPr>
      <w:r>
        <w:rPr>
          <w:rFonts w:ascii="Arial" w:cs="Arial" w:eastAsia="Arial" w:hAnsi="Arial"/>
          <w:sz w:val="24"/>
          <w:szCs w:val="24"/>
        </w:rPr>
        <w:t xml:space="preserve">Combination therapy opportunity identification (compounds synergizing with existing analgesics, multimodal pain mechanisms)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Integrate all stage scores (convergence × mechanism × GWAS validation × medicinal chemistry) into final ranking model</w:t>
      </w:r>
    </w:p>
    <w:p>
      <w:pPr>
        <w:pStyle w:val="ListParagraph"/>
        <w:numPr>
          <w:ilvl w:val="0"/>
          <w:numId w:val="2"/>
        </w:numPr>
        <w:spacing w:after="100" w:line="360"/>
      </w:pPr>
      <w:r>
        <w:rPr>
          <w:rFonts w:ascii="Arial" w:cs="Arial" w:eastAsia="Arial" w:hAnsi="Arial"/>
          <w:sz w:val="24"/>
          <w:szCs w:val="24"/>
        </w:rPr>
        <w:t xml:space="preserve">For top 20 compounds, extract clinical efficacy predictions based on training set of known non-opioid analgesics</w:t>
      </w:r>
    </w:p>
    <w:p>
      <w:pPr>
        <w:pStyle w:val="ListParagraph"/>
        <w:numPr>
          <w:ilvl w:val="0"/>
          <w:numId w:val="2"/>
        </w:numPr>
        <w:spacing w:after="100" w:line="360"/>
      </w:pPr>
      <w:r>
        <w:rPr>
          <w:rFonts w:ascii="Arial" w:cs="Arial" w:eastAsia="Arial" w:hAnsi="Arial"/>
          <w:sz w:val="24"/>
          <w:szCs w:val="24"/>
        </w:rPr>
        <w:t xml:space="preserve">Assess dependence/tolerance liability for top 20 (low risk mechanisms: channel modulation vs. high risk: GABA-B agonists)</w:t>
      </w:r>
    </w:p>
    <w:p>
      <w:pPr>
        <w:pStyle w:val="ListParagraph"/>
        <w:numPr>
          <w:ilvl w:val="0"/>
          <w:numId w:val="2"/>
        </w:numPr>
        <w:spacing w:after="100" w:line="360"/>
      </w:pPr>
      <w:r>
        <w:rPr>
          <w:rFonts w:ascii="Arial" w:cs="Arial" w:eastAsia="Arial" w:hAnsi="Arial"/>
          <w:sz w:val="24"/>
          <w:szCs w:val="24"/>
        </w:rPr>
        <w:t xml:space="preserve">Identify pharmacogenetic markers in pain populations predicting compound response (precision medicine opportunity)</w:t>
      </w:r>
    </w:p>
    <w:p>
      <w:pPr>
        <w:pStyle w:val="ListParagraph"/>
        <w:numPr>
          <w:ilvl w:val="0"/>
          <w:numId w:val="2"/>
        </w:numPr>
        <w:spacing w:after="100" w:line="360"/>
      </w:pPr>
      <w:r>
        <w:rPr>
          <w:rFonts w:ascii="Arial" w:cs="Arial" w:eastAsia="Arial" w:hAnsi="Arial"/>
          <w:sz w:val="24"/>
          <w:szCs w:val="24"/>
        </w:rPr>
        <w:t xml:space="preserve">Recommend development pathway: repurposing existing candidates (faster) vs. novel target discovery (higher upside)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non-opioid analgesic lead ranking: top 10-15 compounds with integrated scores and clinical recommendations</w:t>
      </w:r>
    </w:p>
    <w:p>
      <w:pPr>
        <w:pStyle w:val="ListParagraph"/>
        <w:numPr>
          <w:ilvl w:val="0"/>
          <w:numId w:val="2"/>
        </w:numPr>
        <w:spacing w:after="100" w:line="360"/>
      </w:pPr>
      <w:r>
        <w:rPr>
          <w:rFonts w:ascii="Arial" w:cs="Arial" w:eastAsia="Arial" w:hAnsi="Arial"/>
          <w:sz w:val="24"/>
          <w:szCs w:val="24"/>
        </w:rPr>
        <w:t xml:space="preserve">Lead compound profiles: mechanism, targets, GWAS genes, EP phenotype, predicted efficacy, tolerability risk, development pathway</w:t>
      </w:r>
    </w:p>
    <w:p>
      <w:pPr>
        <w:pStyle w:val="ListParagraph"/>
        <w:numPr>
          <w:ilvl w:val="0"/>
          <w:numId w:val="2"/>
        </w:numPr>
        <w:spacing w:after="100" w:line="360"/>
      </w:pPr>
      <w:r>
        <w:rPr>
          <w:rFonts w:ascii="Arial" w:cs="Arial" w:eastAsia="Arial" w:hAnsi="Arial"/>
          <w:sz w:val="24"/>
          <w:szCs w:val="24"/>
        </w:rPr>
        <w:t xml:space="preserve">Clinical efficacy predictions for top 10 leads (estimated analgesic potency, confidence intervals, patient population specificity)</w:t>
      </w:r>
    </w:p>
    <w:p>
      <w:pPr>
        <w:pStyle w:val="ListParagraph"/>
        <w:numPr>
          <w:ilvl w:val="0"/>
          <w:numId w:val="2"/>
        </w:numPr>
        <w:spacing w:after="100" w:line="360"/>
      </w:pPr>
      <w:r>
        <w:rPr>
          <w:rFonts w:ascii="Arial" w:cs="Arial" w:eastAsia="Arial" w:hAnsi="Arial"/>
          <w:sz w:val="24"/>
          <w:szCs w:val="24"/>
        </w:rPr>
        <w:t xml:space="preserve">Tolerability/safety risk assessment: dependence liability, tolerance development risk, pharmacogenetic considerations for each lead</w:t>
      </w:r>
    </w:p>
    <w:p>
      <w:pPr>
        <w:pStyle w:val="ListParagraph"/>
        <w:numPr>
          <w:ilvl w:val="0"/>
          <w:numId w:val="2"/>
        </w:numPr>
        <w:spacing w:after="100" w:line="360"/>
      </w:pPr>
      <w:r>
        <w:rPr>
          <w:rFonts w:ascii="Arial" w:cs="Arial" w:eastAsia="Arial" w:hAnsi="Arial"/>
          <w:sz w:val="24"/>
          <w:szCs w:val="24"/>
        </w:rPr>
        <w:t xml:space="preserve">Development pathway recommendations: repurposing opportunity assessment, regulatory strategy (505b2 vs. IND), clinical trial design</w:t>
      </w:r>
    </w:p>
    <w:p>
      <w:pPr>
        <w:pStyle w:val="ListParagraph"/>
        <w:numPr>
          <w:ilvl w:val="0"/>
          <w:numId w:val="2"/>
        </w:numPr>
        <w:spacing w:after="100" w:line="360"/>
      </w:pPr>
      <w:r>
        <w:rPr>
          <w:rFonts w:ascii="Arial" w:cs="Arial" w:eastAsia="Arial" w:hAnsi="Arial"/>
          <w:sz w:val="24"/>
          <w:szCs w:val="24"/>
        </w:rPr>
        <w:t xml:space="preserve">Combination therapy opportunities: compounds synergizing with existing analgesics, multimodal pain mechanism coverage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lead ranking table (compound, mechanism, targets, scores, clinical recommendation); detailed lead profiles with structure images, targets, mechanisms, predicted efficacy, safety considerations; development pathway flowchart; pharmacogenetic markers list; combination therapy recommendation matrix</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Electrophysiology CRISPR Atlas (~18,000 gene perturbations, ~3,500 compound perturbations, 500+ features per neuron)</w:t>
      </w:r>
    </w:p>
    <w:p>
      <w:pPr>
        <w:pStyle w:val="ListParagraph"/>
        <w:numPr>
          <w:ilvl w:val="0"/>
          <w:numId w:val="2"/>
        </w:numPr>
        <w:spacing w:after="100" w:line="360"/>
      </w:pPr>
      <w:r>
        <w:rPr>
          <w:rFonts w:ascii="Arial" w:cs="Arial" w:eastAsia="Arial" w:hAnsi="Arial"/>
          <w:sz w:val="24"/>
          <w:szCs w:val="24"/>
        </w:rPr>
        <w:t xml:space="preserve">Ephys.io Feature Extraction Pipeline (automated action potential metrics, firing kinetics, calcium dynamics)</w:t>
      </w:r>
    </w:p>
    <w:p>
      <w:pPr>
        <w:pStyle w:val="ListParagraph"/>
        <w:numPr>
          <w:ilvl w:val="0"/>
          <w:numId w:val="2"/>
        </w:numPr>
        <w:spacing w:after="100" w:line="360"/>
      </w:pPr>
      <w:r>
        <w:rPr>
          <w:rFonts w:ascii="Arial" w:cs="Arial" w:eastAsia="Arial" w:hAnsi="Arial"/>
          <w:sz w:val="24"/>
          <w:szCs w:val="24"/>
        </w:rPr>
        <w:t xml:space="preserve">ChEMBL &amp; STITCH Compound Target Databases (chemical structure, target predictions, pharmacophore data)</w:t>
      </w:r>
    </w:p>
    <w:p>
      <w:pPr>
        <w:pStyle w:val="ListParagraph"/>
        <w:numPr>
          <w:ilvl w:val="0"/>
          <w:numId w:val="2"/>
        </w:numPr>
        <w:spacing w:after="100" w:line="360"/>
      </w:pPr>
      <w:r>
        <w:rPr>
          <w:rFonts w:ascii="Arial" w:cs="Arial" w:eastAsia="Arial" w:hAnsi="Arial"/>
          <w:sz w:val="24"/>
          <w:szCs w:val="24"/>
        </w:rPr>
        <w:t xml:space="preserve">KEGG &amp; Reactome Pathway Annotation Databases (pain pathway mapping, enrichment analysis)</w:t>
      </w:r>
    </w:p>
    <w:p>
      <w:pPr>
        <w:pStyle w:val="ListParagraph"/>
        <w:numPr>
          <w:ilvl w:val="0"/>
          <w:numId w:val="2"/>
        </w:numPr>
        <w:spacing w:after="100" w:line="360"/>
      </w:pPr>
      <w:r>
        <w:rPr>
          <w:rFonts w:ascii="Arial" w:cs="Arial" w:eastAsia="Arial" w:hAnsi="Arial"/>
          <w:sz w:val="24"/>
          <w:szCs w:val="24"/>
        </w:rPr>
        <w:t xml:space="preserve">GWAS Summary Statistics &amp; Fine-Mapping Tools (pain loci, credible sets, causal variant identification)</w:t>
      </w:r>
    </w:p>
    <w:p>
      <w:pPr>
        <w:pStyle w:val="ListParagraph"/>
        <w:numPr>
          <w:ilvl w:val="0"/>
          <w:numId w:val="2"/>
        </w:numPr>
        <w:spacing w:after="100" w:line="360"/>
      </w:pPr>
      <w:r>
        <w:rPr>
          <w:rFonts w:ascii="Arial" w:cs="Arial" w:eastAsia="Arial" w:hAnsi="Arial"/>
          <w:sz w:val="24"/>
          <w:szCs w:val="24"/>
        </w:rPr>
        <w:t xml:space="preserve">PubMed Literature Mining &amp; Pharmacology Databases (historical pain efficacy, toxicity, mechanism data)</w:t>
      </w:r>
    </w:p>
    <w:p>
      <w:pPr>
        <w:pStyle w:val="ListParagraph"/>
        <w:numPr>
          <w:ilvl w:val="0"/>
          <w:numId w:val="2"/>
        </w:numPr>
        <w:spacing w:after="100" w:line="360"/>
      </w:pPr>
      <w:r>
        <w:rPr>
          <w:rFonts w:ascii="Arial" w:cs="Arial" w:eastAsia="Arial" w:hAnsi="Arial"/>
          <w:sz w:val="24"/>
          <w:szCs w:val="24"/>
        </w:rPr>
        <w:t xml:space="preserve">String Protein-Protein Interaction Database (gene regulatory networks, pathway cross-talk)</w:t>
      </w:r>
    </w:p>
    <w:p>
      <w:pPr>
        <w:pStyle w:val="ListParagraph"/>
        <w:numPr>
          <w:ilvl w:val="0"/>
          <w:numId w:val="2"/>
        </w:numPr>
        <w:spacing w:after="100" w:line="360"/>
      </w:pPr>
      <w:r>
        <w:rPr>
          <w:rFonts w:ascii="Arial" w:cs="Arial" w:eastAsia="Arial" w:hAnsi="Arial"/>
          <w:sz w:val="24"/>
          <w:szCs w:val="24"/>
        </w:rPr>
        <w:t xml:space="preserve">PhosphoSitePlus &amp; Kinase-Substrate Databases (phosphorylation sites, kinase selectivity mapping)</w:t>
      </w:r>
    </w:p>
    <w:p>
      <w:pPr>
        <w:pStyle w:val="ListParagraph"/>
        <w:numPr>
          <w:ilvl w:val="0"/>
          <w:numId w:val="2"/>
        </w:numPr>
        <w:spacing w:after="100" w:line="360"/>
      </w:pPr>
      <w:r>
        <w:rPr>
          <w:rFonts w:ascii="Arial" w:cs="Arial" w:eastAsia="Arial" w:hAnsi="Arial"/>
          <w:sz w:val="24"/>
          <w:szCs w:val="24"/>
        </w:rPr>
        <w:t xml:space="preserve">ADME Prediction Toolkit (solubility, permeability, hepatic clearance, BBB penetration models)</w:t>
      </w:r>
    </w:p>
    <w:p>
      <w:pPr>
        <w:pStyle w:val="ListParagraph"/>
        <w:numPr>
          <w:ilvl w:val="0"/>
          <w:numId w:val="2"/>
        </w:numPr>
        <w:spacing w:after="100" w:line="360"/>
      </w:pPr>
      <w:r>
        <w:rPr>
          <w:rFonts w:ascii="Arial" w:cs="Arial" w:eastAsia="Arial" w:hAnsi="Arial"/>
          <w:sz w:val="24"/>
          <w:szCs w:val="24"/>
        </w:rPr>
        <w:t xml:space="preserve">Statistical Analysis &amp; Machine Learning Pipelines (dimensionality reduction, clustering, ranking algorithms)</w:t>
      </w:r>
    </w:p>
    <w:p>
      <w:pPr>
        <w:pStyle w:val="ListParagraph"/>
        <w:numPr>
          <w:ilvl w:val="0"/>
          <w:numId w:val="2"/>
        </w:numPr>
        <w:spacing w:after="100" w:line="360"/>
      </w:pPr>
      <w:r>
        <w:rPr>
          <w:rFonts w:ascii="Arial" w:cs="Arial" w:eastAsia="Arial" w:hAnsi="Arial"/>
          <w:sz w:val="24"/>
          <w:szCs w:val="24"/>
        </w:rPr>
        <w:t xml:space="preserve">Neo &amp; Electrophysiology Data Standardization Framework (multi-format recording compatibility, signal processing)</w:t>
      </w:r>
    </w:p>
    <w:p>
      <w:pPr>
        <w:pStyle w:val="ListParagraph"/>
        <w:numPr>
          <w:ilvl w:val="0"/>
          <w:numId w:val="2"/>
        </w:numPr>
        <w:spacing w:after="100" w:line="360"/>
      </w:pPr>
      <w:r>
        <w:rPr>
          <w:rFonts w:ascii="Arial" w:cs="Arial" w:eastAsia="Arial" w:hAnsi="Arial"/>
          <w:sz w:val="24"/>
          <w:szCs w:val="24"/>
        </w:rPr>
        <w:t xml:space="preserve">Off-Target Liability Assessment Tools (ToxCast, SEA tool for secondary binding predictions)</w:t>
      </w:r>
    </w:p>
    <w:p>
      <w:pPr>
        <w:pStyle w:val="ListParagraph"/>
        <w:numPr>
          <w:ilvl w:val="0"/>
          <w:numId w:val="2"/>
        </w:numPr>
        <w:spacing w:after="100" w:line="360"/>
      </w:pPr>
      <w:r>
        <w:rPr>
          <w:rFonts w:ascii="Arial" w:cs="Arial" w:eastAsia="Arial" w:hAnsi="Arial"/>
          <w:sz w:val="24"/>
          <w:szCs w:val="24"/>
        </w:rPr>
        <w:t xml:space="preserve">Dose-Response Curve Fitting Suite (4-parameter logistic, Hill equation, EC50/IC50 calculations)</w:t>
      </w:r>
    </w:p>
    <w:p>
      <w:pPr>
        <w:pStyle w:val="ListParagraph"/>
        <w:numPr>
          <w:ilvl w:val="0"/>
          <w:numId w:val="2"/>
        </w:numPr>
        <w:spacing w:after="100" w:line="360"/>
      </w:pPr>
      <w:r>
        <w:rPr>
          <w:rFonts w:ascii="Arial" w:cs="Arial" w:eastAsia="Arial" w:hAnsi="Arial"/>
          <w:sz w:val="24"/>
          <w:szCs w:val="24"/>
        </w:rPr>
        <w:t xml:space="preserve">Pain Genetic Database Integration (PainGenesDB, OMIM, clinical pain phenotype-genotype associations)</w:t>
      </w:r>
    </w:p>
    <w:p>
      <w:pPr>
        <w:pStyle w:val="ListParagraph"/>
        <w:numPr>
          <w:ilvl w:val="0"/>
          <w:numId w:val="2"/>
        </w:numPr>
        <w:spacing w:after="100" w:line="360"/>
      </w:pPr>
      <w:r>
        <w:rPr>
          <w:rFonts w:ascii="Arial" w:cs="Arial" w:eastAsia="Arial" w:hAnsi="Arial"/>
          <w:sz w:val="24"/>
          <w:szCs w:val="24"/>
        </w:rPr>
        <w:t xml:space="preserve">Neuroinformatics Visualization Tools (Cytoscape, UMAP, interactive heatmap generation for phenotype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2026-03-04T14:31:12.911Z</dcterms:created>
  <dcterms:modified xsi:type="dcterms:W3CDTF">2026-03-04T14:31:12.911Z</dcterms:modified>
</cp:coreProperties>
</file>

<file path=docProps/custom.xml><?xml version="1.0" encoding="utf-8"?>
<Properties xmlns="http://schemas.openxmlformats.org/officeDocument/2006/custom-properties" xmlns:vt="http://schemas.openxmlformats.org/officeDocument/2006/docPropsVTypes"/>
</file>