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0"/>
      </w:pPr>
      <w:r>
        <w:rPr>
          <w:rFonts w:ascii="Arial" w:cs="Arial" w:eastAsia="Arial" w:hAnsi="Arial"/>
          <w:b/>
          <w:bCs/>
          <w:sz w:val="32"/>
          <w:szCs w:val="32"/>
        </w:rPr>
        <w:t xml:space="preserve">Sapphire Pipeline Workflow: Kinase Inhibitors Modulating Nociceptive Neuron Firing</w:t>
      </w:r>
    </w:p>
    <w:p>
      <w:pPr>
        <w:spacing w:after="200" w:line="360"/>
      </w:pPr>
      <w:r>
        <w:rPr>
          <w:rFonts w:ascii="Arial" w:cs="Arial" w:eastAsia="Arial" w:hAnsi="Arial"/>
          <w:b/>
          <w:bCs/>
          <w:sz w:val="24"/>
          <w:szCs w:val="24"/>
        </w:rPr>
        <w:t xml:space="preserve">Prompt: </w:t>
      </w:r>
      <w:r>
        <w:rPr>
          <w:rFonts w:ascii="Arial" w:cs="Arial" w:eastAsia="Arial" w:hAnsi="Arial"/>
          <w:sz w:val="24"/>
          <w:szCs w:val="24"/>
        </w:rPr>
        <w:t xml:space="preserve">Rank kinase inhibitors modulating nociceptive neuron firing.</w:t>
      </w:r>
    </w:p>
    <w:p>
      <w:pPr>
        <w:spacing w:after="200" w:line="360"/>
      </w:pPr>
      <w:r>
        <w:rPr>
          <w:rFonts w:ascii="Arial" w:cs="Arial" w:eastAsia="Arial" w:hAnsi="Arial"/>
          <w:sz w:val="24"/>
          <w:szCs w:val="24"/>
        </w:rPr>
        <w:t xml:space="preserve">This pipeline identifies and ranks kinase inhibitors that modulate nociceptive neuron firing patterns by targeting key pain signaling cascades. Leveraging the Quiver Bioscience electrophysiology CRISPR atlas, the pipeline maps kinase dependencies underlying nociceptor hyperexcitability, evaluates how 3,500 compound perturbations affect firing frequency, action potential kinetics, and bursting behavior, and ranks kinases by their causal contribution to pain-relevant electrical activity.</w:t>
      </w:r>
    </w:p>
    <w:p>
      <w:pPr>
        <w:spacing w:after="200" w:line="360"/>
      </w:pPr>
      <w:r>
        <w:rPr>
          <w:rFonts w:ascii="Arial" w:cs="Arial" w:eastAsia="Arial" w:hAnsi="Arial"/>
          <w:sz w:val="24"/>
          <w:szCs w:val="24"/>
        </w:rPr>
        <w:t xml:space="preserve">The pipeline focuses on therapeutically-validated pain kinases: TrkA/TrkB receptor tyrosine kinases (NGF/BDNF signaling), p38 MAPK (inflammatory sensitization), Src family kinases (persistent sodium currents), and MAP kinases in peripheral sensitization. By quantifying kinase contributions to nociceptor firing phenotypes, the pipeline identifies selective kinase inhibitors with high confidence in clinical pain relief potential.</w:t>
      </w:r>
    </w:p>
    <w:p>
      <w:pPr>
        <w:pStyle w:val="Heading2"/>
        <w:spacing w:after="200" w:before="200"/>
      </w:pPr>
      <w:r>
        <w:rPr>
          <w:rFonts w:ascii="Arial" w:cs="Arial" w:eastAsia="Arial" w:hAnsi="Arial"/>
          <w:b/>
          <w:bCs/>
          <w:sz w:val="28"/>
          <w:szCs w:val="28"/>
        </w:rPr>
        <w:t xml:space="preserve">Pipeline Overview</w:t>
      </w:r>
    </w:p>
    <w:p>
      <w:pPr>
        <w:spacing w:after="200" w:line="360"/>
      </w:pPr>
      <w:r>
        <w:rPr>
          <w:rFonts w:ascii="Arial" w:cs="Arial" w:eastAsia="Arial" w:hAnsi="Arial"/>
          <w:sz w:val="24"/>
          <w:szCs w:val="24"/>
        </w:rPr>
        <w:t xml:space="preserve">Kinase Inhibitors Modulating Nociceptive Neuron Firing stage 1 overview. This pipeline component addresses critical aspects of the drug discovery workflow, integrating electrophysiological phenotyping with mechanistic target identification and clinical validation. The stage incorporates 500+ features per neuron and quantitative metrics for ranking compounds by therapeutic potential.</w:t>
      </w:r>
    </w:p>
    <w:p>
      <w:pPr>
        <w:spacing w:after="200" w:line="360"/>
      </w:pPr>
      <w:r>
        <w:rPr>
          <w:rFonts w:ascii="Arial" w:cs="Arial" w:eastAsia="Arial" w:hAnsi="Arial"/>
          <w:sz w:val="24"/>
          <w:szCs w:val="24"/>
        </w:rPr>
        <w:t xml:space="preserve">Kinase Inhibitors Modulating Nociceptive Neuron Firing stage 2 overview. This pipeline component addresses critical aspects of the drug discovery workflow, integrating electrophysiological phenotyping with mechanistic target identification and clinical validation. The stage incorporates 500+ features per neuron and quantitative metrics for ranking compounds by therapeutic potential.</w:t>
      </w:r>
    </w:p>
    <w:p>
      <w:pPr>
        <w:pStyle w:val="Heading2"/>
        <w:spacing w:after="200" w:before="200"/>
      </w:pPr>
      <w:r>
        <w:rPr>
          <w:rFonts w:ascii="Arial" w:cs="Arial" w:eastAsia="Arial" w:hAnsi="Arial"/>
          <w:b/>
          <w:bCs/>
          <w:sz w:val="28"/>
          <w:szCs w:val="28"/>
        </w:rPr>
        <w:t xml:space="preserve">Stage 1: Nociceptive Neuron Firing Phenotype Quantification</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Extract and characterize nociceptive neuron firing patterns from DRG neurons in Quiver atlas, establishing baseline metrics for kinase-dependent modulation.</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DRG neuron patch-clamp recordings (current-clamp mode, whole-cell configuration) from Quiver atlas (500+ neurons, diverse genetic backgrounds)</w:t>
      </w:r>
    </w:p>
    <w:p>
      <w:pPr>
        <w:pStyle w:val="ListParagraph"/>
        <w:numPr>
          <w:ilvl w:val="0"/>
          <w:numId w:val="2"/>
        </w:numPr>
        <w:spacing w:after="100" w:line="360"/>
      </w:pPr>
      <w:r>
        <w:rPr>
          <w:rFonts w:ascii="Arial" w:cs="Arial" w:eastAsia="Arial" w:hAnsi="Arial"/>
          <w:sz w:val="24"/>
          <w:szCs w:val="24"/>
        </w:rPr>
        <w:t xml:space="preserve">Raw electrophysiology traces: action potential sequences, burst firing events, inter-spike intervals, afterhyperpolarization kinetics</w:t>
      </w:r>
    </w:p>
    <w:p>
      <w:pPr>
        <w:pStyle w:val="ListParagraph"/>
        <w:numPr>
          <w:ilvl w:val="0"/>
          <w:numId w:val="2"/>
        </w:numPr>
        <w:spacing w:after="100" w:line="360"/>
      </w:pPr>
      <w:r>
        <w:rPr>
          <w:rFonts w:ascii="Arial" w:cs="Arial" w:eastAsia="Arial" w:hAnsi="Arial"/>
          <w:sz w:val="24"/>
          <w:szCs w:val="24"/>
        </w:rPr>
        <w:t xml:space="preserve">500+ extracted EP features per neuron (firing frequency, burst frequency, adaptation index, AHP duration, rheobase, input resistance)</w:t>
      </w:r>
    </w:p>
    <w:p>
      <w:pPr>
        <w:pStyle w:val="ListParagraph"/>
        <w:numPr>
          <w:ilvl w:val="0"/>
          <w:numId w:val="2"/>
        </w:numPr>
        <w:spacing w:after="100" w:line="360"/>
      </w:pPr>
      <w:r>
        <w:rPr>
          <w:rFonts w:ascii="Arial" w:cs="Arial" w:eastAsia="Arial" w:hAnsi="Arial"/>
          <w:sz w:val="24"/>
          <w:szCs w:val="24"/>
        </w:rPr>
        <w:t xml:space="preserve">Nociceptor classification data: sensory subtype annotation (A-delta vs. C-fiber properties, TRPV1+, IB4+, peptidergic markers)</w:t>
      </w:r>
    </w:p>
    <w:p>
      <w:pPr>
        <w:pStyle w:val="ListParagraph"/>
        <w:numPr>
          <w:ilvl w:val="0"/>
          <w:numId w:val="2"/>
        </w:numPr>
        <w:spacing w:after="100" w:line="360"/>
      </w:pPr>
      <w:r>
        <w:rPr>
          <w:rFonts w:ascii="Arial" w:cs="Arial" w:eastAsia="Arial" w:hAnsi="Arial"/>
          <w:sz w:val="24"/>
          <w:szCs w:val="24"/>
        </w:rPr>
        <w:t xml:space="preserve">Inflammatory/pain-relevant stimulation conditions (TNF-alpha exposure, NGF priming, capsaicin sensitization, PGE2 treatment)</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Quiver Bioscience current-clamp recording database (DRG neurons, nociceptor-enriched populations)</w:t>
      </w:r>
    </w:p>
    <w:p>
      <w:pPr>
        <w:pStyle w:val="ListParagraph"/>
        <w:numPr>
          <w:ilvl w:val="0"/>
          <w:numId w:val="2"/>
        </w:numPr>
        <w:spacing w:after="100" w:line="360"/>
      </w:pPr>
      <w:r>
        <w:rPr>
          <w:rFonts w:ascii="Arial" w:cs="Arial" w:eastAsia="Arial" w:hAnsi="Arial"/>
          <w:sz w:val="24"/>
          <w:szCs w:val="24"/>
        </w:rPr>
        <w:t xml:space="preserve">Burst detection algorithm (spike timing interval analysis, burst frequency calculation from ISI distributions)</w:t>
      </w:r>
    </w:p>
    <w:p>
      <w:pPr>
        <w:pStyle w:val="ListParagraph"/>
        <w:numPr>
          <w:ilvl w:val="0"/>
          <w:numId w:val="2"/>
        </w:numPr>
        <w:spacing w:after="100" w:line="360"/>
      </w:pPr>
      <w:r>
        <w:rPr>
          <w:rFonts w:ascii="Arial" w:cs="Arial" w:eastAsia="Arial" w:hAnsi="Arial"/>
          <w:sz w:val="24"/>
          <w:szCs w:val="24"/>
        </w:rPr>
        <w:t xml:space="preserve">Firing pattern characterization (action potential shape analysis, threshold stability, frequency adaptation curves)</w:t>
      </w:r>
    </w:p>
    <w:p>
      <w:pPr>
        <w:pStyle w:val="ListParagraph"/>
        <w:numPr>
          <w:ilvl w:val="0"/>
          <w:numId w:val="2"/>
        </w:numPr>
        <w:spacing w:after="100" w:line="360"/>
      </w:pPr>
      <w:r>
        <w:rPr>
          <w:rFonts w:ascii="Arial" w:cs="Arial" w:eastAsia="Arial" w:hAnsi="Arial"/>
          <w:sz w:val="24"/>
          <w:szCs w:val="24"/>
        </w:rPr>
        <w:t xml:space="preserve">Action potential kinetics quantification (upstroke rate, repolarization time, AHP amplitude/duration, input resistance estimation)</w:t>
      </w:r>
    </w:p>
    <w:p>
      <w:pPr>
        <w:pStyle w:val="ListParagraph"/>
        <w:numPr>
          <w:ilvl w:val="0"/>
          <w:numId w:val="2"/>
        </w:numPr>
        <w:spacing w:after="100" w:line="360"/>
      </w:pPr>
      <w:r>
        <w:rPr>
          <w:rFonts w:ascii="Arial" w:cs="Arial" w:eastAsia="Arial" w:hAnsi="Arial"/>
          <w:sz w:val="24"/>
          <w:szCs w:val="24"/>
        </w:rPr>
        <w:t xml:space="preserve">Nociceptor subtype classification (automated clustering based on biophysical properties, expression marker integration)</w:t>
      </w:r>
    </w:p>
    <w:p>
      <w:pPr>
        <w:pStyle w:val="ListParagraph"/>
        <w:numPr>
          <w:ilvl w:val="0"/>
          <w:numId w:val="2"/>
        </w:numPr>
        <w:spacing w:after="100" w:line="360"/>
      </w:pPr>
      <w:r>
        <w:rPr>
          <w:rFonts w:ascii="Arial" w:cs="Arial" w:eastAsia="Arial" w:hAnsi="Arial"/>
          <w:sz w:val="24"/>
          <w:szCs w:val="24"/>
        </w:rPr>
        <w:t xml:space="preserve">Stimulus-response analysis pipeline (dose-response to inflammatory mediators, thermal/mechanical sensitivity modeling)</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Extract baseline firing frequency for each of 500+ DRG neurons (mean spikes/sec during stepwise current injection)</w:t>
      </w:r>
    </w:p>
    <w:p>
      <w:pPr>
        <w:pStyle w:val="ListParagraph"/>
        <w:numPr>
          <w:ilvl w:val="0"/>
          <w:numId w:val="2"/>
        </w:numPr>
        <w:spacing w:after="100" w:line="360"/>
      </w:pPr>
      <w:r>
        <w:rPr>
          <w:rFonts w:ascii="Arial" w:cs="Arial" w:eastAsia="Arial" w:hAnsi="Arial"/>
          <w:sz w:val="24"/>
          <w:szCs w:val="24"/>
        </w:rPr>
        <w:t xml:space="preserve">Calculate burst firing metrics: burst frequency, spikes-per-burst, inter-burst interval, burst-to-tonic firing ratio</w:t>
      </w:r>
    </w:p>
    <w:p>
      <w:pPr>
        <w:pStyle w:val="ListParagraph"/>
        <w:numPr>
          <w:ilvl w:val="0"/>
          <w:numId w:val="2"/>
        </w:numPr>
        <w:spacing w:after="100" w:line="360"/>
      </w:pPr>
      <w:r>
        <w:rPr>
          <w:rFonts w:ascii="Arial" w:cs="Arial" w:eastAsia="Arial" w:hAnsi="Arial"/>
          <w:sz w:val="24"/>
          <w:szCs w:val="24"/>
        </w:rPr>
        <w:t xml:space="preserve">Quantify action potential properties: amplitude, duration, upstroke rate, afterhyperpolarization amplitude and time-to-return</w:t>
      </w:r>
    </w:p>
    <w:p>
      <w:pPr>
        <w:pStyle w:val="ListParagraph"/>
        <w:numPr>
          <w:ilvl w:val="0"/>
          <w:numId w:val="2"/>
        </w:numPr>
        <w:spacing w:after="100" w:line="360"/>
      </w:pPr>
      <w:r>
        <w:rPr>
          <w:rFonts w:ascii="Arial" w:cs="Arial" w:eastAsia="Arial" w:hAnsi="Arial"/>
          <w:sz w:val="24"/>
          <w:szCs w:val="24"/>
        </w:rPr>
        <w:t xml:space="preserve">Characterize adaptation: early adaptation index (first ISI / steady-state ISI), late adaptation slope across 20+ spikes</w:t>
      </w:r>
    </w:p>
    <w:p>
      <w:pPr>
        <w:pStyle w:val="ListParagraph"/>
        <w:numPr>
          <w:ilvl w:val="0"/>
          <w:numId w:val="2"/>
        </w:numPr>
        <w:spacing w:after="100" w:line="360"/>
      </w:pPr>
      <w:r>
        <w:rPr>
          <w:rFonts w:ascii="Arial" w:cs="Arial" w:eastAsia="Arial" w:hAnsi="Arial"/>
          <w:sz w:val="24"/>
          <w:szCs w:val="24"/>
        </w:rPr>
        <w:t xml:space="preserve">Stratify neurons by inflammatory sensitivity: baseline firing, firing after TNF-alpha / NGF / PGE2 exposure</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Baseline DRG neuron firing phenotype database: 500+ neurons × 50 firing-relevant features (frequency, burst metrics, AHP, adaptation)</w:t>
      </w:r>
    </w:p>
    <w:p>
      <w:pPr>
        <w:pStyle w:val="ListParagraph"/>
        <w:numPr>
          <w:ilvl w:val="0"/>
          <w:numId w:val="2"/>
        </w:numPr>
        <w:spacing w:after="100" w:line="360"/>
      </w:pPr>
      <w:r>
        <w:rPr>
          <w:rFonts w:ascii="Arial" w:cs="Arial" w:eastAsia="Arial" w:hAnsi="Arial"/>
          <w:sz w:val="24"/>
          <w:szCs w:val="24"/>
        </w:rPr>
        <w:t xml:space="preserve">Nociceptor subtype annotations: predicted C-fiber, A-delta, and peptidergic classifications for all neurons with confidence scores</w:t>
      </w:r>
    </w:p>
    <w:p>
      <w:pPr>
        <w:pStyle w:val="ListParagraph"/>
        <w:numPr>
          <w:ilvl w:val="0"/>
          <w:numId w:val="2"/>
        </w:numPr>
        <w:spacing w:after="100" w:line="360"/>
      </w:pPr>
      <w:r>
        <w:rPr>
          <w:rFonts w:ascii="Arial" w:cs="Arial" w:eastAsia="Arial" w:hAnsi="Arial"/>
          <w:sz w:val="24"/>
          <w:szCs w:val="24"/>
        </w:rPr>
        <w:t xml:space="preserve">Inflammatory sensitivity profiles: baseline firing rates and post-TNF/NGF/PGE2 firing changes for stratified neurons</w:t>
      </w:r>
    </w:p>
    <w:p>
      <w:pPr>
        <w:pStyle w:val="ListParagraph"/>
        <w:numPr>
          <w:ilvl w:val="0"/>
          <w:numId w:val="2"/>
        </w:numPr>
        <w:spacing w:after="100" w:line="360"/>
      </w:pPr>
      <w:r>
        <w:rPr>
          <w:rFonts w:ascii="Arial" w:cs="Arial" w:eastAsia="Arial" w:hAnsi="Arial"/>
          <w:sz w:val="24"/>
          <w:szCs w:val="24"/>
        </w:rPr>
        <w:t xml:space="preserve">Action potential kinetics summary: population means and distributions (amplitude, duration, upstroke, AHP for WT vs. pain models)</w:t>
      </w:r>
    </w:p>
    <w:p>
      <w:pPr>
        <w:pStyle w:val="ListParagraph"/>
        <w:numPr>
          <w:ilvl w:val="0"/>
          <w:numId w:val="2"/>
        </w:numPr>
        <w:spacing w:after="100" w:line="360"/>
      </w:pPr>
      <w:r>
        <w:rPr>
          <w:rFonts w:ascii="Arial" w:cs="Arial" w:eastAsia="Arial" w:hAnsi="Arial"/>
          <w:sz w:val="24"/>
          <w:szCs w:val="24"/>
        </w:rPr>
        <w:t xml:space="preserve">Firing pattern archetypes: cluster-based classification (regular spiking, bursting, strongly adapting, etc.)</w:t>
      </w:r>
    </w:p>
    <w:p>
      <w:pPr>
        <w:pStyle w:val="ListParagraph"/>
        <w:numPr>
          <w:ilvl w:val="0"/>
          <w:numId w:val="2"/>
        </w:numPr>
        <w:spacing w:after="100" w:line="360"/>
      </w:pPr>
      <w:r>
        <w:rPr>
          <w:rFonts w:ascii="Arial" w:cs="Arial" w:eastAsia="Arial" w:hAnsi="Arial"/>
          <w:sz w:val="24"/>
          <w:szCs w:val="24"/>
        </w:rPr>
        <w:t xml:space="preserve">Stimulus-response curves: dose-dependent firing modulation by TNF-alpha, NGF, PGE2, thermal challenge</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DRG neuron firing phenotype matrix (neuron ID × 50 features); nociceptor subtype classifications; inflammatory sensitivity summary (baseline vs. post-stimulus firing); action potential kinetics table; firing pattern cluster assignments; visualization: raster plots, spike histograms, firing frequency distributions, action potential overlays by cluster</w:t>
      </w:r>
    </w:p>
    <w:p>
      <w:pPr>
        <w:pStyle w:val="Heading2"/>
        <w:spacing w:after="200" w:before="200"/>
      </w:pPr>
      <w:r>
        <w:rPr>
          <w:rFonts w:ascii="Arial" w:cs="Arial" w:eastAsia="Arial" w:hAnsi="Arial"/>
          <w:b/>
          <w:bCs/>
          <w:sz w:val="28"/>
          <w:szCs w:val="28"/>
        </w:rPr>
        <w:t xml:space="preserve">Stage 2: TrkA/TrkB NGF Pathway Kinase Dependency Mapping</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Identify TrkA/TrkB receptor tyrosine kinases and downstream effectors (Ras/MEK, PI3K/Akt, PLC-gamma) driving NGF-induced nociceptor sensitization.</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TrkA/TrkB CRISPR perturbation firing phenotypes from Quiver atlas (knockout, knockdown, kinase-dead mutant effects)</w:t>
      </w:r>
    </w:p>
    <w:p>
      <w:pPr>
        <w:pStyle w:val="ListParagraph"/>
        <w:numPr>
          <w:ilvl w:val="0"/>
          <w:numId w:val="2"/>
        </w:numPr>
        <w:spacing w:after="100" w:line="360"/>
      </w:pPr>
      <w:r>
        <w:rPr>
          <w:rFonts w:ascii="Arial" w:cs="Arial" w:eastAsia="Arial" w:hAnsi="Arial"/>
          <w:sz w:val="24"/>
          <w:szCs w:val="24"/>
        </w:rPr>
        <w:t xml:space="preserve">Downstream effector kinase perturbations: MAPK1/3 (ERK1/2), MAP2K1/2 (MEK1/2), AKT1/2, PLCG1, RAF1, BRAF (Ras/MAPK pathway)</w:t>
      </w:r>
    </w:p>
    <w:p>
      <w:pPr>
        <w:pStyle w:val="ListParagraph"/>
        <w:numPr>
          <w:ilvl w:val="0"/>
          <w:numId w:val="2"/>
        </w:numPr>
        <w:spacing w:after="100" w:line="360"/>
      </w:pPr>
      <w:r>
        <w:rPr>
          <w:rFonts w:ascii="Arial" w:cs="Arial" w:eastAsia="Arial" w:hAnsi="Arial"/>
          <w:sz w:val="24"/>
          <w:szCs w:val="24"/>
        </w:rPr>
        <w:t xml:space="preserve">NGF-stimulated nociceptor recordings (WT and kinase mutant neurons): firing frequency, burst metrics before/after NGF</w:t>
      </w:r>
    </w:p>
    <w:p>
      <w:pPr>
        <w:pStyle w:val="ListParagraph"/>
        <w:numPr>
          <w:ilvl w:val="0"/>
          <w:numId w:val="2"/>
        </w:numPr>
        <w:spacing w:after="100" w:line="360"/>
      </w:pPr>
      <w:r>
        <w:rPr>
          <w:rFonts w:ascii="Arial" w:cs="Arial" w:eastAsia="Arial" w:hAnsi="Arial"/>
          <w:sz w:val="24"/>
          <w:szCs w:val="24"/>
        </w:rPr>
        <w:t xml:space="preserve">Signaling cascade perturbations: PI3K (PIK3CA, PIK3CB), PLC-gamma isoforms, calcium channel modulators downstream of TrkA</w:t>
      </w:r>
    </w:p>
    <w:p>
      <w:pPr>
        <w:pStyle w:val="ListParagraph"/>
        <w:numPr>
          <w:ilvl w:val="0"/>
          <w:numId w:val="2"/>
        </w:numPr>
        <w:spacing w:after="100" w:line="360"/>
      </w:pPr>
      <w:r>
        <w:rPr>
          <w:rFonts w:ascii="Arial" w:cs="Arial" w:eastAsia="Arial" w:hAnsi="Arial"/>
          <w:sz w:val="24"/>
          <w:szCs w:val="24"/>
        </w:rPr>
        <w:t xml:space="preserve">Chemical inhibitor dose-response data (for compounds with known TrkA/kinase inhibitor profiles): how does firing normalize?</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Quiver TrkA/TrkB/downstream kinase perturbation phenotype dataset</w:t>
      </w:r>
    </w:p>
    <w:p>
      <w:pPr>
        <w:pStyle w:val="ListParagraph"/>
        <w:numPr>
          <w:ilvl w:val="0"/>
          <w:numId w:val="2"/>
        </w:numPr>
        <w:spacing w:after="100" w:line="360"/>
      </w:pPr>
      <w:r>
        <w:rPr>
          <w:rFonts w:ascii="Arial" w:cs="Arial" w:eastAsia="Arial" w:hAnsi="Arial"/>
          <w:sz w:val="24"/>
          <w:szCs w:val="24"/>
        </w:rPr>
        <w:t xml:space="preserve">Signaling cascade mapping (phosphorylation state predictions, kinase-substrate databases: PhosphoSitePlus, SIGNOR)</w:t>
      </w:r>
    </w:p>
    <w:p>
      <w:pPr>
        <w:pStyle w:val="ListParagraph"/>
        <w:numPr>
          <w:ilvl w:val="0"/>
          <w:numId w:val="2"/>
        </w:numPr>
        <w:spacing w:after="100" w:line="360"/>
      </w:pPr>
      <w:r>
        <w:rPr>
          <w:rFonts w:ascii="Arial" w:cs="Arial" w:eastAsia="Arial" w:hAnsi="Arial"/>
          <w:sz w:val="24"/>
          <w:szCs w:val="24"/>
        </w:rPr>
        <w:t xml:space="preserve">Dependency scoring (compare TrkA-null firing vs. WT; quantify how each downstream kinase contributes to NGF effect)</w:t>
      </w:r>
    </w:p>
    <w:p>
      <w:pPr>
        <w:pStyle w:val="ListParagraph"/>
        <w:numPr>
          <w:ilvl w:val="0"/>
          <w:numId w:val="2"/>
        </w:numPr>
        <w:spacing w:after="100" w:line="360"/>
      </w:pPr>
      <w:r>
        <w:rPr>
          <w:rFonts w:ascii="Arial" w:cs="Arial" w:eastAsia="Arial" w:hAnsi="Arial"/>
          <w:sz w:val="24"/>
          <w:szCs w:val="24"/>
        </w:rPr>
        <w:t xml:space="preserve">Epistasis analysis (double perturbations: TrkA + MAPK1 vs. single perturbations, interaction effect sizes)</w:t>
      </w:r>
    </w:p>
    <w:p>
      <w:pPr>
        <w:pStyle w:val="ListParagraph"/>
        <w:numPr>
          <w:ilvl w:val="0"/>
          <w:numId w:val="2"/>
        </w:numPr>
        <w:spacing w:after="100" w:line="360"/>
      </w:pPr>
      <w:r>
        <w:rPr>
          <w:rFonts w:ascii="Arial" w:cs="Arial" w:eastAsia="Arial" w:hAnsi="Arial"/>
          <w:sz w:val="24"/>
          <w:szCs w:val="24"/>
        </w:rPr>
        <w:t xml:space="preserve">NGF sensitivity quantification (EC50 for firing potentiation, comparison across kinase mutant backgrounds)</w:t>
      </w:r>
    </w:p>
    <w:p>
      <w:pPr>
        <w:pStyle w:val="ListParagraph"/>
        <w:numPr>
          <w:ilvl w:val="0"/>
          <w:numId w:val="2"/>
        </w:numPr>
        <w:spacing w:after="100" w:line="360"/>
      </w:pPr>
      <w:r>
        <w:rPr>
          <w:rFonts w:ascii="Arial" w:cs="Arial" w:eastAsia="Arial" w:hAnsi="Arial"/>
          <w:sz w:val="24"/>
          <w:szCs w:val="24"/>
        </w:rPr>
        <w:t xml:space="preserve">Pathway flux modeling (estimate signaling strength through Ras/MAPK vs. PI3K/Akt branches based on EP phenotypes)</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Extract firing frequency change in response to NGF: WT neurons (fold-increase) vs. TrkA-null (no response expected)</w:t>
      </w:r>
    </w:p>
    <w:p>
      <w:pPr>
        <w:pStyle w:val="ListParagraph"/>
        <w:numPr>
          <w:ilvl w:val="0"/>
          <w:numId w:val="2"/>
        </w:numPr>
        <w:spacing w:after="100" w:line="360"/>
      </w:pPr>
      <w:r>
        <w:rPr>
          <w:rFonts w:ascii="Arial" w:cs="Arial" w:eastAsia="Arial" w:hAnsi="Arial"/>
          <w:sz w:val="24"/>
          <w:szCs w:val="24"/>
        </w:rPr>
        <w:t xml:space="preserve">Score each downstream kinase (MAPK1, MEK1, AKT1, PLCG1, etc.) by contribution to NGF-induced firing: (WT firing - kinase-null firing) / WT firing</w:t>
      </w:r>
    </w:p>
    <w:p>
      <w:pPr>
        <w:pStyle w:val="ListParagraph"/>
        <w:numPr>
          <w:ilvl w:val="0"/>
          <w:numId w:val="2"/>
        </w:numPr>
        <w:spacing w:after="100" w:line="360"/>
      </w:pPr>
      <w:r>
        <w:rPr>
          <w:rFonts w:ascii="Arial" w:cs="Arial" w:eastAsia="Arial" w:hAnsi="Arial"/>
          <w:sz w:val="24"/>
          <w:szCs w:val="24"/>
        </w:rPr>
        <w:t xml:space="preserve">Identify epistatic interactions: do double kinase knockouts (TrkA + MAPK1) show additive, synergistic, or epistatic firing changes?</w:t>
      </w:r>
    </w:p>
    <w:p>
      <w:pPr>
        <w:pStyle w:val="ListParagraph"/>
        <w:numPr>
          <w:ilvl w:val="0"/>
          <w:numId w:val="2"/>
        </w:numPr>
        <w:spacing w:after="100" w:line="360"/>
      </w:pPr>
      <w:r>
        <w:rPr>
          <w:rFonts w:ascii="Arial" w:cs="Arial" w:eastAsia="Arial" w:hAnsi="Arial"/>
          <w:sz w:val="24"/>
          <w:szCs w:val="24"/>
        </w:rPr>
        <w:t xml:space="preserve">Characterize kinase branch contribution: estimate Ras/MAPK (ERK phosphorylation) vs. PI3K/Akt (calcium handling) contribution to NGF effect</w:t>
      </w:r>
    </w:p>
    <w:p>
      <w:pPr>
        <w:pStyle w:val="ListParagraph"/>
        <w:numPr>
          <w:ilvl w:val="0"/>
          <w:numId w:val="2"/>
        </w:numPr>
        <w:spacing w:after="100" w:line="360"/>
      </w:pPr>
      <w:r>
        <w:rPr>
          <w:rFonts w:ascii="Arial" w:cs="Arial" w:eastAsia="Arial" w:hAnsi="Arial"/>
          <w:sz w:val="24"/>
          <w:szCs w:val="24"/>
        </w:rPr>
        <w:t xml:space="preserve">Validate pathway: do known TrkA inhibitors (e.g., ARRY-470, GNF-5837) reduce NGF-induced firing potentiation, confirming TrkA dependency?</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TrkA/TrkB dependency scores: percentage of NGF-induced firing increase attributable to TrkA/TrkB (90%+ expected in DRG neurons)</w:t>
      </w:r>
    </w:p>
    <w:p>
      <w:pPr>
        <w:pStyle w:val="ListParagraph"/>
        <w:numPr>
          <w:ilvl w:val="0"/>
          <w:numId w:val="2"/>
        </w:numPr>
        <w:spacing w:after="100" w:line="360"/>
      </w:pPr>
      <w:r>
        <w:rPr>
          <w:rFonts w:ascii="Arial" w:cs="Arial" w:eastAsia="Arial" w:hAnsi="Arial"/>
          <w:sz w:val="24"/>
          <w:szCs w:val="24"/>
        </w:rPr>
        <w:t xml:space="preserve">Downstream kinase contribution ranking (MAPK1 &gt; MEK1 &gt; PLCG1 &gt; AKT1 expected; contribution % for each)</w:t>
      </w:r>
    </w:p>
    <w:p>
      <w:pPr>
        <w:pStyle w:val="ListParagraph"/>
        <w:numPr>
          <w:ilvl w:val="0"/>
          <w:numId w:val="2"/>
        </w:numPr>
        <w:spacing w:after="100" w:line="360"/>
      </w:pPr>
      <w:r>
        <w:rPr>
          <w:rFonts w:ascii="Arial" w:cs="Arial" w:eastAsia="Arial" w:hAnsi="Arial"/>
          <w:sz w:val="24"/>
          <w:szCs w:val="24"/>
        </w:rPr>
        <w:t xml:space="preserve">Signaling branch flux estimates: Ras/MAPK vs. PI3K/Akt vs. PLC-gamma contribution to NGF firing sensitization</w:t>
      </w:r>
    </w:p>
    <w:p>
      <w:pPr>
        <w:pStyle w:val="ListParagraph"/>
        <w:numPr>
          <w:ilvl w:val="0"/>
          <w:numId w:val="2"/>
        </w:numPr>
        <w:spacing w:after="100" w:line="360"/>
      </w:pPr>
      <w:r>
        <w:rPr>
          <w:rFonts w:ascii="Arial" w:cs="Arial" w:eastAsia="Arial" w:hAnsi="Arial"/>
          <w:sz w:val="24"/>
          <w:szCs w:val="24"/>
        </w:rPr>
        <w:t xml:space="preserve">Epistasis analysis results: double perturbation interaction effects, evidence for linear vs. branched pathway structure</w:t>
      </w:r>
    </w:p>
    <w:p>
      <w:pPr>
        <w:pStyle w:val="ListParagraph"/>
        <w:numPr>
          <w:ilvl w:val="0"/>
          <w:numId w:val="2"/>
        </w:numPr>
        <w:spacing w:after="100" w:line="360"/>
      </w:pPr>
      <w:r>
        <w:rPr>
          <w:rFonts w:ascii="Arial" w:cs="Arial" w:eastAsia="Arial" w:hAnsi="Arial"/>
          <w:sz w:val="24"/>
          <w:szCs w:val="24"/>
        </w:rPr>
        <w:t xml:space="preserve">NGF sensitivity parameters: EC50 for firing potentiation, dose-response curve slope, WT vs. kinase mutant backgrounds</w:t>
      </w:r>
    </w:p>
    <w:p>
      <w:pPr>
        <w:pStyle w:val="ListParagraph"/>
        <w:numPr>
          <w:ilvl w:val="0"/>
          <w:numId w:val="2"/>
        </w:numPr>
        <w:spacing w:after="100" w:line="360"/>
      </w:pPr>
      <w:r>
        <w:rPr>
          <w:rFonts w:ascii="Arial" w:cs="Arial" w:eastAsia="Arial" w:hAnsi="Arial"/>
          <w:sz w:val="24"/>
          <w:szCs w:val="24"/>
        </w:rPr>
        <w:t xml:space="preserve">Chemical inhibitor validation: known TrkA inhibitors show expected firing normalization in WT neurons (confidence in pathway identification)</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Kinase dependency scoring table (kinase name, contribution %, p-value); downstream kinase ranking; signaling branch flux estimates; epistasis interaction matrix; NGF dose-response curves (WT vs. kinase mutants); chemical inhibitor validation summary; pathway schematic showing inferred signaling flux</w:t>
      </w:r>
    </w:p>
    <w:p>
      <w:pPr>
        <w:pStyle w:val="Heading2"/>
        <w:spacing w:after="200" w:before="200"/>
      </w:pPr>
      <w:r>
        <w:rPr>
          <w:rFonts w:ascii="Arial" w:cs="Arial" w:eastAsia="Arial" w:hAnsi="Arial"/>
          <w:b/>
          <w:bCs/>
          <w:sz w:val="28"/>
          <w:szCs w:val="28"/>
        </w:rPr>
        <w:t xml:space="preserve">Stage 3: p38 MAPK Inflammatory Nociceptor Sensitization Cascade</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Map p38 MAPK pathway activation in inflammatory pain models and identify upstream kinase activators (TAK1, MKK3/6) driving persistent hyperexcitability.</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p38 MAPK CRISPR perturbations (p38a/MAPK14, p38b/MAPK11, p38g/MAPK12, p38d/MAPK13) from Quiver atlas with firing phenotypes</w:t>
      </w:r>
    </w:p>
    <w:p>
      <w:pPr>
        <w:pStyle w:val="ListParagraph"/>
        <w:numPr>
          <w:ilvl w:val="0"/>
          <w:numId w:val="2"/>
        </w:numPr>
        <w:spacing w:after="100" w:line="360"/>
      </w:pPr>
      <w:r>
        <w:rPr>
          <w:rFonts w:ascii="Arial" w:cs="Arial" w:eastAsia="Arial" w:hAnsi="Arial"/>
          <w:sz w:val="24"/>
          <w:szCs w:val="24"/>
        </w:rPr>
        <w:t xml:space="preserve">Upstream kinase perturbations: TAK1 (MAP3K7), MKK3/6 (MAP2K3/MAP2K6), IRAK1/4 (IL-1 signaling), MyD88</w:t>
      </w:r>
    </w:p>
    <w:p>
      <w:pPr>
        <w:pStyle w:val="ListParagraph"/>
        <w:numPr>
          <w:ilvl w:val="0"/>
          <w:numId w:val="2"/>
        </w:numPr>
        <w:spacing w:after="100" w:line="360"/>
      </w:pPr>
      <w:r>
        <w:rPr>
          <w:rFonts w:ascii="Arial" w:cs="Arial" w:eastAsia="Arial" w:hAnsi="Arial"/>
          <w:sz w:val="24"/>
          <w:szCs w:val="24"/>
        </w:rPr>
        <w:t xml:space="preserve">Inflammatory stimulus-evoked recording data: TNF-alpha, IL-1beta, IL-6 effects on firing in WT vs. p38-null neurons</w:t>
      </w:r>
    </w:p>
    <w:p>
      <w:pPr>
        <w:pStyle w:val="ListParagraph"/>
        <w:numPr>
          <w:ilvl w:val="0"/>
          <w:numId w:val="2"/>
        </w:numPr>
        <w:spacing w:after="100" w:line="360"/>
      </w:pPr>
      <w:r>
        <w:rPr>
          <w:rFonts w:ascii="Arial" w:cs="Arial" w:eastAsia="Arial" w:hAnsi="Arial"/>
          <w:sz w:val="24"/>
          <w:szCs w:val="24"/>
        </w:rPr>
        <w:t xml:space="preserve">Persistent vs. transient sensitization: acute TNF effects (minutes) vs. sustained effects (hours), p38 dependency for each timescale</w:t>
      </w:r>
    </w:p>
    <w:p>
      <w:pPr>
        <w:pStyle w:val="ListParagraph"/>
        <w:numPr>
          <w:ilvl w:val="0"/>
          <w:numId w:val="2"/>
        </w:numPr>
        <w:spacing w:after="100" w:line="360"/>
      </w:pPr>
      <w:r>
        <w:rPr>
          <w:rFonts w:ascii="Arial" w:cs="Arial" w:eastAsia="Arial" w:hAnsi="Arial"/>
          <w:sz w:val="24"/>
          <w:szCs w:val="24"/>
        </w:rPr>
        <w:t xml:space="preserve">Downstream p38 targets: MAPKAPK2/3, ATF2, STAT3 phosphorylation in DRG neurons during inflammatory pain models</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Quiver p38 isoform-specific CRISPR perturbation database</w:t>
      </w:r>
    </w:p>
    <w:p>
      <w:pPr>
        <w:pStyle w:val="ListParagraph"/>
        <w:numPr>
          <w:ilvl w:val="0"/>
          <w:numId w:val="2"/>
        </w:numPr>
        <w:spacing w:after="100" w:line="360"/>
      </w:pPr>
      <w:r>
        <w:rPr>
          <w:rFonts w:ascii="Arial" w:cs="Arial" w:eastAsia="Arial" w:hAnsi="Arial"/>
          <w:sz w:val="24"/>
          <w:szCs w:val="24"/>
        </w:rPr>
        <w:t xml:space="preserve">Temporal sensitization modeling (distinguish acute signal (minutes) from sustained sensitization (hours))</w:t>
      </w:r>
    </w:p>
    <w:p>
      <w:pPr>
        <w:pStyle w:val="ListParagraph"/>
        <w:numPr>
          <w:ilvl w:val="0"/>
          <w:numId w:val="2"/>
        </w:numPr>
        <w:spacing w:after="100" w:line="360"/>
      </w:pPr>
      <w:r>
        <w:rPr>
          <w:rFonts w:ascii="Arial" w:cs="Arial" w:eastAsia="Arial" w:hAnsi="Arial"/>
          <w:sz w:val="24"/>
          <w:szCs w:val="24"/>
        </w:rPr>
        <w:t xml:space="preserve">Upstream kinase pathway analysis (TAK1/MKK signalosome composition, feedback regulation)</w:t>
      </w:r>
    </w:p>
    <w:p>
      <w:pPr>
        <w:pStyle w:val="ListParagraph"/>
        <w:numPr>
          <w:ilvl w:val="0"/>
          <w:numId w:val="2"/>
        </w:numPr>
        <w:spacing w:after="100" w:line="360"/>
      </w:pPr>
      <w:r>
        <w:rPr>
          <w:rFonts w:ascii="Arial" w:cs="Arial" w:eastAsia="Arial" w:hAnsi="Arial"/>
          <w:sz w:val="24"/>
          <w:szCs w:val="24"/>
        </w:rPr>
        <w:t xml:space="preserve">Phospho-proteomics integration (if available: p-p38, p-MAPKAPK2, p-ATF2 levels correlating with firing)</w:t>
      </w:r>
    </w:p>
    <w:p>
      <w:pPr>
        <w:pStyle w:val="ListParagraph"/>
        <w:numPr>
          <w:ilvl w:val="0"/>
          <w:numId w:val="2"/>
        </w:numPr>
        <w:spacing w:after="100" w:line="360"/>
      </w:pPr>
      <w:r>
        <w:rPr>
          <w:rFonts w:ascii="Arial" w:cs="Arial" w:eastAsia="Arial" w:hAnsi="Arial"/>
          <w:sz w:val="24"/>
          <w:szCs w:val="24"/>
        </w:rPr>
        <w:t xml:space="preserve">Inflammatory stimulus dose-response modeling (TNF, IL-1 EC50 for firing potentiation, p38 dependency quantification)</w:t>
      </w:r>
    </w:p>
    <w:p>
      <w:pPr>
        <w:pStyle w:val="ListParagraph"/>
        <w:numPr>
          <w:ilvl w:val="0"/>
          <w:numId w:val="2"/>
        </w:numPr>
        <w:spacing w:after="100" w:line="360"/>
      </w:pPr>
      <w:r>
        <w:rPr>
          <w:rFonts w:ascii="Arial" w:cs="Arial" w:eastAsia="Arial" w:hAnsi="Arial"/>
          <w:sz w:val="24"/>
          <w:szCs w:val="24"/>
        </w:rPr>
        <w:t xml:space="preserve">p38 isoform-specific contribution analysis (p38a vs. p38b vs. p38g/d in inflammatory pain, tissue-specificity)</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Quantify TNF-alpha-induced firing increase: WT neurons (fold-increase) vs. p38a-null, p38b-null neurons</w:t>
      </w:r>
    </w:p>
    <w:p>
      <w:pPr>
        <w:pStyle w:val="ListParagraph"/>
        <w:numPr>
          <w:ilvl w:val="0"/>
          <w:numId w:val="2"/>
        </w:numPr>
        <w:spacing w:after="100" w:line="360"/>
      </w:pPr>
      <w:r>
        <w:rPr>
          <w:rFonts w:ascii="Arial" w:cs="Arial" w:eastAsia="Arial" w:hAnsi="Arial"/>
          <w:sz w:val="24"/>
          <w:szCs w:val="24"/>
        </w:rPr>
        <w:t xml:space="preserve">Score upstream kinases (TAK1, MKK3, MKK6, IRAK1) by contribution to TNF-induced p38 activation: epistasis analysis</w:t>
      </w:r>
    </w:p>
    <w:p>
      <w:pPr>
        <w:pStyle w:val="ListParagraph"/>
        <w:numPr>
          <w:ilvl w:val="0"/>
          <w:numId w:val="2"/>
        </w:numPr>
        <w:spacing w:after="100" w:line="360"/>
      </w:pPr>
      <w:r>
        <w:rPr>
          <w:rFonts w:ascii="Arial" w:cs="Arial" w:eastAsia="Arial" w:hAnsi="Arial"/>
          <w:sz w:val="24"/>
          <w:szCs w:val="24"/>
        </w:rPr>
        <w:t xml:space="preserve">Distinguish acute (minutes) vs. persistent (hours) TNF sensitization: is p38 required for both phases or only sustained sensitization?</w:t>
      </w:r>
    </w:p>
    <w:p>
      <w:pPr>
        <w:pStyle w:val="ListParagraph"/>
        <w:numPr>
          <w:ilvl w:val="0"/>
          <w:numId w:val="2"/>
        </w:numPr>
        <w:spacing w:after="100" w:line="360"/>
      </w:pPr>
      <w:r>
        <w:rPr>
          <w:rFonts w:ascii="Arial" w:cs="Arial" w:eastAsia="Arial" w:hAnsi="Arial"/>
          <w:sz w:val="24"/>
          <w:szCs w:val="24"/>
        </w:rPr>
        <w:t xml:space="preserve">Characterize p38 isoform selectivity: do p38a and p38b contribute equally to inflammatory pain sensitization or show differential roles?</w:t>
      </w:r>
    </w:p>
    <w:p>
      <w:pPr>
        <w:pStyle w:val="ListParagraph"/>
        <w:numPr>
          <w:ilvl w:val="0"/>
          <w:numId w:val="2"/>
        </w:numPr>
        <w:spacing w:after="100" w:line="360"/>
      </w:pPr>
      <w:r>
        <w:rPr>
          <w:rFonts w:ascii="Arial" w:cs="Arial" w:eastAsia="Arial" w:hAnsi="Arial"/>
          <w:sz w:val="24"/>
          <w:szCs w:val="24"/>
        </w:rPr>
        <w:t xml:space="preserve">Identify downstream p38 targets mediating firing changes: MAPKAPK2/3, ATF2, CREB (which are causally important for sensitization?)</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p38 MAPK dependency score for inflammatory pain: percentage of TNF/IL-1-induced firing increase attributable to p38 signaling</w:t>
      </w:r>
    </w:p>
    <w:p>
      <w:pPr>
        <w:pStyle w:val="ListParagraph"/>
        <w:numPr>
          <w:ilvl w:val="0"/>
          <w:numId w:val="2"/>
        </w:numPr>
        <w:spacing w:after="100" w:line="360"/>
      </w:pPr>
      <w:r>
        <w:rPr>
          <w:rFonts w:ascii="Arial" w:cs="Arial" w:eastAsia="Arial" w:hAnsi="Arial"/>
          <w:sz w:val="24"/>
          <w:szCs w:val="24"/>
        </w:rPr>
        <w:t xml:space="preserve">p38 isoform contribution ranking (p38a &gt; p38b expected; individual contributions for α, β, γ, δ isoforms)</w:t>
      </w:r>
    </w:p>
    <w:p>
      <w:pPr>
        <w:pStyle w:val="ListParagraph"/>
        <w:numPr>
          <w:ilvl w:val="0"/>
          <w:numId w:val="2"/>
        </w:numPr>
        <w:spacing w:after="100" w:line="360"/>
      </w:pPr>
      <w:r>
        <w:rPr>
          <w:rFonts w:ascii="Arial" w:cs="Arial" w:eastAsia="Arial" w:hAnsi="Arial"/>
          <w:sz w:val="24"/>
          <w:szCs w:val="24"/>
        </w:rPr>
        <w:t xml:space="preserve">Upstream kinase (TAK1, MKK3/6, IRAK) contribution analysis: which kinases are rate-limiting for inflammatory sensitization?</w:t>
      </w:r>
    </w:p>
    <w:p>
      <w:pPr>
        <w:pStyle w:val="ListParagraph"/>
        <w:numPr>
          <w:ilvl w:val="0"/>
          <w:numId w:val="2"/>
        </w:numPr>
        <w:spacing w:after="100" w:line="360"/>
      </w:pPr>
      <w:r>
        <w:rPr>
          <w:rFonts w:ascii="Arial" w:cs="Arial" w:eastAsia="Arial" w:hAnsi="Arial"/>
          <w:sz w:val="24"/>
          <w:szCs w:val="24"/>
        </w:rPr>
        <w:t xml:space="preserve">Temporal sensitization profile: acute (5-30 min) vs. persistent (1-6 hours) p38 dependency (distinct mechanisms identified)</w:t>
      </w:r>
    </w:p>
    <w:p>
      <w:pPr>
        <w:pStyle w:val="ListParagraph"/>
        <w:numPr>
          <w:ilvl w:val="0"/>
          <w:numId w:val="2"/>
        </w:numPr>
        <w:spacing w:after="100" w:line="360"/>
      </w:pPr>
      <w:r>
        <w:rPr>
          <w:rFonts w:ascii="Arial" w:cs="Arial" w:eastAsia="Arial" w:hAnsi="Arial"/>
          <w:sz w:val="24"/>
          <w:szCs w:val="24"/>
        </w:rPr>
        <w:t xml:space="preserve">Downstream p38 effector targets (MAPKAPK2/3, ATF2, STAT3, CREB): causality evidence from genetic perturbations</w:t>
      </w:r>
    </w:p>
    <w:p>
      <w:pPr>
        <w:pStyle w:val="ListParagraph"/>
        <w:numPr>
          <w:ilvl w:val="0"/>
          <w:numId w:val="2"/>
        </w:numPr>
        <w:spacing w:after="100" w:line="360"/>
      </w:pPr>
      <w:r>
        <w:rPr>
          <w:rFonts w:ascii="Arial" w:cs="Arial" w:eastAsia="Arial" w:hAnsi="Arial"/>
          <w:sz w:val="24"/>
          <w:szCs w:val="24"/>
        </w:rPr>
        <w:t xml:space="preserve">Inflammatory stimulus dose-response curves (TNF, IL-1 EC50, slope, p38 dependency quantification)</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p38 pathway dependency table (isoform, TNF-dependency %, p-value, confidence); upstream kinase contribution ranking; temporal sensitization curve (acute vs. persistent phases, p38 dependency); downstream target causality evidence; inflammatory stimulus dose-response curves; pathway schematic with flux estimates</w:t>
      </w:r>
    </w:p>
    <w:p>
      <w:pPr>
        <w:pStyle w:val="Heading2"/>
        <w:spacing w:after="200" w:before="200"/>
      </w:pPr>
      <w:r>
        <w:rPr>
          <w:rFonts w:ascii="Arial" w:cs="Arial" w:eastAsia="Arial" w:hAnsi="Arial"/>
          <w:b/>
          <w:bCs/>
          <w:sz w:val="28"/>
          <w:szCs w:val="28"/>
        </w:rPr>
        <w:t xml:space="preserve">Stage 4: Src Family Kinase Persistent Sodium Current Modulation</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Identify Src family kinases (Src, Fyn, Yes, Lyn) modulating nociceptor persistent sodium currents and repetitive firing phenotypes.</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Src family kinase CRISPR perturbations (SRC, FYN, YES1, LYN, HCK, FGR) from Quiver atlas with voltage-clamp and current-clamp data</w:t>
      </w:r>
    </w:p>
    <w:p>
      <w:pPr>
        <w:pStyle w:val="ListParagraph"/>
        <w:numPr>
          <w:ilvl w:val="0"/>
          <w:numId w:val="2"/>
        </w:numPr>
        <w:spacing w:after="100" w:line="360"/>
      </w:pPr>
      <w:r>
        <w:rPr>
          <w:rFonts w:ascii="Arial" w:cs="Arial" w:eastAsia="Arial" w:hAnsi="Arial"/>
          <w:sz w:val="24"/>
          <w:szCs w:val="24"/>
        </w:rPr>
        <w:t xml:space="preserve">Persistent sodium current (INa,P) measurements and sodium channel phosphorylation state (Nav1.7, Nav1.8, Nav1.9 isoform-specific)</w:t>
      </w:r>
    </w:p>
    <w:p>
      <w:pPr>
        <w:pStyle w:val="ListParagraph"/>
        <w:numPr>
          <w:ilvl w:val="0"/>
          <w:numId w:val="2"/>
        </w:numPr>
        <w:spacing w:after="100" w:line="360"/>
      </w:pPr>
      <w:r>
        <w:rPr>
          <w:rFonts w:ascii="Arial" w:cs="Arial" w:eastAsia="Arial" w:hAnsi="Arial"/>
          <w:sz w:val="24"/>
          <w:szCs w:val="24"/>
        </w:rPr>
        <w:t xml:space="preserve">Current-clamp firing phenotypes before/after Src inhibition: does persistent Na+ current reduction normalize firing frequency?</w:t>
      </w:r>
    </w:p>
    <w:p>
      <w:pPr>
        <w:pStyle w:val="ListParagraph"/>
        <w:numPr>
          <w:ilvl w:val="0"/>
          <w:numId w:val="2"/>
        </w:numPr>
        <w:spacing w:after="100" w:line="360"/>
      </w:pPr>
      <w:r>
        <w:rPr>
          <w:rFonts w:ascii="Arial" w:cs="Arial" w:eastAsia="Arial" w:hAnsi="Arial"/>
          <w:sz w:val="24"/>
          <w:szCs w:val="24"/>
        </w:rPr>
        <w:t xml:space="preserve">Sodium channel isoform-specific Src regulation: which Nav isoforms are Src targets? Nav1.7 &gt;&gt; Nav1.8 &gt; Nav1.9 predicted</w:t>
      </w:r>
    </w:p>
    <w:p>
      <w:pPr>
        <w:pStyle w:val="ListParagraph"/>
        <w:numPr>
          <w:ilvl w:val="0"/>
          <w:numId w:val="2"/>
        </w:numPr>
        <w:spacing w:after="100" w:line="360"/>
      </w:pPr>
      <w:r>
        <w:rPr>
          <w:rFonts w:ascii="Arial" w:cs="Arial" w:eastAsia="Arial" w:hAnsi="Arial"/>
          <w:sz w:val="24"/>
          <w:szCs w:val="24"/>
        </w:rPr>
        <w:t xml:space="preserve">Pain-relevant Src activation contexts: NGF signaling, inflammatory mediators (TNF, IL-1), thermal/mechanical stimulation</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Quiver voltage-clamp Src family kinase perturbation database (Nav current measurements)</w:t>
      </w:r>
    </w:p>
    <w:p>
      <w:pPr>
        <w:pStyle w:val="ListParagraph"/>
        <w:numPr>
          <w:ilvl w:val="0"/>
          <w:numId w:val="2"/>
        </w:numPr>
        <w:spacing w:after="100" w:line="360"/>
      </w:pPr>
      <w:r>
        <w:rPr>
          <w:rFonts w:ascii="Arial" w:cs="Arial" w:eastAsia="Arial" w:hAnsi="Arial"/>
          <w:sz w:val="24"/>
          <w:szCs w:val="24"/>
        </w:rPr>
        <w:t xml:space="preserve">Current-clamp to voltage-clamp correlation analysis (does persistent Na+ reduction parallel firing frequency reduction?)</w:t>
      </w:r>
    </w:p>
    <w:p>
      <w:pPr>
        <w:pStyle w:val="ListParagraph"/>
        <w:numPr>
          <w:ilvl w:val="0"/>
          <w:numId w:val="2"/>
        </w:numPr>
        <w:spacing w:after="100" w:line="360"/>
      </w:pPr>
      <w:r>
        <w:rPr>
          <w:rFonts w:ascii="Arial" w:cs="Arial" w:eastAsia="Arial" w:hAnsi="Arial"/>
          <w:sz w:val="24"/>
          <w:szCs w:val="24"/>
        </w:rPr>
        <w:t xml:space="preserve">Sodium channel phosphorylation mapping (PhosphoSitePlus, literature-curated Src sites on Nav1.7/1.8/1.9)</w:t>
      </w:r>
    </w:p>
    <w:p>
      <w:pPr>
        <w:pStyle w:val="ListParagraph"/>
        <w:numPr>
          <w:ilvl w:val="0"/>
          <w:numId w:val="2"/>
        </w:numPr>
        <w:spacing w:after="100" w:line="360"/>
      </w:pPr>
      <w:r>
        <w:rPr>
          <w:rFonts w:ascii="Arial" w:cs="Arial" w:eastAsia="Arial" w:hAnsi="Arial"/>
          <w:sz w:val="24"/>
          <w:szCs w:val="24"/>
        </w:rPr>
        <w:t xml:space="preserve">Src kinase isoform selectivity analysis (SRC vs. FYN vs. LYN specificity for Nav channels, tissue-distribution)</w:t>
      </w:r>
    </w:p>
    <w:p>
      <w:pPr>
        <w:pStyle w:val="ListParagraph"/>
        <w:numPr>
          <w:ilvl w:val="0"/>
          <w:numId w:val="2"/>
        </w:numPr>
        <w:spacing w:after="100" w:line="360"/>
      </w:pPr>
      <w:r>
        <w:rPr>
          <w:rFonts w:ascii="Arial" w:cs="Arial" w:eastAsia="Arial" w:hAnsi="Arial"/>
          <w:sz w:val="24"/>
          <w:szCs w:val="24"/>
        </w:rPr>
        <w:t xml:space="preserve">Firing frequency dependency on persistent Na+ current (computational modeling: how much INa,P reduction needed to normalize firing?)</w:t>
      </w:r>
    </w:p>
    <w:p>
      <w:pPr>
        <w:pStyle w:val="ListParagraph"/>
        <w:numPr>
          <w:ilvl w:val="0"/>
          <w:numId w:val="2"/>
        </w:numPr>
        <w:spacing w:after="100" w:line="360"/>
      </w:pPr>
      <w:r>
        <w:rPr>
          <w:rFonts w:ascii="Arial" w:cs="Arial" w:eastAsia="Arial" w:hAnsi="Arial"/>
          <w:sz w:val="24"/>
          <w:szCs w:val="24"/>
        </w:rPr>
        <w:t xml:space="preserve">Src activation upstream pathway (NGF/TrkA, TNF/MAPK, mechanical stress kinase activation of Src)</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Measure persistent sodium current (voltage-clamp, -80 to -40 mV holding, extract steady-state inward current) in WT vs. Src-null DRG neurons</w:t>
      </w:r>
    </w:p>
    <w:p>
      <w:pPr>
        <w:pStyle w:val="ListParagraph"/>
        <w:numPr>
          <w:ilvl w:val="0"/>
          <w:numId w:val="2"/>
        </w:numPr>
        <w:spacing w:after="100" w:line="360"/>
      </w:pPr>
      <w:r>
        <w:rPr>
          <w:rFonts w:ascii="Arial" w:cs="Arial" w:eastAsia="Arial" w:hAnsi="Arial"/>
          <w:sz w:val="24"/>
          <w:szCs w:val="24"/>
        </w:rPr>
        <w:t xml:space="preserve">Correlate current-clamp firing frequency with voltage-clamp persistent Na+ current across all neurons (Pearson correlation, regression analysis)</w:t>
      </w:r>
    </w:p>
    <w:p>
      <w:pPr>
        <w:pStyle w:val="ListParagraph"/>
        <w:numPr>
          <w:ilvl w:val="0"/>
          <w:numId w:val="2"/>
        </w:numPr>
        <w:spacing w:after="100" w:line="360"/>
      </w:pPr>
      <w:r>
        <w:rPr>
          <w:rFonts w:ascii="Arial" w:cs="Arial" w:eastAsia="Arial" w:hAnsi="Arial"/>
          <w:sz w:val="24"/>
          <w:szCs w:val="24"/>
        </w:rPr>
        <w:t xml:space="preserve">Identify which Src family kinases (SRC, FYN, YES, LYN) regulate Nav1.7 via phosphorylation: epistasis analysis (Src-null + Nav1.7 mutations)</w:t>
      </w:r>
    </w:p>
    <w:p>
      <w:pPr>
        <w:pStyle w:val="ListParagraph"/>
        <w:numPr>
          <w:ilvl w:val="0"/>
          <w:numId w:val="2"/>
        </w:numPr>
        <w:spacing w:after="100" w:line="360"/>
      </w:pPr>
      <w:r>
        <w:rPr>
          <w:rFonts w:ascii="Arial" w:cs="Arial" w:eastAsia="Arial" w:hAnsi="Arial"/>
          <w:sz w:val="24"/>
          <w:szCs w:val="24"/>
        </w:rPr>
        <w:t xml:space="preserve">Quantify Src dependency for pain-relevant Nav current modulation: NGF-induced firing increase (how much is Src-dependent?)</w:t>
      </w:r>
    </w:p>
    <w:p>
      <w:pPr>
        <w:pStyle w:val="ListParagraph"/>
        <w:numPr>
          <w:ilvl w:val="0"/>
          <w:numId w:val="2"/>
        </w:numPr>
        <w:spacing w:after="100" w:line="360"/>
      </w:pPr>
      <w:r>
        <w:rPr>
          <w:rFonts w:ascii="Arial" w:cs="Arial" w:eastAsia="Arial" w:hAnsi="Arial"/>
          <w:sz w:val="24"/>
          <w:szCs w:val="24"/>
        </w:rPr>
        <w:t xml:space="preserve">Rank Src family kinases by nociceptor pain relevance: SRC and FYN expected to be major contributors in DRG vs. other tissues</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Src family kinase dependency for persistent Na+ current: percentage reduction in INa,P upon Src family deletion</w:t>
      </w:r>
    </w:p>
    <w:p>
      <w:pPr>
        <w:pStyle w:val="ListParagraph"/>
        <w:numPr>
          <w:ilvl w:val="0"/>
          <w:numId w:val="2"/>
        </w:numPr>
        <w:spacing w:after="100" w:line="360"/>
      </w:pPr>
      <w:r>
        <w:rPr>
          <w:rFonts w:ascii="Arial" w:cs="Arial" w:eastAsia="Arial" w:hAnsi="Arial"/>
          <w:sz w:val="24"/>
          <w:szCs w:val="24"/>
        </w:rPr>
        <w:t xml:space="preserve">Firing frequency vs. persistent Na+ current correlation: quantification of functional link (Pearson r, regression slope)</w:t>
      </w:r>
    </w:p>
    <w:p>
      <w:pPr>
        <w:pStyle w:val="ListParagraph"/>
        <w:numPr>
          <w:ilvl w:val="0"/>
          <w:numId w:val="2"/>
        </w:numPr>
        <w:spacing w:after="100" w:line="360"/>
      </w:pPr>
      <w:r>
        <w:rPr>
          <w:rFonts w:ascii="Arial" w:cs="Arial" w:eastAsia="Arial" w:hAnsi="Arial"/>
          <w:sz w:val="24"/>
          <w:szCs w:val="24"/>
        </w:rPr>
        <w:t xml:space="preserve">Src isoform contribution ranking (SRC &gt; FYN &gt; LYN expected in DRG; individual contribution % for each kinase)</w:t>
      </w:r>
    </w:p>
    <w:p>
      <w:pPr>
        <w:pStyle w:val="ListParagraph"/>
        <w:numPr>
          <w:ilvl w:val="0"/>
          <w:numId w:val="2"/>
        </w:numPr>
        <w:spacing w:after="100" w:line="360"/>
      </w:pPr>
      <w:r>
        <w:rPr>
          <w:rFonts w:ascii="Arial" w:cs="Arial" w:eastAsia="Arial" w:hAnsi="Arial"/>
          <w:sz w:val="24"/>
          <w:szCs w:val="24"/>
        </w:rPr>
        <w:t xml:space="preserve">Sodium channel isoform selectivity (Nav1.7 &gt;&gt; Nav1.8 &gt; Nav1.9 phosphorylation by Src, confidence levels)</w:t>
      </w:r>
    </w:p>
    <w:p>
      <w:pPr>
        <w:pStyle w:val="ListParagraph"/>
        <w:numPr>
          <w:ilvl w:val="0"/>
          <w:numId w:val="2"/>
        </w:numPr>
        <w:spacing w:after="100" w:line="360"/>
      </w:pPr>
      <w:r>
        <w:rPr>
          <w:rFonts w:ascii="Arial" w:cs="Arial" w:eastAsia="Arial" w:hAnsi="Arial"/>
          <w:sz w:val="24"/>
          <w:szCs w:val="24"/>
        </w:rPr>
        <w:t xml:space="preserve">NGF/TrkA-dependent Src activation requirement: how much does NGF-induced firing increase depend on Src activity?</w:t>
      </w:r>
    </w:p>
    <w:p>
      <w:pPr>
        <w:pStyle w:val="ListParagraph"/>
        <w:numPr>
          <w:ilvl w:val="0"/>
          <w:numId w:val="2"/>
        </w:numPr>
        <w:spacing w:after="100" w:line="360"/>
      </w:pPr>
      <w:r>
        <w:rPr>
          <w:rFonts w:ascii="Arial" w:cs="Arial" w:eastAsia="Arial" w:hAnsi="Arial"/>
          <w:sz w:val="24"/>
          <w:szCs w:val="24"/>
        </w:rPr>
        <w:t xml:space="preserve">Firing frequency normalization prediction: computational estimate of how much Src inhibition needed to normalize nociceptor firing</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Src kinase dependency table (isoform, INa,P reduction %, firing frequency impact); current-clamp vs. voltage-clamp correlation analysis (scatter plot, regression); sodium channel isoform phosphorylation site mapping; NGF-Src activation dependency; firing normalization prediction model; pathway schematic</w:t>
      </w:r>
    </w:p>
    <w:p>
      <w:pPr>
        <w:pStyle w:val="Heading2"/>
        <w:spacing w:after="200" w:before="200"/>
      </w:pPr>
      <w:r>
        <w:rPr>
          <w:rFonts w:ascii="Arial" w:cs="Arial" w:eastAsia="Arial" w:hAnsi="Arial"/>
          <w:b/>
          <w:bCs/>
          <w:sz w:val="28"/>
          <w:szCs w:val="28"/>
        </w:rPr>
        <w:t xml:space="preserve">Stage 5: Kinase Inhibitor Compound Screening &amp; Selectivity Profiling</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Screen 3,500 compounds against TrkA, p38 MAPK, Src family kinase targets, identify selective inhibitors, and rank by nociceptive firing modulation.</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3,500 compound perturbation EP profiles from Quiver atlas (DRG neurons, all 500+ features)</w:t>
      </w:r>
    </w:p>
    <w:p>
      <w:pPr>
        <w:pStyle w:val="ListParagraph"/>
        <w:numPr>
          <w:ilvl w:val="0"/>
          <w:numId w:val="2"/>
        </w:numPr>
        <w:spacing w:after="100" w:line="360"/>
      </w:pPr>
      <w:r>
        <w:rPr>
          <w:rFonts w:ascii="Arial" w:cs="Arial" w:eastAsia="Arial" w:hAnsi="Arial"/>
          <w:sz w:val="24"/>
          <w:szCs w:val="24"/>
        </w:rPr>
        <w:t xml:space="preserve">Compound kinase target annotations: ChEMBL kinase inhibitor profiles, selectivity data (% inhibition at 100 nM), IC50 values</w:t>
      </w:r>
    </w:p>
    <w:p>
      <w:pPr>
        <w:pStyle w:val="ListParagraph"/>
        <w:numPr>
          <w:ilvl w:val="0"/>
          <w:numId w:val="2"/>
        </w:numPr>
        <w:spacing w:after="100" w:line="360"/>
      </w:pPr>
      <w:r>
        <w:rPr>
          <w:rFonts w:ascii="Arial" w:cs="Arial" w:eastAsia="Arial" w:hAnsi="Arial"/>
          <w:sz w:val="24"/>
          <w:szCs w:val="24"/>
        </w:rPr>
        <w:t xml:space="preserve">Kinase inhibitor chemical structures and scaffolds (SMILES, activity cliff analysis)</w:t>
      </w:r>
    </w:p>
    <w:p>
      <w:pPr>
        <w:pStyle w:val="ListParagraph"/>
        <w:numPr>
          <w:ilvl w:val="0"/>
          <w:numId w:val="2"/>
        </w:numPr>
        <w:spacing w:after="100" w:line="360"/>
      </w:pPr>
      <w:r>
        <w:rPr>
          <w:rFonts w:ascii="Arial" w:cs="Arial" w:eastAsia="Arial" w:hAnsi="Arial"/>
          <w:sz w:val="24"/>
          <w:szCs w:val="24"/>
        </w:rPr>
        <w:t xml:space="preserve">Known kinase inhibitor pain efficacy data (where available): published pain studies with kinase inhibitor compounds</w:t>
      </w:r>
    </w:p>
    <w:p>
      <w:pPr>
        <w:pStyle w:val="ListParagraph"/>
        <w:numPr>
          <w:ilvl w:val="0"/>
          <w:numId w:val="2"/>
        </w:numPr>
        <w:spacing w:after="100" w:line="360"/>
      </w:pPr>
      <w:r>
        <w:rPr>
          <w:rFonts w:ascii="Arial" w:cs="Arial" w:eastAsia="Arial" w:hAnsi="Arial"/>
          <w:sz w:val="24"/>
          <w:szCs w:val="24"/>
        </w:rPr>
        <w:t xml:space="preserve">Off-target kinase activity (comprehensive kinase panel data for lead compounds, selectivity ratios)</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Quiver compound kinase inhibitor phenotype database filtering (identify kinase inhibitors by target annotation)</w:t>
      </w:r>
    </w:p>
    <w:p>
      <w:pPr>
        <w:pStyle w:val="ListParagraph"/>
        <w:numPr>
          <w:ilvl w:val="0"/>
          <w:numId w:val="2"/>
        </w:numPr>
        <w:spacing w:after="100" w:line="360"/>
      </w:pPr>
      <w:r>
        <w:rPr>
          <w:rFonts w:ascii="Arial" w:cs="Arial" w:eastAsia="Arial" w:hAnsi="Arial"/>
          <w:sz w:val="24"/>
          <w:szCs w:val="24"/>
        </w:rPr>
        <w:t xml:space="preserve">Kinase selectivity scoring (on-target activity vs. off-target kinase potency, selectivity index calculation)</w:t>
      </w:r>
    </w:p>
    <w:p>
      <w:pPr>
        <w:pStyle w:val="ListParagraph"/>
        <w:numPr>
          <w:ilvl w:val="0"/>
          <w:numId w:val="2"/>
        </w:numPr>
        <w:spacing w:after="100" w:line="360"/>
      </w:pPr>
      <w:r>
        <w:rPr>
          <w:rFonts w:ascii="Arial" w:cs="Arial" w:eastAsia="Arial" w:hAnsi="Arial"/>
          <w:sz w:val="24"/>
          <w:szCs w:val="24"/>
        </w:rPr>
        <w:t xml:space="preserve">Multi-target kinase inhibitor assessment (compounds hitting multiple pain kinases: TrkA + p38, etc.)</w:t>
      </w:r>
    </w:p>
    <w:p>
      <w:pPr>
        <w:pStyle w:val="ListParagraph"/>
        <w:numPr>
          <w:ilvl w:val="0"/>
          <w:numId w:val="2"/>
        </w:numPr>
        <w:spacing w:after="100" w:line="360"/>
      </w:pPr>
      <w:r>
        <w:rPr>
          <w:rFonts w:ascii="Arial" w:cs="Arial" w:eastAsia="Arial" w:hAnsi="Arial"/>
          <w:sz w:val="24"/>
          <w:szCs w:val="24"/>
        </w:rPr>
        <w:t xml:space="preserve">Firing phenotype ranking (compounds ranked by ability to normalize nociceptor firing frequency, burst metrics)</w:t>
      </w:r>
    </w:p>
    <w:p>
      <w:pPr>
        <w:pStyle w:val="ListParagraph"/>
        <w:numPr>
          <w:ilvl w:val="0"/>
          <w:numId w:val="2"/>
        </w:numPr>
        <w:spacing w:after="100" w:line="360"/>
      </w:pPr>
      <w:r>
        <w:rPr>
          <w:rFonts w:ascii="Arial" w:cs="Arial" w:eastAsia="Arial" w:hAnsi="Arial"/>
          <w:sz w:val="24"/>
          <w:szCs w:val="24"/>
        </w:rPr>
        <w:t xml:space="preserve">Structure-activity relationship (SAR) analysis (kinase selectivity vs. compound structural features, scaffold clustering)</w:t>
      </w:r>
    </w:p>
    <w:p>
      <w:pPr>
        <w:pStyle w:val="ListParagraph"/>
        <w:numPr>
          <w:ilvl w:val="0"/>
          <w:numId w:val="2"/>
        </w:numPr>
        <w:spacing w:after="100" w:line="360"/>
      </w:pPr>
      <w:r>
        <w:rPr>
          <w:rFonts w:ascii="Arial" w:cs="Arial" w:eastAsia="Arial" w:hAnsi="Arial"/>
          <w:sz w:val="24"/>
          <w:szCs w:val="24"/>
        </w:rPr>
        <w:t xml:space="preserve">Clinical precedent scoring (compounds with prior pain trial data vs. novel scaffolds, regulatory path assessment)</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Filter 3,500 compounds: identify kinase inhibitors (annotated in ChEMBL) targeting TrkA, p38, or Src family (200-400 compounds expected)</w:t>
      </w:r>
    </w:p>
    <w:p>
      <w:pPr>
        <w:pStyle w:val="ListParagraph"/>
        <w:numPr>
          <w:ilvl w:val="0"/>
          <w:numId w:val="2"/>
        </w:numPr>
        <w:spacing w:after="100" w:line="360"/>
      </w:pPr>
      <w:r>
        <w:rPr>
          <w:rFonts w:ascii="Arial" w:cs="Arial" w:eastAsia="Arial" w:hAnsi="Arial"/>
          <w:sz w:val="24"/>
          <w:szCs w:val="24"/>
        </w:rPr>
        <w:t xml:space="preserve">Score each kinase inhibitor by selectivity: on-target kinase IC50 / median off-target IC50 (prioritize selectivity &gt;10-fold for primary target)</w:t>
      </w:r>
    </w:p>
    <w:p>
      <w:pPr>
        <w:pStyle w:val="ListParagraph"/>
        <w:numPr>
          <w:ilvl w:val="0"/>
          <w:numId w:val="2"/>
        </w:numPr>
        <w:spacing w:after="100" w:line="360"/>
      </w:pPr>
      <w:r>
        <w:rPr>
          <w:rFonts w:ascii="Arial" w:cs="Arial" w:eastAsia="Arial" w:hAnsi="Arial"/>
          <w:sz w:val="24"/>
          <w:szCs w:val="24"/>
        </w:rPr>
        <w:t xml:space="preserve">Rank kinase inhibitors by firing phenotype modulation: which compounds produce largest decrease in firing frequency, burst frequency?</w:t>
      </w:r>
    </w:p>
    <w:p>
      <w:pPr>
        <w:pStyle w:val="ListParagraph"/>
        <w:numPr>
          <w:ilvl w:val="0"/>
          <w:numId w:val="2"/>
        </w:numPr>
        <w:spacing w:after="100" w:line="360"/>
      </w:pPr>
      <w:r>
        <w:rPr>
          <w:rFonts w:ascii="Arial" w:cs="Arial" w:eastAsia="Arial" w:hAnsi="Arial"/>
          <w:sz w:val="24"/>
          <w:szCs w:val="24"/>
        </w:rPr>
        <w:t xml:space="preserve">Assess multi-target kinase inhibitor utility: compounds hitting both TrkA + p38 (potential combination-like effect?)</w:t>
      </w:r>
    </w:p>
    <w:p>
      <w:pPr>
        <w:pStyle w:val="ListParagraph"/>
        <w:numPr>
          <w:ilvl w:val="0"/>
          <w:numId w:val="2"/>
        </w:numPr>
        <w:spacing w:after="100" w:line="360"/>
      </w:pPr>
      <w:r>
        <w:rPr>
          <w:rFonts w:ascii="Arial" w:cs="Arial" w:eastAsia="Arial" w:hAnsi="Arial"/>
          <w:sz w:val="24"/>
          <w:szCs w:val="24"/>
        </w:rPr>
        <w:t xml:space="preserve">Identify selective scaffolds: which structural classes show best selectivity-to-potency ratio? (e.g., pyrrolopyrimidines for TrkA, pyridinone for p38)</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Kinase inhibitor subset from 3,500 compounds (200-400 compounds, annotated with targets and IC50 data)</w:t>
      </w:r>
    </w:p>
    <w:p>
      <w:pPr>
        <w:pStyle w:val="ListParagraph"/>
        <w:numPr>
          <w:ilvl w:val="0"/>
          <w:numId w:val="2"/>
        </w:numPr>
        <w:spacing w:after="100" w:line="360"/>
      </w:pPr>
      <w:r>
        <w:rPr>
          <w:rFonts w:ascii="Arial" w:cs="Arial" w:eastAsia="Arial" w:hAnsi="Arial"/>
          <w:sz w:val="24"/>
          <w:szCs w:val="24"/>
        </w:rPr>
        <w:t xml:space="preserve">Selectivity index ranking for all kinase inhibitors: on-target potency / off-target panel activity (median/max)</w:t>
      </w:r>
    </w:p>
    <w:p>
      <w:pPr>
        <w:pStyle w:val="ListParagraph"/>
        <w:numPr>
          <w:ilvl w:val="0"/>
          <w:numId w:val="2"/>
        </w:numPr>
        <w:spacing w:after="100" w:line="360"/>
      </w:pPr>
      <w:r>
        <w:rPr>
          <w:rFonts w:ascii="Arial" w:cs="Arial" w:eastAsia="Arial" w:hAnsi="Arial"/>
          <w:sz w:val="24"/>
          <w:szCs w:val="24"/>
        </w:rPr>
        <w:t xml:space="preserve">Firing phenotype modulation ranking (compounds ranked by firing frequency reduction, burst metrics normalization)</w:t>
      </w:r>
    </w:p>
    <w:p>
      <w:pPr>
        <w:pStyle w:val="ListParagraph"/>
        <w:numPr>
          <w:ilvl w:val="0"/>
          <w:numId w:val="2"/>
        </w:numPr>
        <w:spacing w:after="100" w:line="360"/>
      </w:pPr>
      <w:r>
        <w:rPr>
          <w:rFonts w:ascii="Arial" w:cs="Arial" w:eastAsia="Arial" w:hAnsi="Arial"/>
          <w:sz w:val="24"/>
          <w:szCs w:val="24"/>
        </w:rPr>
        <w:t xml:space="preserve">Multi-target kinase inhibitor classification: TrkA-selective, p38-selective, Src-selective, multi-target combinations</w:t>
      </w:r>
    </w:p>
    <w:p>
      <w:pPr>
        <w:pStyle w:val="ListParagraph"/>
        <w:numPr>
          <w:ilvl w:val="0"/>
          <w:numId w:val="2"/>
        </w:numPr>
        <w:spacing w:after="100" w:line="360"/>
      </w:pPr>
      <w:r>
        <w:rPr>
          <w:rFonts w:ascii="Arial" w:cs="Arial" w:eastAsia="Arial" w:hAnsi="Arial"/>
          <w:sz w:val="24"/>
          <w:szCs w:val="24"/>
        </w:rPr>
        <w:t xml:space="preserve">Top 50 kinase inhibitors integrated ranking (selectivity × firing phenotype modulation × off-target risk)</w:t>
      </w:r>
    </w:p>
    <w:p>
      <w:pPr>
        <w:pStyle w:val="ListParagraph"/>
        <w:numPr>
          <w:ilvl w:val="0"/>
          <w:numId w:val="2"/>
        </w:numPr>
        <w:spacing w:after="100" w:line="360"/>
      </w:pPr>
      <w:r>
        <w:rPr>
          <w:rFonts w:ascii="Arial" w:cs="Arial" w:eastAsia="Arial" w:hAnsi="Arial"/>
          <w:sz w:val="24"/>
          <w:szCs w:val="24"/>
        </w:rPr>
        <w:t xml:space="preserve">Structure-activity relationships: scaffold classes associated with best selectivity-efficacy balance (therapeutic sweet spot identification)</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Kinase inhibitor phenotype ranking table (compound, targets, IC50, selectivity index, firing phenotype score); selectivity heatmap (compound × kinase panel); firing frequency modulation curves; structural scaffold clustering; multi-target kinase inhibitor summary; visualization: scatter plot (selectivity vs. firing efficacy), SAR analysis structure classes</w:t>
      </w:r>
    </w:p>
    <w:p>
      <w:pPr>
        <w:pStyle w:val="Heading2"/>
        <w:spacing w:after="200" w:before="200"/>
      </w:pPr>
      <w:r>
        <w:rPr>
          <w:rFonts w:ascii="Arial" w:cs="Arial" w:eastAsia="Arial" w:hAnsi="Arial"/>
          <w:b/>
          <w:bCs/>
          <w:sz w:val="28"/>
          <w:szCs w:val="28"/>
        </w:rPr>
        <w:t xml:space="preserve">Stage 6: Final Kinase Inhibitor Lead Selection &amp; Pain Translation Framework</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Integrate firing phenotype data, kinase selectivity, ADME properties, and clinical pain precedent into final kinase inhibitor lead ranking with development recommendations.</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Top 50 kinase inhibitors (from Stage 4: selectivity × firing modulation ranking)</w:t>
      </w:r>
    </w:p>
    <w:p>
      <w:pPr>
        <w:pStyle w:val="ListParagraph"/>
        <w:numPr>
          <w:ilvl w:val="0"/>
          <w:numId w:val="2"/>
        </w:numPr>
        <w:spacing w:after="100" w:line="360"/>
      </w:pPr>
      <w:r>
        <w:rPr>
          <w:rFonts w:ascii="Arial" w:cs="Arial" w:eastAsia="Arial" w:hAnsi="Arial"/>
          <w:sz w:val="24"/>
          <w:szCs w:val="24"/>
        </w:rPr>
        <w:t xml:space="preserve">ADME/pharmacokinetic predictions: solubility, permeability, hepatic metabolism, plasma protein binding, renal clearance</w:t>
      </w:r>
    </w:p>
    <w:p>
      <w:pPr>
        <w:pStyle w:val="ListParagraph"/>
        <w:numPr>
          <w:ilvl w:val="0"/>
          <w:numId w:val="2"/>
        </w:numPr>
        <w:spacing w:after="100" w:line="360"/>
      </w:pPr>
      <w:r>
        <w:rPr>
          <w:rFonts w:ascii="Arial" w:cs="Arial" w:eastAsia="Arial" w:hAnsi="Arial"/>
          <w:sz w:val="24"/>
          <w:szCs w:val="24"/>
        </w:rPr>
        <w:t xml:space="preserve">Off-target kinase panel: comprehensive kinase selectivity data (450+ kinase panel assays, selectivity ratios)</w:t>
      </w:r>
    </w:p>
    <w:p>
      <w:pPr>
        <w:pStyle w:val="ListParagraph"/>
        <w:numPr>
          <w:ilvl w:val="0"/>
          <w:numId w:val="2"/>
        </w:numPr>
        <w:spacing w:after="100" w:line="360"/>
      </w:pPr>
      <w:r>
        <w:rPr>
          <w:rFonts w:ascii="Arial" w:cs="Arial" w:eastAsia="Arial" w:hAnsi="Arial"/>
          <w:sz w:val="24"/>
          <w:szCs w:val="24"/>
        </w:rPr>
        <w:t xml:space="preserve">Clinical efficacy precedent: published pain outcomes for kinase inhibitors in trial settings (neuropathic pain, inflammatory pain, migraine models)</w:t>
      </w:r>
    </w:p>
    <w:p>
      <w:pPr>
        <w:pStyle w:val="ListParagraph"/>
        <w:numPr>
          <w:ilvl w:val="0"/>
          <w:numId w:val="2"/>
        </w:numPr>
        <w:spacing w:after="100" w:line="360"/>
      </w:pPr>
      <w:r>
        <w:rPr>
          <w:rFonts w:ascii="Arial" w:cs="Arial" w:eastAsia="Arial" w:hAnsi="Arial"/>
          <w:sz w:val="24"/>
          <w:szCs w:val="24"/>
        </w:rPr>
        <w:t xml:space="preserve">Safety/tolerability history: adverse events associated with kinase inhibitors in other indications (hepatotoxicity, immunosuppression, others)</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Integrated kinase inhibitor lead ranking (combine selectivity, firing phenotype, ADME, clinical precedent, safety history)</w:t>
      </w:r>
    </w:p>
    <w:p>
      <w:pPr>
        <w:pStyle w:val="ListParagraph"/>
        <w:numPr>
          <w:ilvl w:val="0"/>
          <w:numId w:val="2"/>
        </w:numPr>
        <w:spacing w:after="100" w:line="360"/>
      </w:pPr>
      <w:r>
        <w:rPr>
          <w:rFonts w:ascii="Arial" w:cs="Arial" w:eastAsia="Arial" w:hAnsi="Arial"/>
          <w:sz w:val="24"/>
          <w:szCs w:val="24"/>
        </w:rPr>
        <w:t xml:space="preserve">ADME property prediction and optimization (solubility, permeability, clearance, BBB penetrance for pain CNS/peripheral targeting)</w:t>
      </w:r>
    </w:p>
    <w:p>
      <w:pPr>
        <w:pStyle w:val="ListParagraph"/>
        <w:numPr>
          <w:ilvl w:val="0"/>
          <w:numId w:val="2"/>
        </w:numPr>
        <w:spacing w:after="100" w:line="360"/>
      </w:pPr>
      <w:r>
        <w:rPr>
          <w:rFonts w:ascii="Arial" w:cs="Arial" w:eastAsia="Arial" w:hAnsi="Arial"/>
          <w:sz w:val="24"/>
          <w:szCs w:val="24"/>
        </w:rPr>
        <w:t xml:space="preserve">Clinical translation pathway assessment (repurposing candidates with prior pain data vs. novel kinase targets)</w:t>
      </w:r>
    </w:p>
    <w:p>
      <w:pPr>
        <w:pStyle w:val="ListParagraph"/>
        <w:numPr>
          <w:ilvl w:val="0"/>
          <w:numId w:val="2"/>
        </w:numPr>
        <w:spacing w:after="100" w:line="360"/>
      </w:pPr>
      <w:r>
        <w:rPr>
          <w:rFonts w:ascii="Arial" w:cs="Arial" w:eastAsia="Arial" w:hAnsi="Arial"/>
          <w:sz w:val="24"/>
          <w:szCs w:val="24"/>
        </w:rPr>
        <w:t xml:space="preserve">Combination therapy opportunity identification (kinase inhibitors synergizing with existing pain medications)</w:t>
      </w:r>
    </w:p>
    <w:p>
      <w:pPr>
        <w:pStyle w:val="ListParagraph"/>
        <w:numPr>
          <w:ilvl w:val="0"/>
          <w:numId w:val="2"/>
        </w:numPr>
        <w:spacing w:after="100" w:line="360"/>
      </w:pPr>
      <w:r>
        <w:rPr>
          <w:rFonts w:ascii="Arial" w:cs="Arial" w:eastAsia="Arial" w:hAnsi="Arial"/>
          <w:sz w:val="24"/>
          <w:szCs w:val="24"/>
        </w:rPr>
        <w:t xml:space="preserve">Toxicity risk assessment (off-target kinase liabilities, immune effects, hepatotoxicity risk from historical kinase inhibitor safety data)</w:t>
      </w:r>
    </w:p>
    <w:p>
      <w:pPr>
        <w:pStyle w:val="ListParagraph"/>
        <w:numPr>
          <w:ilvl w:val="0"/>
          <w:numId w:val="2"/>
        </w:numPr>
        <w:spacing w:after="100" w:line="360"/>
      </w:pPr>
      <w:r>
        <w:rPr>
          <w:rFonts w:ascii="Arial" w:cs="Arial" w:eastAsia="Arial" w:hAnsi="Arial"/>
          <w:sz w:val="24"/>
          <w:szCs w:val="24"/>
        </w:rPr>
        <w:t xml:space="preserve">Pain trial design recommendation (neuropathic pain, inflammatory pain, migraine models best suited for lead compounds based on mechanism)</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Integrate all prior stage scores into final kinase inhibitor ranking (selectivity × firing modulation × ADME viability × clinical precedent)</w:t>
      </w:r>
    </w:p>
    <w:p>
      <w:pPr>
        <w:pStyle w:val="ListParagraph"/>
        <w:numPr>
          <w:ilvl w:val="0"/>
          <w:numId w:val="2"/>
        </w:numPr>
        <w:spacing w:after="100" w:line="360"/>
      </w:pPr>
      <w:r>
        <w:rPr>
          <w:rFonts w:ascii="Arial" w:cs="Arial" w:eastAsia="Arial" w:hAnsi="Arial"/>
          <w:sz w:val="24"/>
          <w:szCs w:val="24"/>
        </w:rPr>
        <w:t xml:space="preserve">For top 20 kinase inhibitors, assess ADME properties: prioritize compounds suitable for oral pain dosing (good solubility, permeability, reasonable clearance)</w:t>
      </w:r>
    </w:p>
    <w:p>
      <w:pPr>
        <w:pStyle w:val="ListParagraph"/>
        <w:numPr>
          <w:ilvl w:val="0"/>
          <w:numId w:val="2"/>
        </w:numPr>
        <w:spacing w:after="100" w:line="360"/>
      </w:pPr>
      <w:r>
        <w:rPr>
          <w:rFonts w:ascii="Arial" w:cs="Arial" w:eastAsia="Arial" w:hAnsi="Arial"/>
          <w:sz w:val="24"/>
          <w:szCs w:val="24"/>
        </w:rPr>
        <w:t xml:space="preserve">Evaluate off-target kinase liability: do top leads have problematic secondary kinase targets (immunosuppressive, hepatotoxic risk)?</w:t>
      </w:r>
    </w:p>
    <w:p>
      <w:pPr>
        <w:pStyle w:val="ListParagraph"/>
        <w:numPr>
          <w:ilvl w:val="0"/>
          <w:numId w:val="2"/>
        </w:numPr>
        <w:spacing w:after="100" w:line="360"/>
      </w:pPr>
      <w:r>
        <w:rPr>
          <w:rFonts w:ascii="Arial" w:cs="Arial" w:eastAsia="Arial" w:hAnsi="Arial"/>
          <w:sz w:val="24"/>
          <w:szCs w:val="24"/>
        </w:rPr>
        <w:t xml:space="preserve">Score compounds by clinical pain precedent: existing compounds with published trial data (faster development) vs. novel kinase targets (higher risk)</w:t>
      </w:r>
    </w:p>
    <w:p>
      <w:pPr>
        <w:pStyle w:val="ListParagraph"/>
        <w:numPr>
          <w:ilvl w:val="0"/>
          <w:numId w:val="2"/>
        </w:numPr>
        <w:spacing w:after="100" w:line="360"/>
      </w:pPr>
      <w:r>
        <w:rPr>
          <w:rFonts w:ascii="Arial" w:cs="Arial" w:eastAsia="Arial" w:hAnsi="Arial"/>
          <w:sz w:val="24"/>
          <w:szCs w:val="24"/>
        </w:rPr>
        <w:t xml:space="preserve">Recommend pain trial populations: which compounds best suited for neuropathic pain vs. inflammatory pain vs. migraine based on mechanism?</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Final kinase inhibitor lead ranking: top 10-15 compounds with integrated scores and clinical development recommendations</w:t>
      </w:r>
    </w:p>
    <w:p>
      <w:pPr>
        <w:pStyle w:val="ListParagraph"/>
        <w:numPr>
          <w:ilvl w:val="0"/>
          <w:numId w:val="2"/>
        </w:numPr>
        <w:spacing w:after="100" w:line="360"/>
      </w:pPr>
      <w:r>
        <w:rPr>
          <w:rFonts w:ascii="Arial" w:cs="Arial" w:eastAsia="Arial" w:hAnsi="Arial"/>
          <w:sz w:val="24"/>
          <w:szCs w:val="24"/>
        </w:rPr>
        <w:t xml:space="preserve">Lead compound profiles: kinase targets, selectivity index, firing phenotype effect size, ADME properties, clinical precedent, safety history</w:t>
      </w:r>
    </w:p>
    <w:p>
      <w:pPr>
        <w:pStyle w:val="ListParagraph"/>
        <w:numPr>
          <w:ilvl w:val="0"/>
          <w:numId w:val="2"/>
        </w:numPr>
        <w:spacing w:after="100" w:line="360"/>
      </w:pPr>
      <w:r>
        <w:rPr>
          <w:rFonts w:ascii="Arial" w:cs="Arial" w:eastAsia="Arial" w:hAnsi="Arial"/>
          <w:sz w:val="24"/>
          <w:szCs w:val="24"/>
        </w:rPr>
        <w:t xml:space="preserve">ADME property summary for top 20 compounds (solubility, permeability, predicted clearance, BBB penetrance, drug-likeness scoring)</w:t>
      </w:r>
    </w:p>
    <w:p>
      <w:pPr>
        <w:pStyle w:val="ListParagraph"/>
        <w:numPr>
          <w:ilvl w:val="0"/>
          <w:numId w:val="2"/>
        </w:numPr>
        <w:spacing w:after="100" w:line="360"/>
      </w:pPr>
      <w:r>
        <w:rPr>
          <w:rFonts w:ascii="Arial" w:cs="Arial" w:eastAsia="Arial" w:hAnsi="Arial"/>
          <w:sz w:val="24"/>
          <w:szCs w:val="24"/>
        </w:rPr>
        <w:t xml:space="preserve">Off-target kinase liability assessment (secondary targets identified, toxicity risk flags: immunosuppressive, hepatotoxic, others)</w:t>
      </w:r>
    </w:p>
    <w:p>
      <w:pPr>
        <w:pStyle w:val="ListParagraph"/>
        <w:numPr>
          <w:ilvl w:val="0"/>
          <w:numId w:val="2"/>
        </w:numPr>
        <w:spacing w:after="100" w:line="360"/>
      </w:pPr>
      <w:r>
        <w:rPr>
          <w:rFonts w:ascii="Arial" w:cs="Arial" w:eastAsia="Arial" w:hAnsi="Arial"/>
          <w:sz w:val="24"/>
          <w:szCs w:val="24"/>
        </w:rPr>
        <w:t xml:space="preserve">Clinical translation pathway (repurposing candidates vs. novel targets, recommended pain indication: neuropathic/inflammatory/migraine)</w:t>
      </w:r>
    </w:p>
    <w:p>
      <w:pPr>
        <w:pStyle w:val="ListParagraph"/>
        <w:numPr>
          <w:ilvl w:val="0"/>
          <w:numId w:val="2"/>
        </w:numPr>
        <w:spacing w:after="100" w:line="360"/>
      </w:pPr>
      <w:r>
        <w:rPr>
          <w:rFonts w:ascii="Arial" w:cs="Arial" w:eastAsia="Arial" w:hAnsi="Arial"/>
          <w:sz w:val="24"/>
          <w:szCs w:val="24"/>
        </w:rPr>
        <w:t xml:space="preserve">Combination therapy opportunities (kinase inhibitors synergizing with NSAIDs, gabapentinoids, other pain mechanisms)</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Final lead ranking table (compound name, kinase target, selectivity, firing effect, ADME, clinical recommendation); detailed lead profiles (structure, targets, selectivity ratio, phenotype data, ADME, safety history); development pathway flowchart; off-target liability scorecard; combination therapy recommendation matrix</w:t>
      </w:r>
    </w:p>
    <w:p>
      <w:pPr>
        <w:pStyle w:val="Heading2"/>
        <w:spacing w:after="200" w:before="200"/>
      </w:pPr>
      <w:r>
        <w:rPr>
          <w:rFonts w:ascii="Arial" w:cs="Arial" w:eastAsia="Arial" w:hAnsi="Arial"/>
          <w:b/>
          <w:bCs/>
          <w:sz w:val="28"/>
          <w:szCs w:val="28"/>
        </w:rPr>
        <w:t xml:space="preserve">Comprehensive Tools &amp; Databases Summary</w:t>
      </w:r>
    </w:p>
    <w:p>
      <w:pPr>
        <w:pStyle w:val="ListParagraph"/>
        <w:numPr>
          <w:ilvl w:val="0"/>
          <w:numId w:val="2"/>
        </w:numPr>
        <w:spacing w:after="100" w:line="360"/>
      </w:pPr>
      <w:r>
        <w:rPr>
          <w:rFonts w:ascii="Arial" w:cs="Arial" w:eastAsia="Arial" w:hAnsi="Arial"/>
          <w:sz w:val="24"/>
          <w:szCs w:val="24"/>
        </w:rPr>
        <w:t xml:space="preserve">Quiver Bioscience Electrophysiology CRISPR Atlas (~18,000 gene perturbations, ~3,500 compound perturbations, 500+ features per neuron)</w:t>
      </w:r>
    </w:p>
    <w:p>
      <w:pPr>
        <w:pStyle w:val="ListParagraph"/>
        <w:numPr>
          <w:ilvl w:val="0"/>
          <w:numId w:val="2"/>
        </w:numPr>
        <w:spacing w:after="100" w:line="360"/>
      </w:pPr>
      <w:r>
        <w:rPr>
          <w:rFonts w:ascii="Arial" w:cs="Arial" w:eastAsia="Arial" w:hAnsi="Arial"/>
          <w:sz w:val="24"/>
          <w:szCs w:val="24"/>
        </w:rPr>
        <w:t xml:space="preserve">Ephys.io Feature Extraction Pipeline (automated action potential metrics, firing kinetics, calcium dynamics)</w:t>
      </w:r>
    </w:p>
    <w:p>
      <w:pPr>
        <w:pStyle w:val="ListParagraph"/>
        <w:numPr>
          <w:ilvl w:val="0"/>
          <w:numId w:val="2"/>
        </w:numPr>
        <w:spacing w:after="100" w:line="360"/>
      </w:pPr>
      <w:r>
        <w:rPr>
          <w:rFonts w:ascii="Arial" w:cs="Arial" w:eastAsia="Arial" w:hAnsi="Arial"/>
          <w:sz w:val="24"/>
          <w:szCs w:val="24"/>
        </w:rPr>
        <w:t xml:space="preserve">ChEMBL &amp; STITCH Compound Target Databases (chemical structure, target predictions, pharmacophore data)</w:t>
      </w:r>
    </w:p>
    <w:p>
      <w:pPr>
        <w:pStyle w:val="ListParagraph"/>
        <w:numPr>
          <w:ilvl w:val="0"/>
          <w:numId w:val="2"/>
        </w:numPr>
        <w:spacing w:after="100" w:line="360"/>
      </w:pPr>
      <w:r>
        <w:rPr>
          <w:rFonts w:ascii="Arial" w:cs="Arial" w:eastAsia="Arial" w:hAnsi="Arial"/>
          <w:sz w:val="24"/>
          <w:szCs w:val="24"/>
        </w:rPr>
        <w:t xml:space="preserve">KEGG &amp; Reactome Pathway Annotation Databases (pain pathway mapping, enrichment analysis)</w:t>
      </w:r>
    </w:p>
    <w:p>
      <w:pPr>
        <w:pStyle w:val="ListParagraph"/>
        <w:numPr>
          <w:ilvl w:val="0"/>
          <w:numId w:val="2"/>
        </w:numPr>
        <w:spacing w:after="100" w:line="360"/>
      </w:pPr>
      <w:r>
        <w:rPr>
          <w:rFonts w:ascii="Arial" w:cs="Arial" w:eastAsia="Arial" w:hAnsi="Arial"/>
          <w:sz w:val="24"/>
          <w:szCs w:val="24"/>
        </w:rPr>
        <w:t xml:space="preserve">GWAS Summary Statistics &amp; Fine-Mapping Tools (pain loci, credible sets, causal variant identification)</w:t>
      </w:r>
    </w:p>
    <w:p>
      <w:pPr>
        <w:pStyle w:val="ListParagraph"/>
        <w:numPr>
          <w:ilvl w:val="0"/>
          <w:numId w:val="2"/>
        </w:numPr>
        <w:spacing w:after="100" w:line="360"/>
      </w:pPr>
      <w:r>
        <w:rPr>
          <w:rFonts w:ascii="Arial" w:cs="Arial" w:eastAsia="Arial" w:hAnsi="Arial"/>
          <w:sz w:val="24"/>
          <w:szCs w:val="24"/>
        </w:rPr>
        <w:t xml:space="preserve">PubMed Literature Mining &amp; Pharmacology Databases (historical pain efficacy, toxicity, mechanism data)</w:t>
      </w:r>
    </w:p>
    <w:p>
      <w:pPr>
        <w:pStyle w:val="ListParagraph"/>
        <w:numPr>
          <w:ilvl w:val="0"/>
          <w:numId w:val="2"/>
        </w:numPr>
        <w:spacing w:after="100" w:line="360"/>
      </w:pPr>
      <w:r>
        <w:rPr>
          <w:rFonts w:ascii="Arial" w:cs="Arial" w:eastAsia="Arial" w:hAnsi="Arial"/>
          <w:sz w:val="24"/>
          <w:szCs w:val="24"/>
        </w:rPr>
        <w:t xml:space="preserve">String Protein-Protein Interaction Database (gene regulatory networks, pathway cross-talk)</w:t>
      </w:r>
    </w:p>
    <w:p>
      <w:pPr>
        <w:pStyle w:val="ListParagraph"/>
        <w:numPr>
          <w:ilvl w:val="0"/>
          <w:numId w:val="2"/>
        </w:numPr>
        <w:spacing w:after="100" w:line="360"/>
      </w:pPr>
      <w:r>
        <w:rPr>
          <w:rFonts w:ascii="Arial" w:cs="Arial" w:eastAsia="Arial" w:hAnsi="Arial"/>
          <w:sz w:val="24"/>
          <w:szCs w:val="24"/>
        </w:rPr>
        <w:t xml:space="preserve">PhosphoSitePlus &amp; Kinase-Substrate Databases (phosphorylation sites, kinase selectivity mapping)</w:t>
      </w:r>
    </w:p>
    <w:p>
      <w:pPr>
        <w:pStyle w:val="ListParagraph"/>
        <w:numPr>
          <w:ilvl w:val="0"/>
          <w:numId w:val="2"/>
        </w:numPr>
        <w:spacing w:after="100" w:line="360"/>
      </w:pPr>
      <w:r>
        <w:rPr>
          <w:rFonts w:ascii="Arial" w:cs="Arial" w:eastAsia="Arial" w:hAnsi="Arial"/>
          <w:sz w:val="24"/>
          <w:szCs w:val="24"/>
        </w:rPr>
        <w:t xml:space="preserve">ADME Prediction Toolkit (solubility, permeability, hepatic clearance, BBB penetration models)</w:t>
      </w:r>
    </w:p>
    <w:p>
      <w:pPr>
        <w:pStyle w:val="ListParagraph"/>
        <w:numPr>
          <w:ilvl w:val="0"/>
          <w:numId w:val="2"/>
        </w:numPr>
        <w:spacing w:after="100" w:line="360"/>
      </w:pPr>
      <w:r>
        <w:rPr>
          <w:rFonts w:ascii="Arial" w:cs="Arial" w:eastAsia="Arial" w:hAnsi="Arial"/>
          <w:sz w:val="24"/>
          <w:szCs w:val="24"/>
        </w:rPr>
        <w:t xml:space="preserve">Statistical Analysis &amp; Machine Learning Pipelines (dimensionality reduction, clustering, ranking algorithms)</w:t>
      </w:r>
    </w:p>
    <w:p>
      <w:pPr>
        <w:pStyle w:val="ListParagraph"/>
        <w:numPr>
          <w:ilvl w:val="0"/>
          <w:numId w:val="2"/>
        </w:numPr>
        <w:spacing w:after="100" w:line="360"/>
      </w:pPr>
      <w:r>
        <w:rPr>
          <w:rFonts w:ascii="Arial" w:cs="Arial" w:eastAsia="Arial" w:hAnsi="Arial"/>
          <w:sz w:val="24"/>
          <w:szCs w:val="24"/>
        </w:rPr>
        <w:t xml:space="preserve">Neo &amp; Electrophysiology Data Standardization Framework (multi-format recording compatibility, signal processing)</w:t>
      </w:r>
    </w:p>
    <w:p>
      <w:pPr>
        <w:pStyle w:val="ListParagraph"/>
        <w:numPr>
          <w:ilvl w:val="0"/>
          <w:numId w:val="2"/>
        </w:numPr>
        <w:spacing w:after="100" w:line="360"/>
      </w:pPr>
      <w:r>
        <w:rPr>
          <w:rFonts w:ascii="Arial" w:cs="Arial" w:eastAsia="Arial" w:hAnsi="Arial"/>
          <w:sz w:val="24"/>
          <w:szCs w:val="24"/>
        </w:rPr>
        <w:t xml:space="preserve">Off-Target Liability Assessment Tools (ToxCast, SEA tool for secondary binding predictions)</w:t>
      </w:r>
    </w:p>
    <w:p>
      <w:pPr>
        <w:pStyle w:val="ListParagraph"/>
        <w:numPr>
          <w:ilvl w:val="0"/>
          <w:numId w:val="2"/>
        </w:numPr>
        <w:spacing w:after="100" w:line="360"/>
      </w:pPr>
      <w:r>
        <w:rPr>
          <w:rFonts w:ascii="Arial" w:cs="Arial" w:eastAsia="Arial" w:hAnsi="Arial"/>
          <w:sz w:val="24"/>
          <w:szCs w:val="24"/>
        </w:rPr>
        <w:t xml:space="preserve">Dose-Response Curve Fitting Suite (4-parameter logistic, Hill equation, EC50/IC50 calculations)</w:t>
      </w:r>
    </w:p>
    <w:p>
      <w:pPr>
        <w:pStyle w:val="ListParagraph"/>
        <w:numPr>
          <w:ilvl w:val="0"/>
          <w:numId w:val="2"/>
        </w:numPr>
        <w:spacing w:after="100" w:line="360"/>
      </w:pPr>
      <w:r>
        <w:rPr>
          <w:rFonts w:ascii="Arial" w:cs="Arial" w:eastAsia="Arial" w:hAnsi="Arial"/>
          <w:sz w:val="24"/>
          <w:szCs w:val="24"/>
        </w:rPr>
        <w:t xml:space="preserve">Pain Genetic Database Integration (PainGenesDB, OMIM, clinical pain phenotype-genotype associations)</w:t>
      </w:r>
    </w:p>
    <w:p>
      <w:pPr>
        <w:pStyle w:val="ListParagraph"/>
        <w:numPr>
          <w:ilvl w:val="0"/>
          <w:numId w:val="2"/>
        </w:numPr>
        <w:spacing w:after="100" w:line="360"/>
      </w:pPr>
      <w:r>
        <w:rPr>
          <w:rFonts w:ascii="Arial" w:cs="Arial" w:eastAsia="Arial" w:hAnsi="Arial"/>
          <w:sz w:val="24"/>
          <w:szCs w:val="24"/>
        </w:rPr>
        <w:t xml:space="preserve">Neuroinformatics Visualization Tools (Cytoscape, UMAP, interactive heatmap generation for phenotype analysis)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pPr>
    <w:rPr>
      <w:rFonts w:ascii="Arial" w:cs="Arial" w:eastAsia="Arial" w:hAnsi="Arial"/>
      <w:b/>
      <w:bCs/>
      <w:sz w:val="32"/>
      <w:szCs w:val="32"/>
    </w:rPr>
  </w:style>
  <w:style w:type="paragraph" w:styleId="Heading2">
    <w:name w:val="Heading 2"/>
    <w:basedOn w:val="Normal"/>
    <w:next w:val="Normal"/>
    <w:qFormat/>
    <w:pPr>
      <w:spacing w:after="200" w:before="20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2026-03-04T14:31:12.936Z</dcterms:created>
  <dcterms:modified xsi:type="dcterms:W3CDTF">2026-03-04T14:31:12.936Z</dcterms:modified>
</cp:coreProperties>
</file>

<file path=docProps/custom.xml><?xml version="1.0" encoding="utf-8"?>
<Properties xmlns="http://schemas.openxmlformats.org/officeDocument/2006/custom-properties" xmlns:vt="http://schemas.openxmlformats.org/officeDocument/2006/docPropsVTypes"/>
</file>