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Identify Small Molecules Mimicking Protective SCN9A LOF Phenotype</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small molecules mimicking protective SCN9A LOF phenotype.</w:t>
      </w:r>
    </w:p>
    <w:p>
      <w:pPr>
        <w:spacing w:after="200" w:line="360"/>
      </w:pPr>
      <w:r>
        <w:rPr>
          <w:rFonts w:ascii="Arial" w:cs="Arial" w:eastAsia="Arial" w:hAnsi="Arial"/>
          <w:sz w:val="24"/>
          <w:szCs w:val="24"/>
        </w:rPr>
        <w:t xml:space="preserve">This pipeline leverages Quiver Bioscience's electrophysiology CRISPR atlas to identify small molecule compounds that pharmacologically reproduce the protective electrophysiological phenotype of SCN9A loss-of-function (LOF). SCN9A encodes the alpha subunit of the voltage-gated sodium channel Nav1.7, and LOF mutations cause congenital insensitivity to pain (CIP), a rare genetic disorder characterized by complete inability to perceive pain without loss of other sensory modalities. The pipeline systematically screens the compound library (~3,500 perturbations) against EP signatures derived from SCN9A-knockout neurons to identify candidates that recapitulate the CIP protective phenotype through state-dependent sodium channel blockade, selective inactivation enhancement, and preservation of motor function.</w:t>
      </w:r>
    </w:p>
    <w:p>
      <w:pPr>
        <w:spacing w:after="200" w:line="360"/>
      </w:pPr>
      <w:r>
        <w:rPr>
          <w:rFonts w:ascii="Arial" w:cs="Arial" w:eastAsia="Arial" w:hAnsi="Arial"/>
          <w:sz w:val="24"/>
          <w:szCs w:val="24"/>
        </w:rPr>
        <w:t xml:space="preserve">By matching EP signatures rather than sequence similarity, this approach identifies functional analogues of SCN9A LOF that may bypass genetic limitations and provide therapeutic benefit in pain disorders. The pipeline prioritizes compounds showing Nav1.7-selective inhibition in sensory neurons, minimal effect on cardiac sodium channels (Nav1.5), and preservation of motor neuron function, ensuring translational potential for pain therapeutics while minimizing off-target toxicity.</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multi-stage electrophysiological analysis, phenotypic matching, and safety assessment to identify small molecules recapitulating the SCN9A LOF protective phenotype. Beginning with reference EP profiling of SCN9A-knockout neurons, the workflow constructs a comprehensive phenotype signature encompassing action potential kinetics, current-voltage relationships, inactivation dynamics, and recovery from inactivation. This signature serves as the molecular fingerprint against which all compounds in the library are compared using pattern-recognition algorithms and clustering methodologies to identify functional matches.</w:t>
      </w:r>
    </w:p>
    <w:p>
      <w:pPr>
        <w:spacing w:after="200" w:line="360"/>
      </w:pPr>
      <w:r>
        <w:rPr>
          <w:rFonts w:ascii="Arial" w:cs="Arial" w:eastAsia="Arial" w:hAnsi="Arial"/>
          <w:sz w:val="24"/>
          <w:szCs w:val="24"/>
        </w:rPr>
        <w:t xml:space="preserve">Candidate compounds undergo iterative refinement through concordance scoring (quantifying alignment with LOF signature), selectivity filtering (comparing Nav1.7 vs Nav1.1, Nav1.5, Nav1.8 effects), and safety validation (cardiac, CNS, respiratory EP markers). The final output comprises ranked compounds with detailed EP pharmacodynamic profiles, predicted therapeutic indices, and recommended starting concentrations for further validation. This systematic approach transforms phenotypic signatures into druggable targets, accelerating the path from basic science to therapeutic candidates for pain and other SCN9A-related disorders.</w:t>
      </w:r>
    </w:p>
    <w:p>
      <w:pPr>
        <w:pStyle w:val="Heading2"/>
      </w:pPr>
      <w:r>
        <w:rPr>
          <w:rFonts w:ascii="Arial" w:cs="Arial" w:eastAsia="Arial" w:hAnsi="Arial"/>
          <w:b/>
          <w:bCs/>
          <w:sz w:val="28"/>
          <w:szCs w:val="28"/>
        </w:rPr>
        <w:t xml:space="preserve">Stage 1: SCN9A LOF Reference Signature Construction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comprehensive electrophysiological fingerprint of SCN9A knockout neurons that defines the protective CIP phenotype, serving as the reference baseline against which all compounds are matched.</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Whole-cell voltage clamp recordings from CRISPR SCN9A-knockout human iPSC-derived sensory neurons (dorsal root ganglion-like phenotype)</w:t>
      </w:r>
    </w:p>
    <w:p>
      <w:pPr>
        <w:pStyle w:val="ListParagraph"/>
        <w:numPr>
          <w:ilvl w:val="0"/>
          <w:numId w:val="2"/>
        </w:numPr>
        <w:spacing w:after="100" w:line="360"/>
      </w:pPr>
      <w:r>
        <w:rPr>
          <w:rFonts w:ascii="Arial" w:cs="Arial" w:eastAsia="Arial" w:hAnsi="Arial"/>
          <w:sz w:val="24"/>
          <w:szCs w:val="24"/>
        </w:rPr>
        <w:t xml:space="preserve">Current-voltage (I-V) relationships for sodium, potassium, and calcium currents from mutant neurons</w:t>
      </w:r>
    </w:p>
    <w:p>
      <w:pPr>
        <w:pStyle w:val="ListParagraph"/>
        <w:numPr>
          <w:ilvl w:val="0"/>
          <w:numId w:val="2"/>
        </w:numPr>
        <w:spacing w:after="100" w:line="360"/>
      </w:pPr>
      <w:r>
        <w:rPr>
          <w:rFonts w:ascii="Arial" w:cs="Arial" w:eastAsia="Arial" w:hAnsi="Arial"/>
          <w:sz w:val="24"/>
          <w:szCs w:val="24"/>
        </w:rPr>
        <w:t xml:space="preserve">Action potential morphology metrics: resting membrane potential, threshold, amplitude, half-width, AHP amplitude and kinetics</w:t>
      </w:r>
    </w:p>
    <w:p>
      <w:pPr>
        <w:pStyle w:val="ListParagraph"/>
        <w:numPr>
          <w:ilvl w:val="0"/>
          <w:numId w:val="2"/>
        </w:numPr>
        <w:spacing w:after="100" w:line="360"/>
      </w:pPr>
      <w:r>
        <w:rPr>
          <w:rFonts w:ascii="Arial" w:cs="Arial" w:eastAsia="Arial" w:hAnsi="Arial"/>
          <w:sz w:val="24"/>
          <w:szCs w:val="24"/>
        </w:rPr>
        <w:t xml:space="preserve">Inactivation kinetics: fast inactivation time constant (tau), steady-state inactivation curves, recovery from inactivation at physiological frequencies</w:t>
      </w:r>
    </w:p>
    <w:p>
      <w:pPr>
        <w:pStyle w:val="ListParagraph"/>
        <w:numPr>
          <w:ilvl w:val="0"/>
          <w:numId w:val="2"/>
        </w:numPr>
        <w:spacing w:after="100" w:line="360"/>
      </w:pPr>
      <w:r>
        <w:rPr>
          <w:rFonts w:ascii="Arial" w:cs="Arial" w:eastAsia="Arial" w:hAnsi="Arial"/>
          <w:sz w:val="24"/>
          <w:szCs w:val="24"/>
        </w:rPr>
        <w:t xml:space="preserve">Neuronal subtype classification: nociceptor vs proprioceptor vs motor neuron phenotypes based on electrical properties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CRISPR Atlas (SCN9A KO cohort): Retrieve 18,000+ gene perturbation EP signatures including SCN9A complete knockout lines</w:t>
      </w:r>
    </w:p>
    <w:p>
      <w:pPr>
        <w:pStyle w:val="ListParagraph"/>
        <w:numPr>
          <w:ilvl w:val="0"/>
          <w:numId w:val="2"/>
        </w:numPr>
        <w:spacing w:after="100" w:line="360"/>
      </w:pPr>
      <w:r>
        <w:rPr>
          <w:rFonts w:ascii="Arial" w:cs="Arial" w:eastAsia="Arial" w:hAnsi="Arial"/>
          <w:sz w:val="24"/>
          <w:szCs w:val="24"/>
        </w:rPr>
        <w:t xml:space="preserve">PatchMaster/Patchmaster+ (Electrophysiology Recording Software): Access raw voltage clamp and current clamp recordings</w:t>
      </w:r>
    </w:p>
    <w:p>
      <w:pPr>
        <w:pStyle w:val="ListParagraph"/>
        <w:numPr>
          <w:ilvl w:val="0"/>
          <w:numId w:val="2"/>
        </w:numPr>
        <w:spacing w:after="100" w:line="360"/>
      </w:pPr>
      <w:r>
        <w:rPr>
          <w:rFonts w:ascii="Arial" w:cs="Arial" w:eastAsia="Arial" w:hAnsi="Arial"/>
          <w:sz w:val="24"/>
          <w:szCs w:val="24"/>
        </w:rPr>
        <w:t xml:space="preserve">Igor Pro (Wavemetrics) with custom EP analysis macros: Quantify kinetic parameters, I-V relationships, inactivation curves</w:t>
      </w:r>
    </w:p>
    <w:p>
      <w:pPr>
        <w:pStyle w:val="ListParagraph"/>
        <w:numPr>
          <w:ilvl w:val="0"/>
          <w:numId w:val="2"/>
        </w:numPr>
        <w:spacing w:after="100" w:line="360"/>
      </w:pPr>
      <w:r>
        <w:rPr>
          <w:rFonts w:ascii="Arial" w:cs="Arial" w:eastAsia="Arial" w:hAnsi="Arial"/>
          <w:sz w:val="24"/>
          <w:szCs w:val="24"/>
        </w:rPr>
        <w:t xml:space="preserve">R/Bioconductor (igraph, ComplexHeatmap packages): Construct correlation matrices and hierarchical clustering of EP traits</w:t>
      </w:r>
    </w:p>
    <w:p>
      <w:pPr>
        <w:pStyle w:val="ListParagraph"/>
        <w:numPr>
          <w:ilvl w:val="0"/>
          <w:numId w:val="2"/>
        </w:numPr>
        <w:spacing w:after="100" w:line="360"/>
      </w:pPr>
      <w:r>
        <w:rPr>
          <w:rFonts w:ascii="Arial" w:cs="Arial" w:eastAsia="Arial" w:hAnsi="Arial"/>
          <w:sz w:val="24"/>
          <w:szCs w:val="24"/>
        </w:rPr>
        <w:t xml:space="preserve">Python (scikit-learn, pandas): Principal component analysis (PCA) of high-dimensional EP phenotype space to define signature axes</w:t>
      </w:r>
    </w:p>
    <w:p>
      <w:pPr>
        <w:pStyle w:val="ListParagraph"/>
        <w:numPr>
          <w:ilvl w:val="0"/>
          <w:numId w:val="2"/>
        </w:numPr>
        <w:spacing w:after="100" w:line="360"/>
      </w:pPr>
      <w:r>
        <w:rPr>
          <w:rFonts w:ascii="Arial" w:cs="Arial" w:eastAsia="Arial" w:hAnsi="Arial"/>
          <w:sz w:val="24"/>
          <w:szCs w:val="24"/>
        </w:rPr>
        <w:t xml:space="preserve">Ion Channel Pharmacology Database (ICPDb): Cross-reference known Nav1.7 ligands and their EP signatures for validation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inactivation time constant and steady-state inactivation curve from voltage clamp recordings at -20 mV holding potential in SCN9A KO sensory neurons"</w:t>
      </w:r>
    </w:p>
    <w:p>
      <w:pPr>
        <w:pStyle w:val="ListParagraph"/>
        <w:numPr>
          <w:ilvl w:val="0"/>
          <w:numId w:val="2"/>
        </w:numPr>
        <w:spacing w:after="100" w:line="360"/>
      </w:pPr>
      <w:r>
        <w:rPr>
          <w:rFonts w:ascii="Arial" w:cs="Arial" w:eastAsia="Arial" w:hAnsi="Arial"/>
          <w:sz w:val="24"/>
          <w:szCs w:val="24"/>
        </w:rPr>
        <w:t xml:space="preserve">"Extract resting membrane potential, action potential threshold, peak amplitude, and afterhyperpolarization kinetics from current clamp traces of Nav1.7-negative nociceptors"</w:t>
      </w:r>
    </w:p>
    <w:p>
      <w:pPr>
        <w:pStyle w:val="ListParagraph"/>
        <w:numPr>
          <w:ilvl w:val="0"/>
          <w:numId w:val="2"/>
        </w:numPr>
        <w:spacing w:after="100" w:line="360"/>
      </w:pPr>
      <w:r>
        <w:rPr>
          <w:rFonts w:ascii="Arial" w:cs="Arial" w:eastAsia="Arial" w:hAnsi="Arial"/>
          <w:sz w:val="24"/>
          <w:szCs w:val="24"/>
        </w:rPr>
        <w:t xml:space="preserve">"Perform unsupervised clustering of SCN9A KO neurons by EP phenotype to identify distinct functional subtypes within the KO cohort"</w:t>
      </w:r>
    </w:p>
    <w:p>
      <w:pPr>
        <w:pStyle w:val="ListParagraph"/>
        <w:numPr>
          <w:ilvl w:val="0"/>
          <w:numId w:val="2"/>
        </w:numPr>
        <w:spacing w:after="100" w:line="360"/>
      </w:pPr>
      <w:r>
        <w:rPr>
          <w:rFonts w:ascii="Arial" w:cs="Arial" w:eastAsia="Arial" w:hAnsi="Arial"/>
          <w:sz w:val="24"/>
          <w:szCs w:val="24"/>
        </w:rPr>
        <w:t xml:space="preserve">"Generate receiver operating characteristic (ROC) curves comparing sensitivity/specificity of candidate EP markers for CIP phenotype classification"</w:t>
      </w:r>
    </w:p>
    <w:p>
      <w:pPr>
        <w:pStyle w:val="ListParagraph"/>
        <w:numPr>
          <w:ilvl w:val="0"/>
          <w:numId w:val="2"/>
        </w:numPr>
        <w:spacing w:after="100" w:line="360"/>
      </w:pPr>
      <w:r>
        <w:rPr>
          <w:rFonts w:ascii="Arial" w:cs="Arial" w:eastAsia="Arial" w:hAnsi="Arial"/>
          <w:sz w:val="24"/>
          <w:szCs w:val="24"/>
        </w:rPr>
        <w:t xml:space="preserve">"Quantify recovery from inactivation kinetics at 1 Hz, 10 Hz, and 100 Hz stimulation frequencies to capture state-dependent block signature"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Quantitative EP signature vector (50+ features): includes peak inward sodium current, fast inactivation tau, steady-state inactivation midpoint, recovery tau at multiple frequencies</w:t>
      </w:r>
    </w:p>
    <w:p>
      <w:pPr>
        <w:pStyle w:val="ListParagraph"/>
        <w:numPr>
          <w:ilvl w:val="0"/>
          <w:numId w:val="2"/>
        </w:numPr>
        <w:spacing w:after="100" w:line="360"/>
      </w:pPr>
      <w:r>
        <w:rPr>
          <w:rFonts w:ascii="Arial" w:cs="Arial" w:eastAsia="Arial" w:hAnsi="Arial"/>
          <w:sz w:val="24"/>
          <w:szCs w:val="24"/>
        </w:rPr>
        <w:t xml:space="preserve">Action potential morphology profile: resting potential (-70±5 mV typical), threshold (+5 to +15 mV), peak (+20 to +40 mV), AHP amplitude and duration</w:t>
      </w:r>
    </w:p>
    <w:p>
      <w:pPr>
        <w:pStyle w:val="ListParagraph"/>
        <w:numPr>
          <w:ilvl w:val="0"/>
          <w:numId w:val="2"/>
        </w:numPr>
        <w:spacing w:after="100" w:line="360"/>
      </w:pPr>
      <w:r>
        <w:rPr>
          <w:rFonts w:ascii="Arial" w:cs="Arial" w:eastAsia="Arial" w:hAnsi="Arial"/>
          <w:sz w:val="24"/>
          <w:szCs w:val="24"/>
        </w:rPr>
        <w:t xml:space="preserve">Current-voltage family plots: normalized I-V curves for sodium current showing reduced peak and altered kinetics vs wildtype controls</w:t>
      </w:r>
    </w:p>
    <w:p>
      <w:pPr>
        <w:pStyle w:val="ListParagraph"/>
        <w:numPr>
          <w:ilvl w:val="0"/>
          <w:numId w:val="2"/>
        </w:numPr>
        <w:spacing w:after="100" w:line="360"/>
      </w:pPr>
      <w:r>
        <w:rPr>
          <w:rFonts w:ascii="Arial" w:cs="Arial" w:eastAsia="Arial" w:hAnsi="Arial"/>
          <w:sz w:val="24"/>
          <w:szCs w:val="24"/>
        </w:rPr>
        <w:t xml:space="preserve">Clustering dendrogram with LOF neuron subtypes: segregation of nociceptor, mechanoreceptor, and motor neuron phenotypes within SCN9A KO cohort</w:t>
      </w:r>
    </w:p>
    <w:p>
      <w:pPr>
        <w:pStyle w:val="ListParagraph"/>
        <w:numPr>
          <w:ilvl w:val="0"/>
          <w:numId w:val="2"/>
        </w:numPr>
        <w:spacing w:after="100" w:line="360"/>
      </w:pPr>
      <w:r>
        <w:rPr>
          <w:rFonts w:ascii="Arial" w:cs="Arial" w:eastAsia="Arial" w:hAnsi="Arial"/>
          <w:sz w:val="24"/>
          <w:szCs w:val="24"/>
        </w:rPr>
        <w:t xml:space="preserve">PCA plots showing variance explained by first 3 components and feature loadings for each component</w:t>
      </w:r>
    </w:p>
    <w:p>
      <w:pPr>
        <w:pStyle w:val="ListParagraph"/>
        <w:numPr>
          <w:ilvl w:val="0"/>
          <w:numId w:val="2"/>
        </w:numPr>
        <w:spacing w:after="100" w:line="360"/>
      </w:pPr>
      <w:r>
        <w:rPr>
          <w:rFonts w:ascii="Arial" w:cs="Arial" w:eastAsia="Arial" w:hAnsi="Arial"/>
          <w:sz w:val="24"/>
          <w:szCs w:val="24"/>
        </w:rPr>
        <w:t xml:space="preserve">Reference signature document: tabular summary of mean ± SEM for all 50+ features across all SCN9A KO neurons (n ≥ 20 cells)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HDF5 binary files containing all raw voltage clamp and current clamp traces; Excel workbook with quantified EP metrics; R data frame (.RDS) with PCA results and clustering assignments</w:t>
      </w:r>
    </w:p>
    <w:p>
      <w:pPr>
        <w:pStyle w:val="Heading2"/>
      </w:pPr>
      <w:r>
        <w:rPr>
          <w:rFonts w:ascii="Arial" w:cs="Arial" w:eastAsia="Arial" w:hAnsi="Arial"/>
          <w:b/>
          <w:bCs/>
          <w:sz w:val="28"/>
          <w:szCs w:val="28"/>
        </w:rPr>
        <w:t xml:space="preserve">Stage 2: Compound Library EP Profiling Against SCN9A LOF Signature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Quiver's 3,500 compound library against SCN9A LOF reference signature by exposing neurons to each compound and quantifying dose-dependent EP changes, identifying candidates whose phenotypic effects converge on the LOF signature.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Wildtype (WT) human iPSC-derived sensory neurons (non-knockout baseline) for compound exposure experiments</w:t>
      </w:r>
    </w:p>
    <w:p>
      <w:pPr>
        <w:pStyle w:val="ListParagraph"/>
        <w:numPr>
          <w:ilvl w:val="0"/>
          <w:numId w:val="2"/>
        </w:numPr>
        <w:spacing w:after="100" w:line="360"/>
      </w:pPr>
      <w:r>
        <w:rPr>
          <w:rFonts w:ascii="Arial" w:cs="Arial" w:eastAsia="Arial" w:hAnsi="Arial"/>
          <w:sz w:val="24"/>
          <w:szCs w:val="24"/>
        </w:rPr>
        <w:t xml:space="preserve">Full compound library (3,500 small molecules): SMILES strings, structures, known targets, and solubility properties</w:t>
      </w:r>
    </w:p>
    <w:p>
      <w:pPr>
        <w:pStyle w:val="ListParagraph"/>
        <w:numPr>
          <w:ilvl w:val="0"/>
          <w:numId w:val="2"/>
        </w:numPr>
        <w:spacing w:after="100" w:line="360"/>
      </w:pPr>
      <w:r>
        <w:rPr>
          <w:rFonts w:ascii="Arial" w:cs="Arial" w:eastAsia="Arial" w:hAnsi="Arial"/>
          <w:sz w:val="24"/>
          <w:szCs w:val="24"/>
        </w:rPr>
        <w:t xml:space="preserve">Dose-response EP recordings: voltage clamp sweeps across 1 nM to 100 µM concentration range for each compound</w:t>
      </w:r>
    </w:p>
    <w:p>
      <w:pPr>
        <w:pStyle w:val="ListParagraph"/>
        <w:numPr>
          <w:ilvl w:val="0"/>
          <w:numId w:val="2"/>
        </w:numPr>
        <w:spacing w:after="100" w:line="360"/>
      </w:pPr>
      <w:r>
        <w:rPr>
          <w:rFonts w:ascii="Arial" w:cs="Arial" w:eastAsia="Arial" w:hAnsi="Arial"/>
          <w:sz w:val="24"/>
          <w:szCs w:val="24"/>
        </w:rPr>
        <w:t xml:space="preserve">Reference SCN9A LOF signature vector (50+ normalized features) from Stage 1</w:t>
      </w:r>
    </w:p>
    <w:p>
      <w:pPr>
        <w:pStyle w:val="ListParagraph"/>
        <w:numPr>
          <w:ilvl w:val="0"/>
          <w:numId w:val="2"/>
        </w:numPr>
        <w:spacing w:after="100" w:line="360"/>
      </w:pPr>
      <w:r>
        <w:rPr>
          <w:rFonts w:ascii="Arial" w:cs="Arial" w:eastAsia="Arial" w:hAnsi="Arial"/>
          <w:sz w:val="24"/>
          <w:szCs w:val="24"/>
        </w:rPr>
        <w:t xml:space="preserve">Concentration-response kinetic data: Hill coefficient, IC50, Emax for each EP parameter vs compound dose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Compound Screening Database (3,500 perturbations): Access pre-measured EP dose-response profiles for all compounds tested on WT sensory neurons</w:t>
      </w:r>
    </w:p>
    <w:p>
      <w:pPr>
        <w:pStyle w:val="ListParagraph"/>
        <w:numPr>
          <w:ilvl w:val="0"/>
          <w:numId w:val="2"/>
        </w:numPr>
        <w:spacing w:after="100" w:line="360"/>
      </w:pPr>
      <w:r>
        <w:rPr>
          <w:rFonts w:ascii="Arial" w:cs="Arial" w:eastAsia="Arial" w:hAnsi="Arial"/>
          <w:sz w:val="24"/>
          <w:szCs w:val="24"/>
        </w:rPr>
        <w:t xml:space="preserve">ChEMBL: Retrieve pharmacological profiles, known targets, and binding affinities for compounds showing LOF-like signatures</w:t>
      </w:r>
    </w:p>
    <w:p>
      <w:pPr>
        <w:pStyle w:val="ListParagraph"/>
        <w:numPr>
          <w:ilvl w:val="0"/>
          <w:numId w:val="2"/>
        </w:numPr>
        <w:spacing w:after="100" w:line="360"/>
      </w:pPr>
      <w:r>
        <w:rPr>
          <w:rFonts w:ascii="Arial" w:cs="Arial" w:eastAsia="Arial" w:hAnsi="Arial"/>
          <w:sz w:val="24"/>
          <w:szCs w:val="24"/>
        </w:rPr>
        <w:t xml:space="preserve">Python (scipy.optimize): Fit Hill equation to concentration-response curves and extract IC50, Hill coefficient, Emax</w:t>
      </w:r>
    </w:p>
    <w:p>
      <w:pPr>
        <w:pStyle w:val="ListParagraph"/>
        <w:numPr>
          <w:ilvl w:val="0"/>
          <w:numId w:val="2"/>
        </w:numPr>
        <w:spacing w:after="100" w:line="360"/>
      </w:pPr>
      <w:r>
        <w:rPr>
          <w:rFonts w:ascii="Arial" w:cs="Arial" w:eastAsia="Arial" w:hAnsi="Arial"/>
          <w:sz w:val="24"/>
          <w:szCs w:val="24"/>
        </w:rPr>
        <w:t xml:space="preserve">R (cosine similarity, Euclidean distance functions): Calculate pairwise similarity between compound-induced EP phenotype and SCN9A LOF signature</w:t>
      </w:r>
    </w:p>
    <w:p>
      <w:pPr>
        <w:pStyle w:val="ListParagraph"/>
        <w:numPr>
          <w:ilvl w:val="0"/>
          <w:numId w:val="2"/>
        </w:numPr>
        <w:spacing w:after="100" w:line="360"/>
      </w:pPr>
      <w:r>
        <w:rPr>
          <w:rFonts w:ascii="Arial" w:cs="Arial" w:eastAsia="Arial" w:hAnsi="Arial"/>
          <w:sz w:val="24"/>
          <w:szCs w:val="24"/>
        </w:rPr>
        <w:t xml:space="preserve">KNIME Analytics Platform: Construct workflow for automated phenotype matching across all 3,500 compounds with visual result validation</w:t>
      </w:r>
    </w:p>
    <w:p>
      <w:pPr>
        <w:pStyle w:val="ListParagraph"/>
        <w:numPr>
          <w:ilvl w:val="0"/>
          <w:numId w:val="2"/>
        </w:numPr>
        <w:spacing w:after="100" w:line="360"/>
      </w:pPr>
      <w:r>
        <w:rPr>
          <w:rFonts w:ascii="Arial" w:cs="Arial" w:eastAsia="Arial" w:hAnsi="Arial"/>
          <w:sz w:val="24"/>
          <w:szCs w:val="24"/>
        </w:rPr>
        <w:t xml:space="preserve">Ion Channel Selectivity Database: Cross-validate predicted Nav1.7 selectivity against experimental data for known channel blockers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"Fit Hill equation to compound dose-response sodium current data and extract IC50 values normalized to peak inward current in WT sensory neurons"</w:t>
      </w:r>
    </w:p>
    <w:p>
      <w:pPr>
        <w:pStyle w:val="ListParagraph"/>
        <w:numPr>
          <w:ilvl w:val="0"/>
          <w:numId w:val="2"/>
        </w:numPr>
        <w:spacing w:after="100" w:line="360"/>
      </w:pPr>
      <w:r>
        <w:rPr>
          <w:rFonts w:ascii="Arial" w:cs="Arial" w:eastAsia="Arial" w:hAnsi="Arial"/>
          <w:sz w:val="24"/>
          <w:szCs w:val="24"/>
        </w:rPr>
        <w:t xml:space="preserve">"Calculate cosine similarity between compound-induced EP phenotype vector (at IC50 concentration) and SCN9A LOF reference signature for all 3,500 compounds"</w:t>
      </w:r>
    </w:p>
    <w:p>
      <w:pPr>
        <w:pStyle w:val="ListParagraph"/>
        <w:numPr>
          <w:ilvl w:val="0"/>
          <w:numId w:val="2"/>
        </w:numPr>
        <w:spacing w:after="100" w:line="360"/>
      </w:pPr>
      <w:r>
        <w:rPr>
          <w:rFonts w:ascii="Arial" w:cs="Arial" w:eastAsia="Arial" w:hAnsi="Arial"/>
          <w:sz w:val="24"/>
          <w:szCs w:val="24"/>
        </w:rPr>
        <w:t xml:space="preserve">"Identify top 200 compounds with highest similarity to LOF signature (cosine &gt;0.8) and filter by Lipinski's Rule of Five compliance"</w:t>
      </w:r>
    </w:p>
    <w:p>
      <w:pPr>
        <w:pStyle w:val="ListParagraph"/>
        <w:numPr>
          <w:ilvl w:val="0"/>
          <w:numId w:val="2"/>
        </w:numPr>
        <w:spacing w:after="100" w:line="360"/>
      </w:pPr>
      <w:r>
        <w:rPr>
          <w:rFonts w:ascii="Arial" w:cs="Arial" w:eastAsia="Arial" w:hAnsi="Arial"/>
          <w:sz w:val="24"/>
          <w:szCs w:val="24"/>
        </w:rPr>
        <w:t xml:space="preserve">"Generate concentration-response heatmap showing normalized EP metrics (rows) vs compounds (columns) to visualize dose-dependent phenotype drift toward LOF signature"</w:t>
      </w:r>
    </w:p>
    <w:p>
      <w:pPr>
        <w:pStyle w:val="ListParagraph"/>
        <w:numPr>
          <w:ilvl w:val="0"/>
          <w:numId w:val="2"/>
        </w:numPr>
        <w:spacing w:after="100" w:line="360"/>
      </w:pPr>
      <w:r>
        <w:rPr>
          <w:rFonts w:ascii="Arial" w:cs="Arial" w:eastAsia="Arial" w:hAnsi="Arial"/>
          <w:sz w:val="24"/>
          <w:szCs w:val="24"/>
        </w:rPr>
        <w:t xml:space="preserve">"Calculate Euclidean distance between compound phenotype at each concentration and LOF signature to identify optimal 'mimicry concentration' for each candidate"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top 200-500 compounds by similarity to SCN9A LOF signature: includes compound ID, SMILES, cosine similarity score, optimal mimicry concentration</w:t>
      </w:r>
    </w:p>
    <w:p>
      <w:pPr>
        <w:pStyle w:val="ListParagraph"/>
        <w:numPr>
          <w:ilvl w:val="0"/>
          <w:numId w:val="2"/>
        </w:numPr>
        <w:spacing w:after="100" w:line="360"/>
      </w:pPr>
      <w:r>
        <w:rPr>
          <w:rFonts w:ascii="Arial" w:cs="Arial" w:eastAsia="Arial" w:hAnsi="Arial"/>
          <w:sz w:val="24"/>
          <w:szCs w:val="24"/>
        </w:rPr>
        <w:t xml:space="preserve">Dose-response curves for each top candidate: plotted EP metrics vs concentration with fitted Hill equation and IC50 marked</w:t>
      </w:r>
    </w:p>
    <w:p>
      <w:pPr>
        <w:pStyle w:val="ListParagraph"/>
        <w:numPr>
          <w:ilvl w:val="0"/>
          <w:numId w:val="2"/>
        </w:numPr>
        <w:spacing w:after="100" w:line="360"/>
      </w:pPr>
      <w:r>
        <w:rPr>
          <w:rFonts w:ascii="Arial" w:cs="Arial" w:eastAsia="Arial" w:hAnsi="Arial"/>
          <w:sz w:val="24"/>
          <w:szCs w:val="24"/>
        </w:rPr>
        <w:t xml:space="preserve">Similarity matrix (Euclidean distance heatmap): compounds vs features showing which EP metrics are best recapitulated by each compound</w:t>
      </w:r>
    </w:p>
    <w:p>
      <w:pPr>
        <w:pStyle w:val="ListParagraph"/>
        <w:numPr>
          <w:ilvl w:val="0"/>
          <w:numId w:val="2"/>
        </w:numPr>
        <w:spacing w:after="100" w:line="360"/>
      </w:pPr>
      <w:r>
        <w:rPr>
          <w:rFonts w:ascii="Arial" w:cs="Arial" w:eastAsia="Arial" w:hAnsi="Arial"/>
          <w:sz w:val="24"/>
          <w:szCs w:val="24"/>
        </w:rPr>
        <w:t xml:space="preserve">Phenotype drift trajectories: PCA plots showing how each top compound's EP phenotype evolves with increasing concentration toward LOF signature center</w:t>
      </w:r>
    </w:p>
    <w:p>
      <w:pPr>
        <w:pStyle w:val="ListParagraph"/>
        <w:numPr>
          <w:ilvl w:val="0"/>
          <w:numId w:val="2"/>
        </w:numPr>
        <w:spacing w:after="100" w:line="360"/>
      </w:pPr>
      <w:r>
        <w:rPr>
          <w:rFonts w:ascii="Arial" w:cs="Arial" w:eastAsia="Arial" w:hAnsi="Arial"/>
          <w:sz w:val="24"/>
          <w:szCs w:val="24"/>
        </w:rPr>
        <w:t xml:space="preserve">IC50 and Hill coefficient summary table for top 200 compounds with known targets and selectivity predictions</w:t>
      </w:r>
    </w:p>
    <w:p>
      <w:pPr>
        <w:pStyle w:val="ListParagraph"/>
        <w:numPr>
          <w:ilvl w:val="0"/>
          <w:numId w:val="2"/>
        </w:numPr>
        <w:spacing w:after="100" w:line="360"/>
      </w:pPr>
      <w:r>
        <w:rPr>
          <w:rFonts w:ascii="Arial" w:cs="Arial" w:eastAsia="Arial" w:hAnsi="Arial"/>
          <w:sz w:val="24"/>
          <w:szCs w:val="24"/>
        </w:rPr>
        <w:t xml:space="preserve">Filtration report: compounds excluded due to poor drug-likeness, high toxicity flags, or extreme IC50 values (&gt;50 µM)</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file with ranking and metrics; PNG/PDF dose-response curve plots; Interactive HTML heatmaps; Python pickle objects containing similarity matrices</w:t>
      </w:r>
    </w:p>
    <w:p>
      <w:pPr>
        <w:pStyle w:val="Heading2"/>
      </w:pPr>
      <w:r>
        <w:rPr>
          <w:rFonts w:ascii="Arial" w:cs="Arial" w:eastAsia="Arial" w:hAnsi="Arial"/>
          <w:b/>
          <w:bCs/>
          <w:sz w:val="28"/>
          <w:szCs w:val="28"/>
        </w:rPr>
        <w:t xml:space="preserve">Stage 3: Nav1.7 Selectivity and State-Dependent Block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Filter top 200 LOF-phenotype candidates by Nav1.7 selectivity against Nav1.1, Nav1.5, and Nav1.8 isoforms and characterize state-dependent block kinetics, ensuring true Nav1.7-selective functional inhibition without off-target sodium channel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200 LOF-mimicry compounds from Stage 2 with identified optimal concentrations</w:t>
      </w:r>
    </w:p>
    <w:p>
      <w:pPr>
        <w:pStyle w:val="ListParagraph"/>
        <w:numPr>
          <w:ilvl w:val="0"/>
          <w:numId w:val="2"/>
        </w:numPr>
        <w:spacing w:after="100" w:line="360"/>
      </w:pPr>
      <w:r>
        <w:rPr>
          <w:rFonts w:ascii="Arial" w:cs="Arial" w:eastAsia="Arial" w:hAnsi="Arial"/>
          <w:sz w:val="24"/>
          <w:szCs w:val="24"/>
        </w:rPr>
        <w:t xml:space="preserve">Heterologous expression systems: HEK293 cells stably expressing Nav1.7, Nav1.1, Nav1.5, Nav1.8 ± associated beta subunits</w:t>
      </w:r>
    </w:p>
    <w:p>
      <w:pPr>
        <w:pStyle w:val="ListParagraph"/>
        <w:numPr>
          <w:ilvl w:val="0"/>
          <w:numId w:val="2"/>
        </w:numPr>
        <w:spacing w:after="100" w:line="360"/>
      </w:pPr>
      <w:r>
        <w:rPr>
          <w:rFonts w:ascii="Arial" w:cs="Arial" w:eastAsia="Arial" w:hAnsi="Arial"/>
          <w:sz w:val="24"/>
          <w:szCs w:val="24"/>
        </w:rPr>
        <w:t xml:space="preserve">Voltage clamp recordings at standardized holding potentials (-120 mV, -80 mV, -40 mV) to probe state-dependent block</w:t>
      </w:r>
    </w:p>
    <w:p>
      <w:pPr>
        <w:pStyle w:val="ListParagraph"/>
        <w:numPr>
          <w:ilvl w:val="0"/>
          <w:numId w:val="2"/>
        </w:numPr>
        <w:spacing w:after="100" w:line="360"/>
      </w:pPr>
      <w:r>
        <w:rPr>
          <w:rFonts w:ascii="Arial" w:cs="Arial" w:eastAsia="Arial" w:hAnsi="Arial"/>
          <w:sz w:val="24"/>
          <w:szCs w:val="24"/>
        </w:rPr>
        <w:t xml:space="preserve">Frequency-dependent blocking kinetics: voltage step protocols applied at 1 Hz, 5 Hz, 10 Hz, 20 Hz to measure use-dependent inhibition</w:t>
      </w:r>
    </w:p>
    <w:p>
      <w:pPr>
        <w:pStyle w:val="ListParagraph"/>
        <w:numPr>
          <w:ilvl w:val="0"/>
          <w:numId w:val="2"/>
        </w:numPr>
        <w:spacing w:after="100" w:line="360"/>
      </w:pPr>
      <w:r>
        <w:rPr>
          <w:rFonts w:ascii="Arial" w:cs="Arial" w:eastAsia="Arial" w:hAnsi="Arial"/>
          <w:sz w:val="24"/>
          <w:szCs w:val="24"/>
        </w:rPr>
        <w:t xml:space="preserve">Recovery from inactivation protocols: double pulse experiments measuring compound-modulated recovery time constants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Sodium Channel Panel (Nav isoform recordings): Pre-recorded EP traces for Nav1.7, Nav1.1, Nav1.5, Nav1.8 in HEK293 expression system</w:t>
      </w:r>
    </w:p>
    <w:p>
      <w:pPr>
        <w:pStyle w:val="ListParagraph"/>
        <w:numPr>
          <w:ilvl w:val="0"/>
          <w:numId w:val="2"/>
        </w:numPr>
        <w:spacing w:after="100" w:line="360"/>
      </w:pPr>
      <w:r>
        <w:rPr>
          <w:rFonts w:ascii="Arial" w:cs="Arial" w:eastAsia="Arial" w:hAnsi="Arial"/>
          <w:sz w:val="24"/>
          <w:szCs w:val="24"/>
        </w:rPr>
        <w:t xml:space="preserve">PubChem Compound Database: Retrieve known selectivity profiles for compounds with prior pharmacology literature</w:t>
      </w:r>
    </w:p>
    <w:p>
      <w:pPr>
        <w:pStyle w:val="ListParagraph"/>
        <w:numPr>
          <w:ilvl w:val="0"/>
          <w:numId w:val="2"/>
        </w:numPr>
        <w:spacing w:after="100" w:line="360"/>
      </w:pPr>
      <w:r>
        <w:rPr>
          <w:rFonts w:ascii="Arial" w:cs="Arial" w:eastAsia="Arial" w:hAnsi="Arial"/>
          <w:sz w:val="24"/>
          <w:szCs w:val="24"/>
        </w:rPr>
        <w:t xml:space="preserve">R (dose-response modeling): Fit logistic functions to block vs holding potential curves to quantify state-dependent block parameters</w:t>
      </w:r>
    </w:p>
    <w:p>
      <w:pPr>
        <w:pStyle w:val="ListParagraph"/>
        <w:numPr>
          <w:ilvl w:val="0"/>
          <w:numId w:val="2"/>
        </w:numPr>
        <w:spacing w:after="100" w:line="360"/>
      </w:pPr>
      <w:r>
        <w:rPr>
          <w:rFonts w:ascii="Arial" w:cs="Arial" w:eastAsia="Arial" w:hAnsi="Arial"/>
          <w:sz w:val="24"/>
          <w:szCs w:val="24"/>
        </w:rPr>
        <w:t xml:space="preserve">Igor Pro (custom kinetic analysis macros): Calculate use-dependent block index (UDI) and frequency-dependent inhibition ratios</w:t>
      </w:r>
    </w:p>
    <w:p>
      <w:pPr>
        <w:pStyle w:val="ListParagraph"/>
        <w:numPr>
          <w:ilvl w:val="0"/>
          <w:numId w:val="2"/>
        </w:numPr>
        <w:spacing w:after="100" w:line="360"/>
      </w:pPr>
      <w:r>
        <w:rPr>
          <w:rFonts w:ascii="Arial" w:cs="Arial" w:eastAsia="Arial" w:hAnsi="Arial"/>
          <w:sz w:val="24"/>
          <w:szCs w:val="24"/>
        </w:rPr>
        <w:t xml:space="preserve">Python (NetworkX, pandas): Construct selectivity networks showing Nav isoform pairs and block selectivity ratios (Nav1.7 IC50 / Nav1.5 IC50)</w:t>
      </w:r>
    </w:p>
    <w:p>
      <w:pPr>
        <w:pStyle w:val="ListParagraph"/>
        <w:numPr>
          <w:ilvl w:val="0"/>
          <w:numId w:val="2"/>
        </w:numPr>
        <w:spacing w:after="100" w:line="360"/>
      </w:pPr>
      <w:r>
        <w:rPr>
          <w:rFonts w:ascii="Arial" w:cs="Arial" w:eastAsia="Arial" w:hAnsi="Arial"/>
          <w:sz w:val="24"/>
          <w:szCs w:val="24"/>
        </w:rPr>
        <w:t xml:space="preserve">SafetyDB (Ion Channel Safety): Curated database of compounds with known cardiac Nav1.5 vs neuronal Nav1.7 selectivity ratios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compound IC50 for Nav1.7, Nav1.1, Nav1.5, and Nav1.8 in HEK cells and calculate selectivity ratios: IC50(Nav1.5)/IC50(Nav1.7) and IC50(Nav1.1)/IC50(Nav1.7)"</w:t>
      </w:r>
    </w:p>
    <w:p>
      <w:pPr>
        <w:pStyle w:val="ListParagraph"/>
        <w:numPr>
          <w:ilvl w:val="0"/>
          <w:numId w:val="2"/>
        </w:numPr>
        <w:spacing w:after="100" w:line="360"/>
      </w:pPr>
      <w:r>
        <w:rPr>
          <w:rFonts w:ascii="Arial" w:cs="Arial" w:eastAsia="Arial" w:hAnsi="Arial"/>
          <w:sz w:val="24"/>
          <w:szCs w:val="24"/>
        </w:rPr>
        <w:t xml:space="preserve">"Quantify state-dependent block by fitting block vs holding potential curves at -120, -80, -40 mV and extract voltage-midpoint of block"</w:t>
      </w:r>
    </w:p>
    <w:p>
      <w:pPr>
        <w:pStyle w:val="ListParagraph"/>
        <w:numPr>
          <w:ilvl w:val="0"/>
          <w:numId w:val="2"/>
        </w:numPr>
        <w:spacing w:after="100" w:line="360"/>
      </w:pPr>
      <w:r>
        <w:rPr>
          <w:rFonts w:ascii="Arial" w:cs="Arial" w:eastAsia="Arial" w:hAnsi="Arial"/>
          <w:sz w:val="24"/>
          <w:szCs w:val="24"/>
        </w:rPr>
        <w:t xml:space="preserve">"Calculate use-dependent block index (UDI) as ratio of block at 10 Hz vs 1 Hz stimulus frequency for each Nav isoform"</w:t>
      </w:r>
    </w:p>
    <w:p>
      <w:pPr>
        <w:pStyle w:val="ListParagraph"/>
        <w:numPr>
          <w:ilvl w:val="0"/>
          <w:numId w:val="2"/>
        </w:numPr>
        <w:spacing w:after="100" w:line="360"/>
      </w:pPr>
      <w:r>
        <w:rPr>
          <w:rFonts w:ascii="Arial" w:cs="Arial" w:eastAsia="Arial" w:hAnsi="Arial"/>
          <w:sz w:val="24"/>
          <w:szCs w:val="24"/>
        </w:rPr>
        <w:t xml:space="preserve">"Measure recovery from inactivation time constant with and without compound to assess modulation of inactivated-state affinity"</w:t>
      </w:r>
    </w:p>
    <w:p>
      <w:pPr>
        <w:pStyle w:val="ListParagraph"/>
        <w:numPr>
          <w:ilvl w:val="0"/>
          <w:numId w:val="2"/>
        </w:numPr>
        <w:spacing w:after="100" w:line="360"/>
      </w:pPr>
      <w:r>
        <w:rPr>
          <w:rFonts w:ascii="Arial" w:cs="Arial" w:eastAsia="Arial" w:hAnsi="Arial"/>
          <w:sz w:val="24"/>
          <w:szCs w:val="24"/>
        </w:rPr>
        <w:t xml:space="preserve">"Filter compounds to retain only those with Nav1.7 selectivity &gt;3-fold vs Nav1.5 and use-dependent block coefficient &gt;0.6"</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matrix: compounds × Nav isoforms showing IC50 values and selectivity ratios (Nav1.7/Nav1.5, Nav1.7/Nav1.1, Nav1.7/Nav1.8)</w:t>
      </w:r>
    </w:p>
    <w:p>
      <w:pPr>
        <w:pStyle w:val="ListParagraph"/>
        <w:numPr>
          <w:ilvl w:val="0"/>
          <w:numId w:val="2"/>
        </w:numPr>
        <w:spacing w:after="100" w:line="360"/>
      </w:pPr>
      <w:r>
        <w:rPr>
          <w:rFonts w:ascii="Arial" w:cs="Arial" w:eastAsia="Arial" w:hAnsi="Arial"/>
          <w:sz w:val="24"/>
          <w:szCs w:val="24"/>
        </w:rPr>
        <w:t xml:space="preserve">State-dependent block curves: plotted block vs holding potential for top 50 compounds showing voltage-dependent shifts in block</w:t>
      </w:r>
    </w:p>
    <w:p>
      <w:pPr>
        <w:pStyle w:val="ListParagraph"/>
        <w:numPr>
          <w:ilvl w:val="0"/>
          <w:numId w:val="2"/>
        </w:numPr>
        <w:spacing w:after="100" w:line="360"/>
      </w:pPr>
      <w:r>
        <w:rPr>
          <w:rFonts w:ascii="Arial" w:cs="Arial" w:eastAsia="Arial" w:hAnsi="Arial"/>
          <w:sz w:val="24"/>
          <w:szCs w:val="24"/>
        </w:rPr>
        <w:t xml:space="preserve">Use-dependent block kinetics: frequency-response plots for compounds at 1, 5, 10, 20 Hz with UDI values calculated</w:t>
      </w:r>
    </w:p>
    <w:p>
      <w:pPr>
        <w:pStyle w:val="ListParagraph"/>
        <w:numPr>
          <w:ilvl w:val="0"/>
          <w:numId w:val="2"/>
        </w:numPr>
        <w:spacing w:after="100" w:line="360"/>
      </w:pPr>
      <w:r>
        <w:rPr>
          <w:rFonts w:ascii="Arial" w:cs="Arial" w:eastAsia="Arial" w:hAnsi="Arial"/>
          <w:sz w:val="24"/>
          <w:szCs w:val="24"/>
        </w:rPr>
        <w:t xml:space="preserve">Ranked list of Nav1.7-selective compounds: 50-100 candidates with Nav1.7/Nav1.5 selectivity &gt;3-fold and UDI &gt;0.6</w:t>
      </w:r>
    </w:p>
    <w:p>
      <w:pPr>
        <w:pStyle w:val="ListParagraph"/>
        <w:numPr>
          <w:ilvl w:val="0"/>
          <w:numId w:val="2"/>
        </w:numPr>
        <w:spacing w:after="100" w:line="360"/>
      </w:pPr>
      <w:r>
        <w:rPr>
          <w:rFonts w:ascii="Arial" w:cs="Arial" w:eastAsia="Arial" w:hAnsi="Arial"/>
          <w:sz w:val="24"/>
          <w:szCs w:val="24"/>
        </w:rPr>
        <w:t xml:space="preserve">Recovery from inactivation kinetics: time-dependent curves comparing WT and compound-exposed conditions for Nav1.7 and Nav1.5</w:t>
      </w:r>
    </w:p>
    <w:p>
      <w:pPr>
        <w:pStyle w:val="ListParagraph"/>
        <w:numPr>
          <w:ilvl w:val="0"/>
          <w:numId w:val="2"/>
        </w:numPr>
        <w:spacing w:after="100" w:line="360"/>
      </w:pPr>
      <w:r>
        <w:rPr>
          <w:rFonts w:ascii="Arial" w:cs="Arial" w:eastAsia="Arial" w:hAnsi="Arial"/>
          <w:sz w:val="24"/>
          <w:szCs w:val="24"/>
        </w:rPr>
        <w:t xml:space="preserve">Selectivity network diagram: graphical representation of compound nodes connected to Nav isoforms with edge weights representing selectivity ratios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selectivity matrices and KD summaries; PDF plots of state-dependent curves; GraphML files for selectivity networks; Filtered CSV of top compounds</w:t>
      </w:r>
    </w:p>
    <w:p>
      <w:pPr>
        <w:pStyle w:val="Heading2"/>
      </w:pPr>
      <w:r>
        <w:rPr>
          <w:rFonts w:ascii="Arial" w:cs="Arial" w:eastAsia="Arial" w:hAnsi="Arial"/>
          <w:b/>
          <w:bCs/>
          <w:sz w:val="28"/>
          <w:szCs w:val="28"/>
        </w:rPr>
        <w:t xml:space="preserve">Stage 4: Motor Neuron Safety and Cellular Toxicity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top Nav1.7-selective compounds preserve motor neuron function and avoid off-target toxicity by assessing EP signatures in motor neurons, cellular viability, and metabolic markers, ensuring candidates maintain therapeutic index suitable for in vivo translation.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50-100 Nav1.7-selective compounds from Stage 3</w:t>
      </w:r>
    </w:p>
    <w:p>
      <w:pPr>
        <w:pStyle w:val="ListParagraph"/>
        <w:numPr>
          <w:ilvl w:val="0"/>
          <w:numId w:val="2"/>
        </w:numPr>
        <w:spacing w:after="100" w:line="360"/>
      </w:pPr>
      <w:r>
        <w:rPr>
          <w:rFonts w:ascii="Arial" w:cs="Arial" w:eastAsia="Arial" w:hAnsi="Arial"/>
          <w:sz w:val="24"/>
          <w:szCs w:val="24"/>
        </w:rPr>
        <w:t xml:space="preserve">Motor neuron cultures: iPSC-derived spinal motor neurons expressing ChAT, mature axonal morphology, spontaneous activity</w:t>
      </w:r>
    </w:p>
    <w:p>
      <w:pPr>
        <w:pStyle w:val="ListParagraph"/>
        <w:numPr>
          <w:ilvl w:val="0"/>
          <w:numId w:val="2"/>
        </w:numPr>
        <w:spacing w:after="100" w:line="360"/>
      </w:pPr>
      <w:r>
        <w:rPr>
          <w:rFonts w:ascii="Arial" w:cs="Arial" w:eastAsia="Arial" w:hAnsi="Arial"/>
          <w:sz w:val="24"/>
          <w:szCs w:val="24"/>
        </w:rPr>
        <w:t xml:space="preserve">Multi-electrode array (MEA) recordings: extracellular field potentials from motor neuron networks at baseline and compound exposure</w:t>
      </w:r>
    </w:p>
    <w:p>
      <w:pPr>
        <w:pStyle w:val="ListParagraph"/>
        <w:numPr>
          <w:ilvl w:val="0"/>
          <w:numId w:val="2"/>
        </w:numPr>
        <w:spacing w:after="100" w:line="360"/>
      </w:pPr>
      <w:r>
        <w:rPr>
          <w:rFonts w:ascii="Arial" w:cs="Arial" w:eastAsia="Arial" w:hAnsi="Arial"/>
          <w:sz w:val="24"/>
          <w:szCs w:val="24"/>
        </w:rPr>
        <w:t xml:space="preserve">Cellular viability assays: LDH release, MTT metabolic activity, live/dead staining in presence of compounds at 1×, 10×, 100× optimal sensory neuron concentration</w:t>
      </w:r>
    </w:p>
    <w:p>
      <w:pPr>
        <w:pStyle w:val="ListParagraph"/>
        <w:numPr>
          <w:ilvl w:val="0"/>
          <w:numId w:val="2"/>
        </w:numPr>
        <w:spacing w:after="100" w:line="360"/>
      </w:pPr>
      <w:r>
        <w:rPr>
          <w:rFonts w:ascii="Arial" w:cs="Arial" w:eastAsia="Arial" w:hAnsi="Arial"/>
          <w:sz w:val="24"/>
          <w:szCs w:val="24"/>
        </w:rPr>
        <w:t xml:space="preserve">Mitochondrial function markers: TMRM membrane potential assays, oxygen consumption rate (OCR), ATP/ADP ratios in motor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Motor Neuron EP Database: Pre-recorded action potential and current clamp signatures from iPSC motor neurons for baseline comparison</w:t>
      </w:r>
    </w:p>
    <w:p>
      <w:pPr>
        <w:pStyle w:val="ListParagraph"/>
        <w:numPr>
          <w:ilvl w:val="0"/>
          <w:numId w:val="2"/>
        </w:numPr>
        <w:spacing w:after="100" w:line="360"/>
      </w:pPr>
      <w:r>
        <w:rPr>
          <w:rFonts w:ascii="Arial" w:cs="Arial" w:eastAsia="Arial" w:hAnsi="Arial"/>
          <w:sz w:val="24"/>
          <w:szCs w:val="24"/>
        </w:rPr>
        <w:t xml:space="preserve">Multi-Electrode Array (MEA) Analysis Toolbox (MultiChannel Systems): Extract spike-triggered averages, burst frequency, network synchronicity from motor neuron networks</w:t>
      </w:r>
    </w:p>
    <w:p>
      <w:pPr>
        <w:pStyle w:val="ListParagraph"/>
        <w:numPr>
          <w:ilvl w:val="0"/>
          <w:numId w:val="2"/>
        </w:numPr>
        <w:spacing w:after="100" w:line="360"/>
      </w:pPr>
      <w:r>
        <w:rPr>
          <w:rFonts w:ascii="Arial" w:cs="Arial" w:eastAsia="Arial" w:hAnsi="Arial"/>
          <w:sz w:val="24"/>
          <w:szCs w:val="24"/>
        </w:rPr>
        <w:t xml:space="preserve">Prism (GraphPad): Dose-response viability curves, EC50 toxicity estimation, curve fitting for LDH release and MTT assays</w:t>
      </w:r>
    </w:p>
    <w:p>
      <w:pPr>
        <w:pStyle w:val="ListParagraph"/>
        <w:numPr>
          <w:ilvl w:val="0"/>
          <w:numId w:val="2"/>
        </w:numPr>
        <w:spacing w:after="100" w:line="360"/>
      </w:pPr>
      <w:r>
        <w:rPr>
          <w:rFonts w:ascii="Arial" w:cs="Arial" w:eastAsia="Arial" w:hAnsi="Arial"/>
          <w:sz w:val="24"/>
          <w:szCs w:val="24"/>
        </w:rPr>
        <w:t xml:space="preserve">Python (scipy.signal, statsmodels): Signal processing of extracellular MEA recordings; spectral analysis of burst patterns</w:t>
      </w:r>
    </w:p>
    <w:p>
      <w:pPr>
        <w:pStyle w:val="ListParagraph"/>
        <w:numPr>
          <w:ilvl w:val="0"/>
          <w:numId w:val="2"/>
        </w:numPr>
        <w:spacing w:after="100" w:line="360"/>
      </w:pPr>
      <w:r>
        <w:rPr>
          <w:rFonts w:ascii="Arial" w:cs="Arial" w:eastAsia="Arial" w:hAnsi="Arial"/>
          <w:sz w:val="24"/>
          <w:szCs w:val="24"/>
        </w:rPr>
        <w:t xml:space="preserve">KNIME (toxicity workflow): Automated pipeline for calculating toxicity indices, safety windows, and recommending dose escalation limits</w:t>
      </w:r>
    </w:p>
    <w:p>
      <w:pPr>
        <w:pStyle w:val="ListParagraph"/>
        <w:numPr>
          <w:ilvl w:val="0"/>
          <w:numId w:val="2"/>
        </w:numPr>
        <w:spacing w:after="100" w:line="360"/>
      </w:pPr>
      <w:r>
        <w:rPr>
          <w:rFonts w:ascii="Arial" w:cs="Arial" w:eastAsia="Arial" w:hAnsi="Arial"/>
          <w:sz w:val="24"/>
          <w:szCs w:val="24"/>
        </w:rPr>
        <w:t xml:space="preserve">R (lme4 mixed-effects models): Statistical analysis of motor neuron EP metrics accounting for cell batch and donor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motor neuron spontaneous firing frequency (Hz) and action potential amplitude (mV) at baseline and 30 min after compound exposure"</w:t>
      </w:r>
    </w:p>
    <w:p>
      <w:pPr>
        <w:pStyle w:val="ListParagraph"/>
        <w:numPr>
          <w:ilvl w:val="0"/>
          <w:numId w:val="2"/>
        </w:numPr>
        <w:spacing w:after="100" w:line="360"/>
      </w:pPr>
      <w:r>
        <w:rPr>
          <w:rFonts w:ascii="Arial" w:cs="Arial" w:eastAsia="Arial" w:hAnsi="Arial"/>
          <w:sz w:val="24"/>
          <w:szCs w:val="24"/>
        </w:rPr>
        <w:t xml:space="preserve">"Calculate LDH release as % of positive control and MTT viability as % of vehicle control across dose range (1 nM to 100 µM) in motor neurons"</w:t>
      </w:r>
    </w:p>
    <w:p>
      <w:pPr>
        <w:pStyle w:val="ListParagraph"/>
        <w:numPr>
          <w:ilvl w:val="0"/>
          <w:numId w:val="2"/>
        </w:numPr>
        <w:spacing w:after="100" w:line="360"/>
      </w:pPr>
      <w:r>
        <w:rPr>
          <w:rFonts w:ascii="Arial" w:cs="Arial" w:eastAsia="Arial" w:hAnsi="Arial"/>
          <w:sz w:val="24"/>
          <w:szCs w:val="24"/>
        </w:rPr>
        <w:t xml:space="preserve">"Perform dose-response curve fitting to extract EC50 for motor neuron toxicity and calculate therapeutic index (sensory nociceptor EC50 / motor neuron EC50)"</w:t>
      </w:r>
    </w:p>
    <w:p>
      <w:pPr>
        <w:pStyle w:val="ListParagraph"/>
        <w:numPr>
          <w:ilvl w:val="0"/>
          <w:numId w:val="2"/>
        </w:numPr>
        <w:spacing w:after="100" w:line="360"/>
      </w:pPr>
      <w:r>
        <w:rPr>
          <w:rFonts w:ascii="Arial" w:cs="Arial" w:eastAsia="Arial" w:hAnsi="Arial"/>
          <w:sz w:val="24"/>
          <w:szCs w:val="24"/>
        </w:rPr>
        <w:t xml:space="preserve">"Measure mitochondrial membrane potential (TMRM fluorescence) and ATP/ADP ratio in motor neurons before and after compound treatment at 3 dose levels"</w:t>
      </w:r>
    </w:p>
    <w:p>
      <w:pPr>
        <w:pStyle w:val="ListParagraph"/>
        <w:numPr>
          <w:ilvl w:val="0"/>
          <w:numId w:val="2"/>
        </w:numPr>
        <w:spacing w:after="100" w:line="360"/>
      </w:pPr>
      <w:r>
        <w:rPr>
          <w:rFonts w:ascii="Arial" w:cs="Arial" w:eastAsia="Arial" w:hAnsi="Arial"/>
          <w:sz w:val="24"/>
          <w:szCs w:val="24"/>
        </w:rPr>
        <w:t xml:space="preserve">"Extract MEA network metrics: average firing rate, burst frequency, synchronicity index for motor neuron networks; rank compounds by preservation of baseline activity patterns"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Motor neuron EP safety profile: tabular summary of action potential parameters (WT baseline vs compound treatment), percent change in firing frequency</w:t>
      </w:r>
    </w:p>
    <w:p>
      <w:pPr>
        <w:pStyle w:val="ListParagraph"/>
        <w:numPr>
          <w:ilvl w:val="0"/>
          <w:numId w:val="2"/>
        </w:numPr>
        <w:spacing w:after="100" w:line="360"/>
      </w:pPr>
      <w:r>
        <w:rPr>
          <w:rFonts w:ascii="Arial" w:cs="Arial" w:eastAsia="Arial" w:hAnsi="Arial"/>
          <w:sz w:val="24"/>
          <w:szCs w:val="24"/>
        </w:rPr>
        <w:t xml:space="preserve">Dose-response viability curves: LDH release and MTT metabolic assay plots with EC50 and 95% CI marked for each compound</w:t>
      </w:r>
    </w:p>
    <w:p>
      <w:pPr>
        <w:pStyle w:val="ListParagraph"/>
        <w:numPr>
          <w:ilvl w:val="0"/>
          <w:numId w:val="2"/>
        </w:numPr>
        <w:spacing w:after="100" w:line="360"/>
      </w:pPr>
      <w:r>
        <w:rPr>
          <w:rFonts w:ascii="Arial" w:cs="Arial" w:eastAsia="Arial" w:hAnsi="Arial"/>
          <w:sz w:val="24"/>
          <w:szCs w:val="24"/>
        </w:rPr>
        <w:t xml:space="preserve">Therapeutic index matrix: compounds vs sensory nociceptor EC50 / motor neuron EC50 ratio with color-coding (TI &gt;5 green, 2-5 yellow, &lt;2 red)</w:t>
      </w:r>
    </w:p>
    <w:p>
      <w:pPr>
        <w:pStyle w:val="ListParagraph"/>
        <w:numPr>
          <w:ilvl w:val="0"/>
          <w:numId w:val="2"/>
        </w:numPr>
        <w:spacing w:after="100" w:line="360"/>
      </w:pPr>
      <w:r>
        <w:rPr>
          <w:rFonts w:ascii="Arial" w:cs="Arial" w:eastAsia="Arial" w:hAnsi="Arial"/>
          <w:sz w:val="24"/>
          <w:szCs w:val="24"/>
        </w:rPr>
        <w:t xml:space="preserve">MEA network activity plots: raster plots and burst frequency histograms for top 10 compounds showing preserved motor neuron function</w:t>
      </w:r>
    </w:p>
    <w:p>
      <w:pPr>
        <w:pStyle w:val="ListParagraph"/>
        <w:numPr>
          <w:ilvl w:val="0"/>
          <w:numId w:val="2"/>
        </w:numPr>
        <w:spacing w:after="100" w:line="360"/>
      </w:pPr>
      <w:r>
        <w:rPr>
          <w:rFonts w:ascii="Arial" w:cs="Arial" w:eastAsia="Arial" w:hAnsi="Arial"/>
          <w:sz w:val="24"/>
          <w:szCs w:val="24"/>
        </w:rPr>
        <w:t xml:space="preserve">Mitochondrial function summary: ATP/ADP and TMRM fluorescence data at 1×, 10×, 100× therapeutic concentration with statistical significance noted</w:t>
      </w:r>
    </w:p>
    <w:p>
      <w:pPr>
        <w:pStyle w:val="ListParagraph"/>
        <w:numPr>
          <w:ilvl w:val="0"/>
          <w:numId w:val="2"/>
        </w:numPr>
        <w:spacing w:after="100" w:line="360"/>
      </w:pPr>
      <w:r>
        <w:rPr>
          <w:rFonts w:ascii="Arial" w:cs="Arial" w:eastAsia="Arial" w:hAnsi="Arial"/>
          <w:sz w:val="24"/>
          <w:szCs w:val="24"/>
        </w:rPr>
        <w:t xml:space="preserve">Filtered candidate list: 20-30 compounds passing motor neuron safety criteria (TI &gt;3, motor neuron EC50 &gt;10 µM, MEA activity preserved &gt;80%)</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safety metrics; PDF plots of dose-response and MEA traces; Python data frames (pickle) with all viability/toxicity measurements</w:t>
      </w:r>
    </w:p>
    <w:p>
      <w:pPr>
        <w:pStyle w:val="Heading2"/>
      </w:pPr>
      <w:r>
        <w:rPr>
          <w:rFonts w:ascii="Arial" w:cs="Arial" w:eastAsia="Arial" w:hAnsi="Arial"/>
          <w:b/>
          <w:bCs/>
          <w:sz w:val="28"/>
          <w:szCs w:val="28"/>
        </w:rPr>
        <w:t xml:space="preserve">Stage 5: Cardiac Safety and Off-Target Ion Channel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evaluate cardiac electrophysiology and off-target ion channel effects to exclude compounds with arrhythmia risk, QT prolongation liability, or unintended effects on potassium/calcium channels critical for cardiac repolarization.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20-30 candidates passing motor neuron safety from Stage 4</w:t>
      </w:r>
    </w:p>
    <w:p>
      <w:pPr>
        <w:pStyle w:val="ListParagraph"/>
        <w:numPr>
          <w:ilvl w:val="0"/>
          <w:numId w:val="2"/>
        </w:numPr>
        <w:spacing w:after="100" w:line="360"/>
      </w:pPr>
      <w:r>
        <w:rPr>
          <w:rFonts w:ascii="Arial" w:cs="Arial" w:eastAsia="Arial" w:hAnsi="Arial"/>
          <w:sz w:val="24"/>
          <w:szCs w:val="24"/>
        </w:rPr>
        <w:t xml:space="preserve">Cardiac myocyte cultures: iPSC-derived cardiomyocytes with mature electromechanical coupling, spontaneous beating, calcium handling</w:t>
      </w:r>
    </w:p>
    <w:p>
      <w:pPr>
        <w:pStyle w:val="ListParagraph"/>
        <w:numPr>
          <w:ilvl w:val="0"/>
          <w:numId w:val="2"/>
        </w:numPr>
        <w:spacing w:after="100" w:line="360"/>
      </w:pPr>
      <w:r>
        <w:rPr>
          <w:rFonts w:ascii="Arial" w:cs="Arial" w:eastAsia="Arial" w:hAnsi="Arial"/>
          <w:sz w:val="24"/>
          <w:szCs w:val="24"/>
        </w:rPr>
        <w:t xml:space="preserve">Ion channel panel recordings: HEK cells expressing hERG (Kv11.1), Kv7.1, Kv4.3, Cav1.2, RyR2 to assess repolarization and calcium handling</w:t>
      </w:r>
    </w:p>
    <w:p>
      <w:pPr>
        <w:pStyle w:val="ListParagraph"/>
        <w:numPr>
          <w:ilvl w:val="0"/>
          <w:numId w:val="2"/>
        </w:numPr>
        <w:spacing w:after="100" w:line="360"/>
      </w:pPr>
      <w:r>
        <w:rPr>
          <w:rFonts w:ascii="Arial" w:cs="Arial" w:eastAsia="Arial" w:hAnsi="Arial"/>
          <w:sz w:val="24"/>
          <w:szCs w:val="24"/>
        </w:rPr>
        <w:t xml:space="preserve">Action potential recordings in cardiac myocytes: field pacing protocols to measure APD50, APD90, QT interval proxy, calcium transient kinetics</w:t>
      </w:r>
    </w:p>
    <w:p>
      <w:pPr>
        <w:pStyle w:val="ListParagraph"/>
        <w:numPr>
          <w:ilvl w:val="0"/>
          <w:numId w:val="2"/>
        </w:numPr>
        <w:spacing w:after="100" w:line="360"/>
      </w:pPr>
      <w:r>
        <w:rPr>
          <w:rFonts w:ascii="Arial" w:cs="Arial" w:eastAsia="Arial" w:hAnsi="Arial"/>
          <w:sz w:val="24"/>
          <w:szCs w:val="24"/>
        </w:rPr>
        <w:t xml:space="preserve">Compound exposure concentrations: tested at 1× therapeutic, 3×, 10× to encompass therapeutic window and potential overdose scenarios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Cardiac Safety Panel: Pre-recorded hERG, Kv7.1, Kv4.3, Cav1.2, RyR2 dose-response EP data from HEK and iPSC cardiomyocyte sources</w:t>
      </w:r>
    </w:p>
    <w:p>
      <w:pPr>
        <w:pStyle w:val="ListParagraph"/>
        <w:numPr>
          <w:ilvl w:val="0"/>
          <w:numId w:val="2"/>
        </w:numPr>
        <w:spacing w:after="100" w:line="360"/>
      </w:pPr>
      <w:r>
        <w:rPr>
          <w:rFonts w:ascii="Arial" w:cs="Arial" w:eastAsia="Arial" w:hAnsi="Arial"/>
          <w:sz w:val="24"/>
          <w:szCs w:val="24"/>
        </w:rPr>
        <w:t xml:space="preserve">CiPA (Comprehensive in vitro Proarrhythmia Assay) database: Access published hERG, Cav1.2, Kv7.1 block data and proarrhythmia risk predictions</w:t>
      </w:r>
    </w:p>
    <w:p>
      <w:pPr>
        <w:pStyle w:val="ListParagraph"/>
        <w:numPr>
          <w:ilvl w:val="0"/>
          <w:numId w:val="2"/>
        </w:numPr>
        <w:spacing w:after="100" w:line="360"/>
      </w:pPr>
      <w:r>
        <w:rPr>
          <w:rFonts w:ascii="Arial" w:cs="Arial" w:eastAsia="Arial" w:hAnsi="Arial"/>
          <w:sz w:val="24"/>
          <w:szCs w:val="24"/>
        </w:rPr>
        <w:t xml:space="preserve">R (QTcF calculator, early afterdepolarization detection): Statistical analysis of QT prolongation risk and arrhythmia propensity</w:t>
      </w:r>
    </w:p>
    <w:p>
      <w:pPr>
        <w:pStyle w:val="ListParagraph"/>
        <w:numPr>
          <w:ilvl w:val="0"/>
          <w:numId w:val="2"/>
        </w:numPr>
        <w:spacing w:after="100" w:line="360"/>
      </w:pPr>
      <w:r>
        <w:rPr>
          <w:rFonts w:ascii="Arial" w:cs="Arial" w:eastAsia="Arial" w:hAnsi="Arial"/>
          <w:sz w:val="24"/>
          <w:szCs w:val="24"/>
        </w:rPr>
        <w:t xml:space="preserve">Python (signal processing, calcium transient analysis): Automated detection of calcium handling abnormalities, diastolic calcium elevation, triggered activity</w:t>
      </w:r>
    </w:p>
    <w:p>
      <w:pPr>
        <w:pStyle w:val="ListParagraph"/>
        <w:numPr>
          <w:ilvl w:val="0"/>
          <w:numId w:val="2"/>
        </w:numPr>
        <w:spacing w:after="100" w:line="360"/>
      </w:pPr>
      <w:r>
        <w:rPr>
          <w:rFonts w:ascii="Arial" w:cs="Arial" w:eastAsia="Arial" w:hAnsi="Arial"/>
          <w:sz w:val="24"/>
          <w:szCs w:val="24"/>
        </w:rPr>
        <w:t xml:space="preserve">KNIME (cardiac safety risk engine): Integrated platform for calculating hERG block / Cav1.2 block ratio, predicting proarrhythmia risk score, and outputting regulatory-compliant safety summary</w:t>
      </w:r>
    </w:p>
    <w:p>
      <w:pPr>
        <w:pStyle w:val="ListParagraph"/>
        <w:numPr>
          <w:ilvl w:val="0"/>
          <w:numId w:val="2"/>
        </w:numPr>
        <w:spacing w:after="100" w:line="360"/>
      </w:pPr>
      <w:r>
        <w:rPr>
          <w:rFonts w:ascii="Arial" w:cs="Arial" w:eastAsia="Arial" w:hAnsi="Arial"/>
          <w:sz w:val="24"/>
          <w:szCs w:val="24"/>
        </w:rPr>
        <w:t xml:space="preserve">DrugBank: Retrieve known cardiac liabilities and QT-prolonging potential for compounds with existing pharmacology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compound IC50 for hERG (Kv11.1), Kv7.1, and Kv4.3 potassium channels in patch clamp or automated voltage clamp systems"</w:t>
      </w:r>
    </w:p>
    <w:p>
      <w:pPr>
        <w:pStyle w:val="ListParagraph"/>
        <w:numPr>
          <w:ilvl w:val="0"/>
          <w:numId w:val="2"/>
        </w:numPr>
        <w:spacing w:after="100" w:line="360"/>
      </w:pPr>
      <w:r>
        <w:rPr>
          <w:rFonts w:ascii="Arial" w:cs="Arial" w:eastAsia="Arial" w:hAnsi="Arial"/>
          <w:sz w:val="24"/>
          <w:szCs w:val="24"/>
        </w:rPr>
        <w:t xml:space="preserve">"Record action potentials from iPSC cardiomyocytes at baseline and after compound treatment; calculate APD50, APD90, and APD prolongation (%) at 1×, 3×, 10× therapeutic dose"</w:t>
      </w:r>
    </w:p>
    <w:p>
      <w:pPr>
        <w:pStyle w:val="ListParagraph"/>
        <w:numPr>
          <w:ilvl w:val="0"/>
          <w:numId w:val="2"/>
        </w:numPr>
        <w:spacing w:after="100" w:line="360"/>
      </w:pPr>
      <w:r>
        <w:rPr>
          <w:rFonts w:ascii="Arial" w:cs="Arial" w:eastAsia="Arial" w:hAnsi="Arial"/>
          <w:sz w:val="24"/>
          <w:szCs w:val="24"/>
        </w:rPr>
        <w:t xml:space="preserve">"Quantify hERG block / Cav1.2 block ratio and cross-reference with CiPA database to assign proarrhythmia risk category (low, intermediate, high)"</w:t>
      </w:r>
    </w:p>
    <w:p>
      <w:pPr>
        <w:pStyle w:val="ListParagraph"/>
        <w:numPr>
          <w:ilvl w:val="0"/>
          <w:numId w:val="2"/>
        </w:numPr>
        <w:spacing w:after="100" w:line="360"/>
      </w:pPr>
      <w:r>
        <w:rPr>
          <w:rFonts w:ascii="Arial" w:cs="Arial" w:eastAsia="Arial" w:hAnsi="Arial"/>
          <w:sz w:val="24"/>
          <w:szCs w:val="24"/>
        </w:rPr>
        <w:t xml:space="preserve">"Measure calcium transient kinetics (rise time, decay time, diastolic calcium level) in cardiomyocytes and flag compounds causing abnormal calcium handling"</w:t>
      </w:r>
    </w:p>
    <w:p>
      <w:pPr>
        <w:pStyle w:val="ListParagraph"/>
        <w:numPr>
          <w:ilvl w:val="0"/>
          <w:numId w:val="2"/>
        </w:numPr>
        <w:spacing w:after="100" w:line="360"/>
      </w:pPr>
      <w:r>
        <w:rPr>
          <w:rFonts w:ascii="Arial" w:cs="Arial" w:eastAsia="Arial" w:hAnsi="Arial"/>
          <w:sz w:val="24"/>
          <w:szCs w:val="24"/>
        </w:rPr>
        <w:t xml:space="preserve">"Detect early afterdepolarizations (EADs) and delayed afterdepolarizations (DADs) during compound exposure at high concentrations"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Cardiac ion channel selectivity matrix: IC50 values for hERG, Kv7.1, Kv4.3, Cav1.2, RyR2 for all tested compounds with known drug comparators</w:t>
      </w:r>
    </w:p>
    <w:p>
      <w:pPr>
        <w:pStyle w:val="ListParagraph"/>
        <w:numPr>
          <w:ilvl w:val="0"/>
          <w:numId w:val="2"/>
        </w:numPr>
        <w:spacing w:after="100" w:line="360"/>
      </w:pPr>
      <w:r>
        <w:rPr>
          <w:rFonts w:ascii="Arial" w:cs="Arial" w:eastAsia="Arial" w:hAnsi="Arial"/>
          <w:sz w:val="24"/>
          <w:szCs w:val="24"/>
        </w:rPr>
        <w:t xml:space="preserve">APD prolongation curves: dose-response plots for APD50 and APD90 with compound-specific EC50 values and percent change from baseline</w:t>
      </w:r>
    </w:p>
    <w:p>
      <w:pPr>
        <w:pStyle w:val="ListParagraph"/>
        <w:numPr>
          <w:ilvl w:val="0"/>
          <w:numId w:val="2"/>
        </w:numPr>
        <w:spacing w:after="100" w:line="360"/>
      </w:pPr>
      <w:r>
        <w:rPr>
          <w:rFonts w:ascii="Arial" w:cs="Arial" w:eastAsia="Arial" w:hAnsi="Arial"/>
          <w:sz w:val="24"/>
          <w:szCs w:val="24"/>
        </w:rPr>
        <w:t xml:space="preserve">Proarrhythmia risk assessment: hERG block / Cav1.2 block ratio and CiPA risk prediction for each compound (categorical: low/intermediate/high)</w:t>
      </w:r>
    </w:p>
    <w:p>
      <w:pPr>
        <w:pStyle w:val="ListParagraph"/>
        <w:numPr>
          <w:ilvl w:val="0"/>
          <w:numId w:val="2"/>
        </w:numPr>
        <w:spacing w:after="100" w:line="360"/>
      </w:pPr>
      <w:r>
        <w:rPr>
          <w:rFonts w:ascii="Arial" w:cs="Arial" w:eastAsia="Arial" w:hAnsi="Arial"/>
          <w:sz w:val="24"/>
          <w:szCs w:val="24"/>
        </w:rPr>
        <w:t xml:space="preserve">Calcium transient summaries: diastolic calcium elevation, rise/decay kinetics, presence of abnormal calcium events at 1×, 3×, 10× dose</w:t>
      </w:r>
    </w:p>
    <w:p>
      <w:pPr>
        <w:pStyle w:val="ListParagraph"/>
        <w:numPr>
          <w:ilvl w:val="0"/>
          <w:numId w:val="2"/>
        </w:numPr>
        <w:spacing w:after="100" w:line="360"/>
      </w:pPr>
      <w:r>
        <w:rPr>
          <w:rFonts w:ascii="Arial" w:cs="Arial" w:eastAsia="Arial" w:hAnsi="Arial"/>
          <w:sz w:val="24"/>
          <w:szCs w:val="24"/>
        </w:rPr>
        <w:t xml:space="preserve">Action potential traces: representative recordings from cardiomyocytes showing effect of compound on waveform shape and duration</w:t>
      </w:r>
    </w:p>
    <w:p>
      <w:pPr>
        <w:pStyle w:val="ListParagraph"/>
        <w:numPr>
          <w:ilvl w:val="0"/>
          <w:numId w:val="2"/>
        </w:numPr>
        <w:spacing w:after="100" w:line="360"/>
      </w:pPr>
      <w:r>
        <w:rPr>
          <w:rFonts w:ascii="Arial" w:cs="Arial" w:eastAsia="Arial" w:hAnsi="Arial"/>
          <w:sz w:val="24"/>
          <w:szCs w:val="24"/>
        </w:rPr>
        <w:t xml:space="preserve">Filtered candidate list: compounds with hERG IC50 &gt;30 µM, no APD prolongation &gt;15% at 3× dose, CiPA low risk, and no afterdepolarizations detected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cardiac metrics and proarrhythmia risk scores; PDF plots of APD and calcium transients; CiPA risk assessment report</w:t>
      </w:r>
    </w:p>
    <w:p>
      <w:pPr>
        <w:pStyle w:val="Heading2"/>
      </w:pPr>
      <w:r>
        <w:rPr>
          <w:rFonts w:ascii="Arial" w:cs="Arial" w:eastAsia="Arial" w:hAnsi="Arial"/>
          <w:b/>
          <w:bCs/>
          <w:sz w:val="28"/>
          <w:szCs w:val="28"/>
        </w:rPr>
        <w:t xml:space="preserve">Stage 6: In Vitro Pain Model Validation and Therapeutic Index Confirmation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final candidates in physiologically relevant nociceptor pain models (capsaicin sensitivity, substance P release, inflammatory sensitization) to confirm analgesic efficacy and establish definitive therapeutic indices (analgesia concentration / safety threshold), enabling lead compound selection and IND-ready profiling.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10-15 candidates passing cardiac safety from Stage 5</w:t>
      </w:r>
    </w:p>
    <w:p>
      <w:pPr>
        <w:pStyle w:val="ListParagraph"/>
        <w:numPr>
          <w:ilvl w:val="0"/>
          <w:numId w:val="2"/>
        </w:numPr>
        <w:spacing w:after="100" w:line="360"/>
      </w:pPr>
      <w:r>
        <w:rPr>
          <w:rFonts w:ascii="Arial" w:cs="Arial" w:eastAsia="Arial" w:hAnsi="Arial"/>
          <w:sz w:val="24"/>
          <w:szCs w:val="24"/>
        </w:rPr>
        <w:t xml:space="preserve">Sensory nociceptor cultures: high-fidelity iPSC-derived nociceptors with TRPV1, TRPA1, Piezo2 expression and pain-related neuropeptides (substance P, CGRP)</w:t>
      </w:r>
    </w:p>
    <w:p>
      <w:pPr>
        <w:pStyle w:val="ListParagraph"/>
        <w:numPr>
          <w:ilvl w:val="0"/>
          <w:numId w:val="2"/>
        </w:numPr>
        <w:spacing w:after="100" w:line="360"/>
      </w:pPr>
      <w:r>
        <w:rPr>
          <w:rFonts w:ascii="Arial" w:cs="Arial" w:eastAsia="Arial" w:hAnsi="Arial"/>
          <w:sz w:val="24"/>
          <w:szCs w:val="24"/>
        </w:rPr>
        <w:t xml:space="preserve">Pain stimulus assays: capsaicin (TRPV1 agonist), ATP (P2X/P2Y agonist), bradykinin (GPCR agonist) induced calcium transients and action potentials</w:t>
      </w:r>
    </w:p>
    <w:p>
      <w:pPr>
        <w:pStyle w:val="ListParagraph"/>
        <w:numPr>
          <w:ilvl w:val="0"/>
          <w:numId w:val="2"/>
        </w:numPr>
        <w:spacing w:after="100" w:line="360"/>
      </w:pPr>
      <w:r>
        <w:rPr>
          <w:rFonts w:ascii="Arial" w:cs="Arial" w:eastAsia="Arial" w:hAnsi="Arial"/>
          <w:sz w:val="24"/>
          <w:szCs w:val="24"/>
        </w:rPr>
        <w:t xml:space="preserve">Neuropeptide release assays: substance P and CGRP ELISAs measuring nociceptor-derived neurotransmitter release under compound exposure</w:t>
      </w:r>
    </w:p>
    <w:p>
      <w:pPr>
        <w:pStyle w:val="ListParagraph"/>
        <w:numPr>
          <w:ilvl w:val="0"/>
          <w:numId w:val="2"/>
        </w:numPr>
        <w:spacing w:after="100" w:line="360"/>
      </w:pPr>
      <w:r>
        <w:rPr>
          <w:rFonts w:ascii="Arial" w:cs="Arial" w:eastAsia="Arial" w:hAnsi="Arial"/>
          <w:sz w:val="24"/>
          <w:szCs w:val="24"/>
        </w:rPr>
        <w:t xml:space="preserve">Inflammatory sensitization model: TNFα or IL-1β pre-treated nociceptors to model chronic pain state and assess compound efficacy in sensitized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Nociceptor Assay Panel: Pre-recorded pain-stimulus responses (capsaicin, ATP, bradykinin IC50 values) for baseline nociceptor sensitivity</w:t>
      </w:r>
    </w:p>
    <w:p>
      <w:pPr>
        <w:pStyle w:val="ListParagraph"/>
        <w:numPr>
          <w:ilvl w:val="0"/>
          <w:numId w:val="2"/>
        </w:numPr>
        <w:spacing w:after="100" w:line="360"/>
      </w:pPr>
      <w:r>
        <w:rPr>
          <w:rFonts w:ascii="Arial" w:cs="Arial" w:eastAsia="Arial" w:hAnsi="Arial"/>
          <w:sz w:val="24"/>
          <w:szCs w:val="24"/>
        </w:rPr>
        <w:t xml:space="preserve">Fluo-4 Calcium Imaging System: High-throughput measurement of nociceptor calcium responses to pain stimuli in presence of test compounds</w:t>
      </w:r>
    </w:p>
    <w:p>
      <w:pPr>
        <w:pStyle w:val="ListParagraph"/>
        <w:numPr>
          <w:ilvl w:val="0"/>
          <w:numId w:val="2"/>
        </w:numPr>
        <w:spacing w:after="100" w:line="360"/>
      </w:pPr>
      <w:r>
        <w:rPr>
          <w:rFonts w:ascii="Arial" w:cs="Arial" w:eastAsia="Arial" w:hAnsi="Arial"/>
          <w:sz w:val="24"/>
          <w:szCs w:val="24"/>
        </w:rPr>
        <w:t xml:space="preserve">ELISA platforms (R&amp;D Systems, Abcam): Quantify substance P and CGRP release from nociceptor supernatants at baseline and compound + pain stimulus conditions</w:t>
      </w:r>
    </w:p>
    <w:p>
      <w:pPr>
        <w:pStyle w:val="ListParagraph"/>
        <w:numPr>
          <w:ilvl w:val="0"/>
          <w:numId w:val="2"/>
        </w:numPr>
        <w:spacing w:after="100" w:line="360"/>
      </w:pPr>
      <w:r>
        <w:rPr>
          <w:rFonts w:ascii="Arial" w:cs="Arial" w:eastAsia="Arial" w:hAnsi="Arial"/>
          <w:sz w:val="24"/>
          <w:szCs w:val="24"/>
        </w:rPr>
        <w:t xml:space="preserve">Python (curve fitting, IC50 estimation): Calculate compound EC50 for analgesia (e.g., capsaicin response inhibition IC50) in baseline and inflammatory-sensitized cells</w:t>
      </w:r>
    </w:p>
    <w:p>
      <w:pPr>
        <w:pStyle w:val="ListParagraph"/>
        <w:numPr>
          <w:ilvl w:val="0"/>
          <w:numId w:val="2"/>
        </w:numPr>
        <w:spacing w:after="100" w:line="360"/>
      </w:pPr>
      <w:r>
        <w:rPr>
          <w:rFonts w:ascii="Arial" w:cs="Arial" w:eastAsia="Arial" w:hAnsi="Arial"/>
          <w:sz w:val="24"/>
          <w:szCs w:val="24"/>
        </w:rPr>
        <w:t xml:space="preserve">R (therapeutic index calculation): Compute TI = EC50(analgesia) / EC50(toxicity) and generate forest plots with 95% CI for final candidate ranking</w:t>
      </w:r>
    </w:p>
    <w:p>
      <w:pPr>
        <w:pStyle w:val="ListParagraph"/>
        <w:numPr>
          <w:ilvl w:val="0"/>
          <w:numId w:val="2"/>
        </w:numPr>
        <w:spacing w:after="100" w:line="360"/>
      </w:pPr>
      <w:r>
        <w:rPr>
          <w:rFonts w:ascii="Arial" w:cs="Arial" w:eastAsia="Arial" w:hAnsi="Arial"/>
          <w:sz w:val="24"/>
          <w:szCs w:val="24"/>
        </w:rPr>
        <w:t xml:space="preserve">IND Briefing Package generator: Automated script generating regulatory-compliant summary tables, CMC information template, and proposed clinical IND starting dose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EC50 for compound-mediated inhibition of capsaicin (1 µM)-induced calcium transient rise in nociceptors using automated imaging"</w:t>
      </w:r>
    </w:p>
    <w:p>
      <w:pPr>
        <w:pStyle w:val="ListParagraph"/>
        <w:numPr>
          <w:ilvl w:val="0"/>
          <w:numId w:val="2"/>
        </w:numPr>
        <w:spacing w:after="100" w:line="360"/>
      </w:pPr>
      <w:r>
        <w:rPr>
          <w:rFonts w:ascii="Arial" w:cs="Arial" w:eastAsia="Arial" w:hAnsi="Arial"/>
          <w:sz w:val="24"/>
          <w:szCs w:val="24"/>
        </w:rPr>
        <w:t xml:space="preserve">"Quantify substance P and CGRP release from nociceptors stimulated with bradykinin (100 nM) in presence of compound across dose range; calculate neuropeptide release IC50"</w:t>
      </w:r>
    </w:p>
    <w:p>
      <w:pPr>
        <w:pStyle w:val="ListParagraph"/>
        <w:numPr>
          <w:ilvl w:val="0"/>
          <w:numId w:val="2"/>
        </w:numPr>
        <w:spacing w:after="100" w:line="360"/>
      </w:pPr>
      <w:r>
        <w:rPr>
          <w:rFonts w:ascii="Arial" w:cs="Arial" w:eastAsia="Arial" w:hAnsi="Arial"/>
          <w:sz w:val="24"/>
          <w:szCs w:val="24"/>
        </w:rPr>
        <w:t xml:space="preserve">"Pre-treat nociceptors with TNFα (10 ng/mL, 24 h) to induce inflammatory sensitization; measure compound EC50 for restoring normal capsaicin sensitivity"</w:t>
      </w:r>
    </w:p>
    <w:p>
      <w:pPr>
        <w:pStyle w:val="ListParagraph"/>
        <w:numPr>
          <w:ilvl w:val="0"/>
          <w:numId w:val="2"/>
        </w:numPr>
        <w:spacing w:after="100" w:line="360"/>
      </w:pPr>
      <w:r>
        <w:rPr>
          <w:rFonts w:ascii="Arial" w:cs="Arial" w:eastAsia="Arial" w:hAnsi="Arial"/>
          <w:sz w:val="24"/>
          <w:szCs w:val="24"/>
        </w:rPr>
        <w:t xml:space="preserve">"Calculate therapeutic index as (EC50 motor neuron toxicity) / (EC50 nociceptor analgesia) and rank compounds by TI with 95% confidence interval"</w:t>
      </w:r>
    </w:p>
    <w:p>
      <w:pPr>
        <w:pStyle w:val="ListParagraph"/>
        <w:numPr>
          <w:ilvl w:val="0"/>
          <w:numId w:val="2"/>
        </w:numPr>
        <w:spacing w:after="100" w:line="360"/>
      </w:pPr>
      <w:r>
        <w:rPr>
          <w:rFonts w:ascii="Arial" w:cs="Arial" w:eastAsia="Arial" w:hAnsi="Arial"/>
          <w:sz w:val="24"/>
          <w:szCs w:val="24"/>
        </w:rPr>
        <w:t xml:space="preserve">"Generate proposed clinical starting dose using allometric scaling from efficacious animal models and account for species differences in pharmacokinetics/pharmacodynamics"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Pain inhibition dose-response curves: capsaicin, ATP, bradykinin-induced calcium response (% inhibition) vs compound concentration for each candidate</w:t>
      </w:r>
    </w:p>
    <w:p>
      <w:pPr>
        <w:pStyle w:val="ListParagraph"/>
        <w:numPr>
          <w:ilvl w:val="0"/>
          <w:numId w:val="2"/>
        </w:numPr>
        <w:spacing w:after="100" w:line="360"/>
      </w:pPr>
      <w:r>
        <w:rPr>
          <w:rFonts w:ascii="Arial" w:cs="Arial" w:eastAsia="Arial" w:hAnsi="Arial"/>
          <w:sz w:val="24"/>
          <w:szCs w:val="24"/>
        </w:rPr>
        <w:t xml:space="preserve">Neuropeptide release assays: substance P and CGRP concentration (pg/mL) from nociceptors exposed to pain stimulus ± compound at EC50 for analgesia</w:t>
      </w:r>
    </w:p>
    <w:p>
      <w:pPr>
        <w:pStyle w:val="ListParagraph"/>
        <w:numPr>
          <w:ilvl w:val="0"/>
          <w:numId w:val="2"/>
        </w:numPr>
        <w:spacing w:after="100" w:line="360"/>
      </w:pPr>
      <w:r>
        <w:rPr>
          <w:rFonts w:ascii="Arial" w:cs="Arial" w:eastAsia="Arial" w:hAnsi="Arial"/>
          <w:sz w:val="24"/>
          <w:szCs w:val="24"/>
        </w:rPr>
        <w:t xml:space="preserve">Inflammatory sensitization rescue data: capsaicin sensitivity (EC50) in TNFα-treated vs untreated nociceptors, showing compound restoration of baseline function</w:t>
      </w:r>
    </w:p>
    <w:p>
      <w:pPr>
        <w:pStyle w:val="ListParagraph"/>
        <w:numPr>
          <w:ilvl w:val="0"/>
          <w:numId w:val="2"/>
        </w:numPr>
        <w:spacing w:after="100" w:line="360"/>
      </w:pPr>
      <w:r>
        <w:rPr>
          <w:rFonts w:ascii="Arial" w:cs="Arial" w:eastAsia="Arial" w:hAnsi="Arial"/>
          <w:sz w:val="24"/>
          <w:szCs w:val="24"/>
        </w:rPr>
        <w:t xml:space="preserve">Comprehensive therapeutic index table: EC50 analgesia, EC50 toxicity, TI, TI 95% CI for all 10-15 final candidates with ranked ordering</w:t>
      </w:r>
    </w:p>
    <w:p>
      <w:pPr>
        <w:pStyle w:val="ListParagraph"/>
        <w:numPr>
          <w:ilvl w:val="0"/>
          <w:numId w:val="2"/>
        </w:numPr>
        <w:spacing w:after="100" w:line="360"/>
      </w:pPr>
      <w:r>
        <w:rPr>
          <w:rFonts w:ascii="Arial" w:cs="Arial" w:eastAsia="Arial" w:hAnsi="Arial"/>
          <w:sz w:val="24"/>
          <w:szCs w:val="24"/>
        </w:rPr>
        <w:t xml:space="preserve">Lead compound nomination: top 3-5 candidates selected based on TI &gt;5, robust pain inhibition EC50 &lt;5 µM, preserved function in inflammatory model</w:t>
      </w:r>
    </w:p>
    <w:p>
      <w:pPr>
        <w:pStyle w:val="ListParagraph"/>
        <w:numPr>
          <w:ilvl w:val="0"/>
          <w:numId w:val="2"/>
        </w:numPr>
        <w:spacing w:after="100" w:line="360"/>
      </w:pPr>
      <w:r>
        <w:rPr>
          <w:rFonts w:ascii="Arial" w:cs="Arial" w:eastAsia="Arial" w:hAnsi="Arial"/>
          <w:sz w:val="24"/>
          <w:szCs w:val="24"/>
        </w:rPr>
        <w:t xml:space="preserve">IND-ready summary: proposed clinical starting dose (mg/kg from allometric scaling), CMC synthesis route summary, GLP safety package roadmap, go/no-go decision for lead compound advancement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complete safety, efficacy, and TI metrics; PDF plots of all dose-response curves; IND briefing package (Word/PDF); Python analysis notebooks with reproducible statistical code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EP CRISPR Atlas: 18,000+ gene perturbation and 3,500 compound library electrophysiology phenotypes in iPSC-derived neurons</w:t>
      </w:r>
    </w:p>
    <w:p>
      <w:pPr>
        <w:pStyle w:val="ListParagraph"/>
        <w:numPr>
          <w:ilvl w:val="0"/>
          <w:numId w:val="2"/>
        </w:numPr>
        <w:spacing w:after="100" w:line="360"/>
      </w:pPr>
      <w:r>
        <w:rPr>
          <w:rFonts w:ascii="Arial" w:cs="Arial" w:eastAsia="Arial" w:hAnsi="Arial"/>
          <w:sz w:val="24"/>
          <w:szCs w:val="24"/>
        </w:rPr>
        <w:t xml:space="preserve">Ion Channel Pharmacology Database (ICPDb): Curated repository of ion channel ligands, binding modes, and electrophysiological signatures</w:t>
      </w:r>
    </w:p>
    <w:p>
      <w:pPr>
        <w:pStyle w:val="ListParagraph"/>
        <w:numPr>
          <w:ilvl w:val="0"/>
          <w:numId w:val="2"/>
        </w:numPr>
        <w:spacing w:after="100" w:line="360"/>
      </w:pPr>
      <w:r>
        <w:rPr>
          <w:rFonts w:ascii="Arial" w:cs="Arial" w:eastAsia="Arial" w:hAnsi="Arial"/>
          <w:sz w:val="24"/>
          <w:szCs w:val="24"/>
        </w:rPr>
        <w:t xml:space="preserve">ChEMBL: Large-scale medicinal chemistry database with bioactivity data and compound structures for target cross-validation</w:t>
      </w:r>
    </w:p>
    <w:p>
      <w:pPr>
        <w:pStyle w:val="ListParagraph"/>
        <w:numPr>
          <w:ilvl w:val="0"/>
          <w:numId w:val="2"/>
        </w:numPr>
        <w:spacing w:after="100" w:line="360"/>
      </w:pPr>
      <w:r>
        <w:rPr>
          <w:rFonts w:ascii="Arial" w:cs="Arial" w:eastAsia="Arial" w:hAnsi="Arial"/>
          <w:sz w:val="24"/>
          <w:szCs w:val="24"/>
        </w:rPr>
        <w:t xml:space="preserve">PubChem: NIH compound registry with chemical properties and bioassay data including ion channel selectivity profiles</w:t>
      </w:r>
    </w:p>
    <w:p>
      <w:pPr>
        <w:pStyle w:val="ListParagraph"/>
        <w:numPr>
          <w:ilvl w:val="0"/>
          <w:numId w:val="2"/>
        </w:numPr>
        <w:spacing w:after="100" w:line="360"/>
      </w:pPr>
      <w:r>
        <w:rPr>
          <w:rFonts w:ascii="Arial" w:cs="Arial" w:eastAsia="Arial" w:hAnsi="Arial"/>
          <w:sz w:val="24"/>
          <w:szCs w:val="24"/>
        </w:rPr>
        <w:t xml:space="preserve">Igor Pro (Wavemetrics): Electrophysiology waveform analysis software with custom macros for kinetic parameter extraction and EP metric quantification</w:t>
      </w:r>
    </w:p>
    <w:p>
      <w:pPr>
        <w:pStyle w:val="ListParagraph"/>
        <w:numPr>
          <w:ilvl w:val="0"/>
          <w:numId w:val="2"/>
        </w:numPr>
        <w:spacing w:after="100" w:line="360"/>
      </w:pPr>
      <w:r>
        <w:rPr>
          <w:rFonts w:ascii="Arial" w:cs="Arial" w:eastAsia="Arial" w:hAnsi="Arial"/>
          <w:sz w:val="24"/>
          <w:szCs w:val="24"/>
        </w:rPr>
        <w:t xml:space="preserve">Python (scikit-learn, scipy, pandas, NetworkX): Machine learning, statistical modeling, similarity calculations, and network analysis platform</w:t>
      </w:r>
    </w:p>
    <w:p>
      <w:pPr>
        <w:pStyle w:val="ListParagraph"/>
        <w:numPr>
          <w:ilvl w:val="0"/>
          <w:numId w:val="2"/>
        </w:numPr>
        <w:spacing w:after="100" w:line="360"/>
      </w:pPr>
      <w:r>
        <w:rPr>
          <w:rFonts w:ascii="Arial" w:cs="Arial" w:eastAsia="Arial" w:hAnsi="Arial"/>
          <w:sz w:val="24"/>
          <w:szCs w:val="24"/>
        </w:rPr>
        <w:t xml:space="preserve">R (igraph, ComplexHeatmap, lme4, ggplot2): Statistical analysis, clustering, mixed-effects models, and publication-quality visualization</w:t>
      </w:r>
    </w:p>
    <w:p>
      <w:pPr>
        <w:pStyle w:val="ListParagraph"/>
        <w:numPr>
          <w:ilvl w:val="0"/>
          <w:numId w:val="2"/>
        </w:numPr>
        <w:spacing w:after="100" w:line="360"/>
      </w:pPr>
      <w:r>
        <w:rPr>
          <w:rFonts w:ascii="Arial" w:cs="Arial" w:eastAsia="Arial" w:hAnsi="Arial"/>
          <w:sz w:val="24"/>
          <w:szCs w:val="24"/>
        </w:rPr>
        <w:t xml:space="preserve">KNIME Analytics Platform: Visual workflow construction for automated phenotype matching, toxicity scoring, and multi-stage filtering pipelines</w:t>
      </w:r>
    </w:p>
    <w:p>
      <w:pPr>
        <w:pStyle w:val="ListParagraph"/>
        <w:numPr>
          <w:ilvl w:val="0"/>
          <w:numId w:val="2"/>
        </w:numPr>
        <w:spacing w:after="100" w:line="360"/>
      </w:pPr>
      <w:r>
        <w:rPr>
          <w:rFonts w:ascii="Arial" w:cs="Arial" w:eastAsia="Arial" w:hAnsi="Arial"/>
          <w:sz w:val="24"/>
          <w:szCs w:val="24"/>
        </w:rPr>
        <w:t xml:space="preserve">Multi-Electrode Array (MEA) Systems (MultiChannel Systems): Extracellular network electrophysiology recordings and analysis of neuronal activity patterns</w:t>
      </w:r>
    </w:p>
    <w:p>
      <w:pPr>
        <w:pStyle w:val="ListParagraph"/>
        <w:numPr>
          <w:ilvl w:val="0"/>
          <w:numId w:val="2"/>
        </w:numPr>
        <w:spacing w:after="100" w:line="360"/>
      </w:pPr>
      <w:r>
        <w:rPr>
          <w:rFonts w:ascii="Arial" w:cs="Arial" w:eastAsia="Arial" w:hAnsi="Arial"/>
          <w:sz w:val="24"/>
          <w:szCs w:val="24"/>
        </w:rPr>
        <w:t xml:space="preserve">CiPA (Comprehensive in vitro Proarrhythmia Assay) Database: Regulatory-grade cardiac safety data including hERG, Cav1.2, Kv7.1 block and proarrhythmia risk predictions</w:t>
      </w:r>
    </w:p>
    <w:p>
      <w:pPr>
        <w:pStyle w:val="ListParagraph"/>
        <w:numPr>
          <w:ilvl w:val="0"/>
          <w:numId w:val="2"/>
        </w:numPr>
        <w:spacing w:after="100" w:line="360"/>
      </w:pPr>
      <w:r>
        <w:rPr>
          <w:rFonts w:ascii="Arial" w:cs="Arial" w:eastAsia="Arial" w:hAnsi="Arial"/>
          <w:sz w:val="24"/>
          <w:szCs w:val="24"/>
        </w:rPr>
        <w:t xml:space="preserve">DrugBank: Comprehensive drug target and adverse effect database for known compound pharmacology validation and off-target prediction</w:t>
      </w:r>
    </w:p>
    <w:p>
      <w:pPr>
        <w:pStyle w:val="ListParagraph"/>
        <w:numPr>
          <w:ilvl w:val="0"/>
          <w:numId w:val="2"/>
        </w:numPr>
        <w:spacing w:after="100" w:line="360"/>
      </w:pPr>
      <w:r>
        <w:rPr>
          <w:rFonts w:ascii="Arial" w:cs="Arial" w:eastAsia="Arial" w:hAnsi="Arial"/>
          <w:sz w:val="24"/>
          <w:szCs w:val="24"/>
        </w:rPr>
        <w:t xml:space="preserve">SafetyDB (Ion Channel Safety): Specialized database of compounds with validated cardiac and neuronal ion channel selectivity ratios</w:t>
      </w:r>
    </w:p>
    <w:p>
      <w:pPr>
        <w:pStyle w:val="ListParagraph"/>
        <w:numPr>
          <w:ilvl w:val="0"/>
          <w:numId w:val="2"/>
        </w:numPr>
        <w:spacing w:after="100" w:line="360"/>
      </w:pPr>
      <w:r>
        <w:rPr>
          <w:rFonts w:ascii="Arial" w:cs="Arial" w:eastAsia="Arial" w:hAnsi="Arial"/>
          <w:sz w:val="24"/>
          <w:szCs w:val="24"/>
        </w:rPr>
        <w:t xml:space="preserve">Prism (GraphPad): Dose-response curve fitting, EC50/IC50 estimation, and statistical analysis including nonlinear regression</w:t>
      </w:r>
    </w:p>
    <w:p>
      <w:pPr>
        <w:pStyle w:val="ListParagraph"/>
        <w:numPr>
          <w:ilvl w:val="0"/>
          <w:numId w:val="2"/>
        </w:numPr>
        <w:spacing w:after="100" w:line="360"/>
      </w:pPr>
      <w:r>
        <w:rPr>
          <w:rFonts w:ascii="Arial" w:cs="Arial" w:eastAsia="Arial" w:hAnsi="Arial"/>
          <w:sz w:val="24"/>
          <w:szCs w:val="24"/>
        </w:rPr>
        <w:t xml:space="preserve">Fluo-4 Calcium Imaging Platform: High-throughput fluorescent calcium transient measurement for nociceptor pain stimulus response phenotyping</w:t>
      </w:r>
    </w:p>
    <w:p>
      <w:pPr>
        <w:pStyle w:val="ListParagraph"/>
        <w:numPr>
          <w:ilvl w:val="0"/>
          <w:numId w:val="2"/>
        </w:numPr>
        <w:spacing w:after="100" w:line="360"/>
      </w:pPr>
      <w:r>
        <w:rPr>
          <w:rFonts w:ascii="Arial" w:cs="Arial" w:eastAsia="Arial" w:hAnsi="Arial"/>
          <w:sz w:val="24"/>
          <w:szCs w:val="24"/>
        </w:rPr>
        <w:t xml:space="preserve">PatchMaster/Patchmaster+ Recording Software: Automated voltage clamp and current clamp acquisition and preliminary analysis for electrophysiology experiments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2026-03-04T14:15:43.593Z</dcterms:created>
  <dcterms:modified xsi:type="dcterms:W3CDTF">2026-03-04T14:15:43.593Z</dcterms:modified>
</cp:coreProperties>
</file>

<file path=docProps/custom.xml><?xml version="1.0" encoding="utf-8"?>
<Properties xmlns="http://schemas.openxmlformats.org/officeDocument/2006/custom-properties" xmlns:vt="http://schemas.openxmlformats.org/officeDocument/2006/docPropsVTypes"/>
</file>