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Rank Pain Drugs by Safety Margin in Human Neuron EP Data</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Rank pain drugs by safety margin in human neuron EP data.</w:t>
      </w:r>
    </w:p>
    <w:p>
      <w:pPr>
        <w:spacing w:after="200" w:line="360"/>
      </w:pPr>
      <w:r>
        <w:rPr>
          <w:rFonts w:ascii="Arial" w:cs="Arial" w:eastAsia="Arial" w:hAnsi="Arial"/>
          <w:sz w:val="24"/>
          <w:szCs w:val="24"/>
        </w:rPr>
        <w:t xml:space="preserve">This pipeline leverages Quiver Bioscience's electrophysiology CRISPR atlas to systematically rank analgesic and pain therapeutic compounds by their therapeutic index derived from human neuron electrophysiology data. The approach quantifies the safety margin between therapeutic efficacy concentration (EC50 for analgesic effect in nociceptors) and adverse effect thresholds (EC50 for motor neuron toxicity, cardiac arrhythmia liability, respiratory depression, CNS toxicity, and metabolic dysfunction). Rather than relying on traditional animal models or in vitro assays, the pipeline integrates comprehensive human EP data across multiple neuron types and organ systems to predict real-world safety margins and identify compounds with optimal risk-benefit profiles.</w:t>
      </w:r>
    </w:p>
    <w:p>
      <w:pPr>
        <w:spacing w:after="200" w:line="360"/>
      </w:pPr>
      <w:r>
        <w:rPr>
          <w:rFonts w:ascii="Arial" w:cs="Arial" w:eastAsia="Arial" w:hAnsi="Arial"/>
          <w:sz w:val="24"/>
          <w:szCs w:val="24"/>
        </w:rPr>
        <w:t xml:space="preserve">The pipeline systematically evaluates dose-response EP curves for over 100 pain therapeutics (including NSAIDs, sodium channel blockers, calcium channel modulators, TRPV1 antagonists, GABA agonists) across sensory neurons, motor neurons, cardiac myocytes, and respiratory epithelial models. By constructing multi-system EP pharmacodynamic profiles and calculating system-specific EC50 values, the workflow ranks compounds by therapeutic index and generates regulatory-ready safety assessments that inform clinical trial design and dosing strategies.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pipeline implements a multi-dimensional safety assessment framework quantifying therapeutic index (TI) and safety margins across diverse physiological systems. Beginning with baseline EP characterization of sensory nociceptors (pain target system), motor neurons (motor safety), cardiac myocytes (cardiac safety), respiratory epithelial cells (respiratory toxicity), and hepatocyte models (metabolic liability), the workflow establishes system-specific phenotypic signatures and functional baseline states. Each pain drug is then systematically profiled through dose-response EP recordings in all compartments, generating concentration-dependent curves for efficacy and toxicity endpoints.</w:t>
      </w:r>
    </w:p>
    <w:p>
      <w:pPr>
        <w:spacing w:after="200" w:line="360"/>
      </w:pPr>
      <w:r>
        <w:rPr>
          <w:rFonts w:ascii="Arial" w:cs="Arial" w:eastAsia="Arial" w:hAnsi="Arial"/>
          <w:sz w:val="24"/>
          <w:szCs w:val="24"/>
        </w:rPr>
        <w:t xml:space="preserve">EC50 values are extracted for each endpoint through curve fitting and Hill coefficient estimation, enabling direct calculation of therapeutic indices (TI = EC50 adverse / EC50 efficacy) at both point-estimate and confidence interval levels. Compounds are then ranked by integrated safety scoring algorithms that weight cardiac and respiratory liabilities more heavily than motor toxicity (reflecting clinical prioritization). The final deliverables include comprehensive safety ranking tables, therapeutic index confidence intervals, recommended dose ranges, and predictive risk classifications enabling regulatory submission and clinical protocol optimization.</w:t>
      </w:r>
    </w:p>
    <w:p>
      <w:pPr>
        <w:pStyle w:val="Heading2"/>
      </w:pPr>
      <w:r>
        <w:rPr>
          <w:rFonts w:ascii="Arial" w:cs="Arial" w:eastAsia="Arial" w:hAnsi="Arial"/>
          <w:b/>
          <w:bCs/>
          <w:sz w:val="28"/>
          <w:szCs w:val="28"/>
        </w:rPr>
        <w:t xml:space="preserve">Stage 1: Multi-System Baseline Electrophysiology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Establish comprehensive baseline electrophysiological phenotypes for sensory nociceptors, motor neurons, cardiac myocytes, respiratory epithelial cells, and hepatocyte models to define system-specific functional endpoints and safety thresholds against which all pain drugs are measured.</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Freshly differentiated iPSC-derived sensory nociceptors, motor neurons, cardiac myocytes, respiratory epithelial cells, and hepatocytes at functional maturity</w:t>
      </w:r>
    </w:p>
    <w:p>
      <w:pPr>
        <w:pStyle w:val="ListParagraph"/>
        <w:numPr>
          <w:ilvl w:val="0"/>
          <w:numId w:val="2"/>
        </w:numPr>
        <w:spacing w:after="100" w:line="360"/>
      </w:pPr>
      <w:r>
        <w:rPr>
          <w:rFonts w:ascii="Arial" w:cs="Arial" w:eastAsia="Arial" w:hAnsi="Arial"/>
          <w:sz w:val="24"/>
          <w:szCs w:val="24"/>
        </w:rPr>
        <w:t xml:space="preserve">Multi-electrode array (MEA) recordings from nociceptor networks and motor neuron networks for baseline firing patterns</w:t>
      </w:r>
    </w:p>
    <w:p>
      <w:pPr>
        <w:pStyle w:val="ListParagraph"/>
        <w:numPr>
          <w:ilvl w:val="0"/>
          <w:numId w:val="2"/>
        </w:numPr>
        <w:spacing w:after="100" w:line="360"/>
      </w:pPr>
      <w:r>
        <w:rPr>
          <w:rFonts w:ascii="Arial" w:cs="Arial" w:eastAsia="Arial" w:hAnsi="Arial"/>
          <w:sz w:val="24"/>
          <w:szCs w:val="24"/>
        </w:rPr>
        <w:t xml:space="preserve">Whole-cell voltage clamp and current clamp recordings from nociceptors, motor neurons, and cardiac myocytes</w:t>
      </w:r>
    </w:p>
    <w:p>
      <w:pPr>
        <w:pStyle w:val="ListParagraph"/>
        <w:numPr>
          <w:ilvl w:val="0"/>
          <w:numId w:val="2"/>
        </w:numPr>
        <w:spacing w:after="100" w:line="360"/>
      </w:pPr>
      <w:r>
        <w:rPr>
          <w:rFonts w:ascii="Arial" w:cs="Arial" w:eastAsia="Arial" w:hAnsi="Arial"/>
          <w:sz w:val="24"/>
          <w:szCs w:val="24"/>
        </w:rPr>
        <w:t xml:space="preserve">Pain stimulus calibration: dose-response to capsaicin, ATP, bradykinin in baseline nociceptor state to establish EC50 for pain transduction</w:t>
      </w:r>
    </w:p>
    <w:p>
      <w:pPr>
        <w:pStyle w:val="ListParagraph"/>
        <w:numPr>
          <w:ilvl w:val="0"/>
          <w:numId w:val="2"/>
        </w:numPr>
        <w:spacing w:after="100" w:line="360"/>
      </w:pPr>
      <w:r>
        <w:rPr>
          <w:rFonts w:ascii="Arial" w:cs="Arial" w:eastAsia="Arial" w:hAnsi="Arial"/>
          <w:sz w:val="24"/>
          <w:szCs w:val="24"/>
        </w:rPr>
        <w:t xml:space="preserve">Respiratory epithelial ciliary beat frequency, cardiac contractility force measurements, and hepatocyte metabolic (OCR, ATP synthesis) baselines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Multi-System EP Atlas: Retrieve baseline EP profiles for sensory, motor, cardiac, respiratory, and hepatic cell types from iPSC sources</w:t>
      </w:r>
    </w:p>
    <w:p>
      <w:pPr>
        <w:pStyle w:val="ListParagraph"/>
        <w:numPr>
          <w:ilvl w:val="0"/>
          <w:numId w:val="2"/>
        </w:numPr>
        <w:spacing w:after="100" w:line="360"/>
      </w:pPr>
      <w:r>
        <w:rPr>
          <w:rFonts w:ascii="Arial" w:cs="Arial" w:eastAsia="Arial" w:hAnsi="Arial"/>
          <w:sz w:val="24"/>
          <w:szCs w:val="24"/>
        </w:rPr>
        <w:t xml:space="preserve">PatchMaster/Patchmaster+ Recording Software: Acquire voltage clamp and current clamp data across all neuronal and non-neuronal systems</w:t>
      </w:r>
    </w:p>
    <w:p>
      <w:pPr>
        <w:pStyle w:val="ListParagraph"/>
        <w:numPr>
          <w:ilvl w:val="0"/>
          <w:numId w:val="2"/>
        </w:numPr>
        <w:spacing w:after="100" w:line="360"/>
      </w:pPr>
      <w:r>
        <w:rPr>
          <w:rFonts w:ascii="Arial" w:cs="Arial" w:eastAsia="Arial" w:hAnsi="Arial"/>
          <w:sz w:val="24"/>
          <w:szCs w:val="24"/>
        </w:rPr>
        <w:t xml:space="preserve">Igor Pro (Wavemetrics): Extract action potential morphology, inactivation kinetics, current densities from all cell types</w:t>
      </w:r>
    </w:p>
    <w:p>
      <w:pPr>
        <w:pStyle w:val="ListParagraph"/>
        <w:numPr>
          <w:ilvl w:val="0"/>
          <w:numId w:val="2"/>
        </w:numPr>
        <w:spacing w:after="100" w:line="360"/>
      </w:pPr>
      <w:r>
        <w:rPr>
          <w:rFonts w:ascii="Arial" w:cs="Arial" w:eastAsia="Arial" w:hAnsi="Arial"/>
          <w:sz w:val="24"/>
          <w:szCs w:val="24"/>
        </w:rPr>
        <w:t xml:space="preserve">Multi-Electrode Array Systems (MultiChannel Systems): Network-level baseline firing rate, burst pattern, synchronicity analysis</w:t>
      </w:r>
    </w:p>
    <w:p>
      <w:pPr>
        <w:pStyle w:val="ListParagraph"/>
        <w:numPr>
          <w:ilvl w:val="0"/>
          <w:numId w:val="2"/>
        </w:numPr>
        <w:spacing w:after="100" w:line="360"/>
      </w:pPr>
      <w:r>
        <w:rPr>
          <w:rFonts w:ascii="Arial" w:cs="Arial" w:eastAsia="Arial" w:hAnsi="Arial"/>
          <w:sz w:val="24"/>
          <w:szCs w:val="24"/>
        </w:rPr>
        <w:t xml:space="preserve">R (ComplexHeatmap, tidyverse): Construct multi-dimensional phenotype matrix with all cell types and 100+ EP features</w:t>
      </w:r>
    </w:p>
    <w:p>
      <w:pPr>
        <w:pStyle w:val="ListParagraph"/>
        <w:numPr>
          <w:ilvl w:val="0"/>
          <w:numId w:val="2"/>
        </w:numPr>
        <w:spacing w:after="100" w:line="360"/>
      </w:pPr>
      <w:r>
        <w:rPr>
          <w:rFonts w:ascii="Arial" w:cs="Arial" w:eastAsia="Arial" w:hAnsi="Arial"/>
          <w:sz w:val="24"/>
          <w:szCs w:val="24"/>
        </w:rPr>
        <w:t xml:space="preserve">Seahorse XF (Agilent): Measure oxygen consumption rate (OCR), ATP synthesis, and metabolic function in hepatocytes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baseline nociceptor action potential firing rate (Hz), action potential amplitude (mV), and afterhyperpolarization kinetics in current clamp mode"</w:t>
      </w:r>
    </w:p>
    <w:p>
      <w:pPr>
        <w:pStyle w:val="ListParagraph"/>
        <w:numPr>
          <w:ilvl w:val="0"/>
          <w:numId w:val="2"/>
        </w:numPr>
        <w:spacing w:after="100" w:line="360"/>
      </w:pPr>
      <w:r>
        <w:rPr>
          <w:rFonts w:ascii="Arial" w:cs="Arial" w:eastAsia="Arial" w:hAnsi="Arial"/>
          <w:sz w:val="24"/>
          <w:szCs w:val="24"/>
        </w:rPr>
        <w:t xml:space="preserve">"Determine baseline dose-response relationship for nociceptor calcium response to capsaicin (0.1 nM to 10 µM) and extract EC50"</w:t>
      </w:r>
    </w:p>
    <w:p>
      <w:pPr>
        <w:pStyle w:val="ListParagraph"/>
        <w:numPr>
          <w:ilvl w:val="0"/>
          <w:numId w:val="2"/>
        </w:numPr>
        <w:spacing w:after="100" w:line="360"/>
      </w:pPr>
      <w:r>
        <w:rPr>
          <w:rFonts w:ascii="Arial" w:cs="Arial" w:eastAsia="Arial" w:hAnsi="Arial"/>
          <w:sz w:val="24"/>
          <w:szCs w:val="24"/>
        </w:rPr>
        <w:t xml:space="preserve">"Measure motor neuron resting membrane potential, threshold, peak amplitude, and frequency-dependent firing capacity at 1, 5, 10 Hz stimulation"</w:t>
      </w:r>
    </w:p>
    <w:p>
      <w:pPr>
        <w:pStyle w:val="ListParagraph"/>
        <w:numPr>
          <w:ilvl w:val="0"/>
          <w:numId w:val="2"/>
        </w:numPr>
        <w:spacing w:after="100" w:line="360"/>
      </w:pPr>
      <w:r>
        <w:rPr>
          <w:rFonts w:ascii="Arial" w:cs="Arial" w:eastAsia="Arial" w:hAnsi="Arial"/>
          <w:sz w:val="24"/>
          <w:szCs w:val="24"/>
        </w:rPr>
        <w:t xml:space="preserve">"Record cardiac action potential duration (APD50, APD90), spontaneous beating rate, contractility force in iPSC-derived cardiomyocytes"</w:t>
      </w:r>
    </w:p>
    <w:p>
      <w:pPr>
        <w:pStyle w:val="ListParagraph"/>
        <w:numPr>
          <w:ilvl w:val="0"/>
          <w:numId w:val="2"/>
        </w:numPr>
        <w:spacing w:after="100" w:line="360"/>
      </w:pPr>
      <w:r>
        <w:rPr>
          <w:rFonts w:ascii="Arial" w:cs="Arial" w:eastAsia="Arial" w:hAnsi="Arial"/>
          <w:sz w:val="24"/>
          <w:szCs w:val="24"/>
        </w:rPr>
        <w:t xml:space="preserve">"Quantify respiratory epithelial ciliary beat frequency (CBF), hepatocyte mitochondrial OCR and ATP synthesis rate at baseline"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Multi-system baseline phenotype matrix: cell type × EP feature table with mean ± SEM for nociceptor, motor neuron, cardiac, respiratory, hepatic endpoints</w:t>
      </w:r>
    </w:p>
    <w:p>
      <w:pPr>
        <w:pStyle w:val="ListParagraph"/>
        <w:numPr>
          <w:ilvl w:val="0"/>
          <w:numId w:val="2"/>
        </w:numPr>
        <w:spacing w:after="100" w:line="360"/>
      </w:pPr>
      <w:r>
        <w:rPr>
          <w:rFonts w:ascii="Arial" w:cs="Arial" w:eastAsia="Arial" w:hAnsi="Arial"/>
          <w:sz w:val="24"/>
          <w:szCs w:val="24"/>
        </w:rPr>
        <w:t xml:space="preserve">Nociceptor sensitivity baseline: EC50 values for capsaicin, ATP, and bradykinin-induced calcium transients and action potentials</w:t>
      </w:r>
    </w:p>
    <w:p>
      <w:pPr>
        <w:pStyle w:val="ListParagraph"/>
        <w:numPr>
          <w:ilvl w:val="0"/>
          <w:numId w:val="2"/>
        </w:numPr>
        <w:spacing w:after="100" w:line="360"/>
      </w:pPr>
      <w:r>
        <w:rPr>
          <w:rFonts w:ascii="Arial" w:cs="Arial" w:eastAsia="Arial" w:hAnsi="Arial"/>
          <w:sz w:val="24"/>
          <w:szCs w:val="24"/>
        </w:rPr>
        <w:t xml:space="preserve">Toxicity endpoint definitions: threshold concentrations for motor neuron electrical silence, cardiac APD prolongation &gt;15%, respiratory CBF cessation, hepatic ATP depletion &gt;50%</w:t>
      </w:r>
    </w:p>
    <w:p>
      <w:pPr>
        <w:pStyle w:val="ListParagraph"/>
        <w:numPr>
          <w:ilvl w:val="0"/>
          <w:numId w:val="2"/>
        </w:numPr>
        <w:spacing w:after="100" w:line="360"/>
      </w:pPr>
      <w:r>
        <w:rPr>
          <w:rFonts w:ascii="Arial" w:cs="Arial" w:eastAsia="Arial" w:hAnsi="Arial"/>
          <w:sz w:val="24"/>
          <w:szCs w:val="24"/>
        </w:rPr>
        <w:t xml:space="preserve">Network-level baseline summaries: MEA firing patterns, burst frequency, synchronicity indices for nociceptor and motor neuron networks</w:t>
      </w:r>
    </w:p>
    <w:p>
      <w:pPr>
        <w:pStyle w:val="ListParagraph"/>
        <w:numPr>
          <w:ilvl w:val="0"/>
          <w:numId w:val="2"/>
        </w:numPr>
        <w:spacing w:after="100" w:line="360"/>
      </w:pPr>
      <w:r>
        <w:rPr>
          <w:rFonts w:ascii="Arial" w:cs="Arial" w:eastAsia="Arial" w:hAnsi="Arial"/>
          <w:sz w:val="24"/>
          <w:szCs w:val="24"/>
        </w:rPr>
        <w:t xml:space="preserve">Metabolic baseline profiles: hepatocyte OCR, ATP/ADP ratios, mitochondrial membrane potential ± standard conditions</w:t>
      </w:r>
    </w:p>
    <w:p>
      <w:pPr>
        <w:pStyle w:val="ListParagraph"/>
        <w:numPr>
          <w:ilvl w:val="0"/>
          <w:numId w:val="2"/>
        </w:numPr>
        <w:spacing w:after="100" w:line="360"/>
      </w:pPr>
      <w:r>
        <w:rPr>
          <w:rFonts w:ascii="Arial" w:cs="Arial" w:eastAsia="Arial" w:hAnsi="Arial"/>
          <w:sz w:val="24"/>
          <w:szCs w:val="24"/>
        </w:rPr>
        <w:t xml:space="preserve">Summary reports: cell type-specific stability metrics, quality control metrics (cell viability, baseline drift), and recommendations for compound profiling concentration ranges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workbook with baseline metrics across all systems; HDF5 files with raw voltage clamp traces and MEA recordings; CSV files with EC50/EC90 values</w:t>
      </w:r>
    </w:p>
    <w:p>
      <w:pPr>
        <w:pStyle w:val="Heading2"/>
      </w:pPr>
      <w:r>
        <w:rPr>
          <w:rFonts w:ascii="Arial" w:cs="Arial" w:eastAsia="Arial" w:hAnsi="Arial"/>
          <w:b/>
          <w:bCs/>
          <w:sz w:val="28"/>
          <w:szCs w:val="28"/>
        </w:rPr>
        <w:t xml:space="preserve">Stage 2: Comprehensive Pain Drug Library Efficacy Profiling in Nociceptors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Profile 100+ analgesic and pain therapeutic compounds across dose-response nociceptor assays (calcium transients, action potential suppression, neuropeptide release inhibition) to quantify efficacy EC50 values and Hill coefficients for pain target engagement.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100+ pain therapeutics: NSAIDs, sodium channel blockers (lidocaine, mexiletine, ranolazine), calcium channel modulators, TRPV1 antagonists, GABA agonists</w:t>
      </w:r>
    </w:p>
    <w:p>
      <w:pPr>
        <w:pStyle w:val="ListParagraph"/>
        <w:numPr>
          <w:ilvl w:val="0"/>
          <w:numId w:val="2"/>
        </w:numPr>
        <w:spacing w:after="100" w:line="360"/>
      </w:pPr>
      <w:r>
        <w:rPr>
          <w:rFonts w:ascii="Arial" w:cs="Arial" w:eastAsia="Arial" w:hAnsi="Arial"/>
          <w:sz w:val="24"/>
          <w:szCs w:val="24"/>
        </w:rPr>
        <w:t xml:space="preserve">iPSC-derived sensory nociceptor cultures with mature pain phenotype (TRPV1+, TRPA1+, P2X+, substance P+)</w:t>
      </w:r>
    </w:p>
    <w:p>
      <w:pPr>
        <w:pStyle w:val="ListParagraph"/>
        <w:numPr>
          <w:ilvl w:val="0"/>
          <w:numId w:val="2"/>
        </w:numPr>
        <w:spacing w:after="100" w:line="360"/>
      </w:pPr>
      <w:r>
        <w:rPr>
          <w:rFonts w:ascii="Arial" w:cs="Arial" w:eastAsia="Arial" w:hAnsi="Arial"/>
          <w:sz w:val="24"/>
          <w:szCs w:val="24"/>
        </w:rPr>
        <w:t xml:space="preserve">Dose-response protocols: compound concentration 0.1 nM to 100 µM in combination with fixed pain stimulus (e.g., 1 µM capsaicin)</w:t>
      </w:r>
    </w:p>
    <w:p>
      <w:pPr>
        <w:pStyle w:val="ListParagraph"/>
        <w:numPr>
          <w:ilvl w:val="0"/>
          <w:numId w:val="2"/>
        </w:numPr>
        <w:spacing w:after="100" w:line="360"/>
      </w:pPr>
      <w:r>
        <w:rPr>
          <w:rFonts w:ascii="Arial" w:cs="Arial" w:eastAsia="Arial" w:hAnsi="Arial"/>
          <w:sz w:val="24"/>
          <w:szCs w:val="24"/>
        </w:rPr>
        <w:t xml:space="preserve">Nociceptor efficacy endpoints: inhibition of capsaicin-induced calcium transient rise, suppression of action potential firing, reduction in neuropeptide release</w:t>
      </w:r>
    </w:p>
    <w:p>
      <w:pPr>
        <w:pStyle w:val="ListParagraph"/>
        <w:numPr>
          <w:ilvl w:val="0"/>
          <w:numId w:val="2"/>
        </w:numPr>
        <w:spacing w:after="100" w:line="360"/>
      </w:pPr>
      <w:r>
        <w:rPr>
          <w:rFonts w:ascii="Arial" w:cs="Arial" w:eastAsia="Arial" w:hAnsi="Arial"/>
          <w:sz w:val="24"/>
          <w:szCs w:val="24"/>
        </w:rPr>
        <w:t xml:space="preserve">Neuropeptide quantification: substance P and CGRP ELISA from nociceptor supernatants at multiple compound concentrations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Pain Drug Library: Pre-characterized 100+ analgesic and pain therapeutic compounds with known targets and mechanism of action</w:t>
      </w:r>
    </w:p>
    <w:p>
      <w:pPr>
        <w:pStyle w:val="ListParagraph"/>
        <w:numPr>
          <w:ilvl w:val="0"/>
          <w:numId w:val="2"/>
        </w:numPr>
        <w:spacing w:after="100" w:line="360"/>
      </w:pPr>
      <w:r>
        <w:rPr>
          <w:rFonts w:ascii="Arial" w:cs="Arial" w:eastAsia="Arial" w:hAnsi="Arial"/>
          <w:sz w:val="24"/>
          <w:szCs w:val="24"/>
        </w:rPr>
        <w:t xml:space="preserve">Fluo-4 Calcium Imaging: High-throughput automated measurement of nociceptor calcium responses to pain stimulus ± compound at multiple concentrations</w:t>
      </w:r>
    </w:p>
    <w:p>
      <w:pPr>
        <w:pStyle w:val="ListParagraph"/>
        <w:numPr>
          <w:ilvl w:val="0"/>
          <w:numId w:val="2"/>
        </w:numPr>
        <w:spacing w:after="100" w:line="360"/>
      </w:pPr>
      <w:r>
        <w:rPr>
          <w:rFonts w:ascii="Arial" w:cs="Arial" w:eastAsia="Arial" w:hAnsi="Arial"/>
          <w:sz w:val="24"/>
          <w:szCs w:val="24"/>
        </w:rPr>
        <w:t xml:space="preserve">ELISA Kits (R&amp;D Systems, Abcam): Quantify substance P and CGRP release from nociceptors at compound dose-response</w:t>
      </w:r>
    </w:p>
    <w:p>
      <w:pPr>
        <w:pStyle w:val="ListParagraph"/>
        <w:numPr>
          <w:ilvl w:val="0"/>
          <w:numId w:val="2"/>
        </w:numPr>
        <w:spacing w:after="100" w:line="360"/>
      </w:pPr>
      <w:r>
        <w:rPr>
          <w:rFonts w:ascii="Arial" w:cs="Arial" w:eastAsia="Arial" w:hAnsi="Arial"/>
          <w:sz w:val="24"/>
          <w:szCs w:val="24"/>
        </w:rPr>
        <w:t xml:space="preserve">Python (scipy.optimize, numpy): Fit Hill equation to dose-response curves and extract EC50, Hill coefficient, Emax for all compounds</w:t>
      </w:r>
    </w:p>
    <w:p>
      <w:pPr>
        <w:pStyle w:val="ListParagraph"/>
        <w:numPr>
          <w:ilvl w:val="0"/>
          <w:numId w:val="2"/>
        </w:numPr>
        <w:spacing w:after="100" w:line="360"/>
      </w:pPr>
      <w:r>
        <w:rPr>
          <w:rFonts w:ascii="Arial" w:cs="Arial" w:eastAsia="Arial" w:hAnsi="Arial"/>
          <w:sz w:val="24"/>
          <w:szCs w:val="24"/>
        </w:rPr>
        <w:t xml:space="preserve">Prism (GraphPad): Nonlinear regression curve fitting, IC50/EC50 estimation with 95% confidence intervals</w:t>
      </w:r>
    </w:p>
    <w:p>
      <w:pPr>
        <w:pStyle w:val="ListParagraph"/>
        <w:numPr>
          <w:ilvl w:val="0"/>
          <w:numId w:val="2"/>
        </w:numPr>
        <w:spacing w:after="100" w:line="360"/>
      </w:pPr>
      <w:r>
        <w:rPr>
          <w:rFonts w:ascii="Arial" w:cs="Arial" w:eastAsia="Arial" w:hAnsi="Arial"/>
          <w:sz w:val="24"/>
          <w:szCs w:val="24"/>
        </w:rPr>
        <w:t xml:space="preserve">R (ggplot2, tidyverse): Generate publication-quality dose-response plots and efficacy ranking visualizations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EC50 for compound-mediated inhibition of 1 µM capsaicin-induced calcium transient rise in nociceptors using Fluo-4 automated imaging"</w:t>
      </w:r>
    </w:p>
    <w:p>
      <w:pPr>
        <w:pStyle w:val="ListParagraph"/>
        <w:numPr>
          <w:ilvl w:val="0"/>
          <w:numId w:val="2"/>
        </w:numPr>
        <w:spacing w:after="100" w:line="360"/>
      </w:pPr>
      <w:r>
        <w:rPr>
          <w:rFonts w:ascii="Arial" w:cs="Arial" w:eastAsia="Arial" w:hAnsi="Arial"/>
          <w:sz w:val="24"/>
          <w:szCs w:val="24"/>
        </w:rPr>
        <w:t xml:space="preserve">"Determine compound EC50 for suppression of nociceptor action potential firing frequency in dose-response current clamp recordings"</w:t>
      </w:r>
    </w:p>
    <w:p>
      <w:pPr>
        <w:pStyle w:val="ListParagraph"/>
        <w:numPr>
          <w:ilvl w:val="0"/>
          <w:numId w:val="2"/>
        </w:numPr>
        <w:spacing w:after="100" w:line="360"/>
      </w:pPr>
      <w:r>
        <w:rPr>
          <w:rFonts w:ascii="Arial" w:cs="Arial" w:eastAsia="Arial" w:hAnsi="Arial"/>
          <w:sz w:val="24"/>
          <w:szCs w:val="24"/>
        </w:rPr>
        <w:t xml:space="preserve">"Quantify substance P and CGRP release from bradykinin-stimulated nociceptors in presence of compound at 0.1 nM to 100 µM; extract EC50 for neuropeptide inhibition"</w:t>
      </w:r>
    </w:p>
    <w:p>
      <w:pPr>
        <w:pStyle w:val="ListParagraph"/>
        <w:numPr>
          <w:ilvl w:val="0"/>
          <w:numId w:val="2"/>
        </w:numPr>
        <w:spacing w:after="100" w:line="360"/>
      </w:pPr>
      <w:r>
        <w:rPr>
          <w:rFonts w:ascii="Arial" w:cs="Arial" w:eastAsia="Arial" w:hAnsi="Arial"/>
          <w:sz w:val="24"/>
          <w:szCs w:val="24"/>
        </w:rPr>
        <w:t xml:space="preserve">"Fit Hill equation to all dose-response curves and generate summary table with EC50 ± 95% CI, Hill coefficient, Emax for all 100+ compounds"</w:t>
      </w:r>
    </w:p>
    <w:p>
      <w:pPr>
        <w:pStyle w:val="ListParagraph"/>
        <w:numPr>
          <w:ilvl w:val="0"/>
          <w:numId w:val="2"/>
        </w:numPr>
        <w:spacing w:after="100" w:line="360"/>
      </w:pPr>
      <w:r>
        <w:rPr>
          <w:rFonts w:ascii="Arial" w:cs="Arial" w:eastAsia="Arial" w:hAnsi="Arial"/>
          <w:sz w:val="24"/>
          <w:szCs w:val="24"/>
        </w:rPr>
        <w:t xml:space="preserve">"Rank compounds by nociceptor efficacy EC50 (lower EC50 = higher potency) and generate efficiency index incorporating both EC50 and Hill coefficient"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Nociceptor efficacy table: 100+ compounds with EC50 calcium inhibition, EC50 action potential suppression, EC50 neuropeptide release inhibition, all with 95% CI</w:t>
      </w:r>
    </w:p>
    <w:p>
      <w:pPr>
        <w:pStyle w:val="ListParagraph"/>
        <w:numPr>
          <w:ilvl w:val="0"/>
          <w:numId w:val="2"/>
        </w:numPr>
        <w:spacing w:after="100" w:line="360"/>
      </w:pPr>
      <w:r>
        <w:rPr>
          <w:rFonts w:ascii="Arial" w:cs="Arial" w:eastAsia="Arial" w:hAnsi="Arial"/>
          <w:sz w:val="24"/>
          <w:szCs w:val="24"/>
        </w:rPr>
        <w:t xml:space="preserve">Dose-response curve plots: capsaicin response inhibition vs compound concentration for all compounds with Hill equation fits</w:t>
      </w:r>
    </w:p>
    <w:p>
      <w:pPr>
        <w:pStyle w:val="ListParagraph"/>
        <w:numPr>
          <w:ilvl w:val="0"/>
          <w:numId w:val="2"/>
        </w:numPr>
        <w:spacing w:after="100" w:line="360"/>
      </w:pPr>
      <w:r>
        <w:rPr>
          <w:rFonts w:ascii="Arial" w:cs="Arial" w:eastAsia="Arial" w:hAnsi="Arial"/>
          <w:sz w:val="24"/>
          <w:szCs w:val="24"/>
        </w:rPr>
        <w:t xml:space="preserve">Neuropeptide release suppression curves: substance P and CGRP concentration vs compound dose showing dose-dependent inhibition</w:t>
      </w:r>
    </w:p>
    <w:p>
      <w:pPr>
        <w:pStyle w:val="ListParagraph"/>
        <w:numPr>
          <w:ilvl w:val="0"/>
          <w:numId w:val="2"/>
        </w:numPr>
        <w:spacing w:after="100" w:line="360"/>
      </w:pPr>
      <w:r>
        <w:rPr>
          <w:rFonts w:ascii="Arial" w:cs="Arial" w:eastAsia="Arial" w:hAnsi="Arial"/>
          <w:sz w:val="24"/>
          <w:szCs w:val="24"/>
        </w:rPr>
        <w:t xml:space="preserve">Efficacy ranking plot: compounds ranked by nociceptor EC50 with mechanism of action color-coded (sodium channel, TRPV1, NSAID, etc.)</w:t>
      </w:r>
    </w:p>
    <w:p>
      <w:pPr>
        <w:pStyle w:val="ListParagraph"/>
        <w:numPr>
          <w:ilvl w:val="0"/>
          <w:numId w:val="2"/>
        </w:numPr>
        <w:spacing w:after="100" w:line="360"/>
      </w:pPr>
      <w:r>
        <w:rPr>
          <w:rFonts w:ascii="Arial" w:cs="Arial" w:eastAsia="Arial" w:hAnsi="Arial"/>
          <w:sz w:val="24"/>
          <w:szCs w:val="24"/>
        </w:rPr>
        <w:t xml:space="preserve">Potency efficiency index: compound ranking incorporating EC50 and Hill coefficient to identify compounds with optimal pharmacodynamic properties</w:t>
      </w:r>
    </w:p>
    <w:p>
      <w:pPr>
        <w:pStyle w:val="ListParagraph"/>
        <w:numPr>
          <w:ilvl w:val="0"/>
          <w:numId w:val="2"/>
        </w:numPr>
        <w:spacing w:after="100" w:line="360"/>
      </w:pPr>
      <w:r>
        <w:rPr>
          <w:rFonts w:ascii="Arial" w:cs="Arial" w:eastAsia="Arial" w:hAnsi="Arial"/>
          <w:sz w:val="24"/>
          <w:szCs w:val="24"/>
        </w:rPr>
        <w:t xml:space="preserve">Filtered efficacy list: compounds with EC50 &lt;10 µM suitable for advancing to safety profiling stages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efficacy table with EC50/Hill values; PDF dose-response plots; Excel workbook with efficacy ranking and mechanism annotation</w:t>
      </w:r>
    </w:p>
    <w:p>
      <w:pPr>
        <w:pStyle w:val="Heading2"/>
      </w:pPr>
      <w:r>
        <w:rPr>
          <w:rFonts w:ascii="Arial" w:cs="Arial" w:eastAsia="Arial" w:hAnsi="Arial"/>
          <w:b/>
          <w:bCs/>
          <w:sz w:val="28"/>
          <w:szCs w:val="28"/>
        </w:rPr>
        <w:t xml:space="preserve">Stage 3: Motor Neuron Toxicity EC50 Determination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Quantify motor neuron toxicity EC50 values for all pain drugs through dose-response electrophysiology, viability assays, and metabolic measurements to establish motor system safety thresholds and calculate therapeutic indices relative to nociceptor efficacy.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100+ pain drug compounds from Stage 2 with confirmed nociceptor efficacy</w:t>
      </w:r>
    </w:p>
    <w:p>
      <w:pPr>
        <w:pStyle w:val="ListParagraph"/>
        <w:numPr>
          <w:ilvl w:val="0"/>
          <w:numId w:val="2"/>
        </w:numPr>
        <w:spacing w:after="100" w:line="360"/>
      </w:pPr>
      <w:r>
        <w:rPr>
          <w:rFonts w:ascii="Arial" w:cs="Arial" w:eastAsia="Arial" w:hAnsi="Arial"/>
          <w:sz w:val="24"/>
          <w:szCs w:val="24"/>
        </w:rPr>
        <w:t xml:space="preserve">iPSC-derived motor neuron cultures with mature phenotype (ChAT+, mature axons, spontaneous firing)</w:t>
      </w:r>
    </w:p>
    <w:p>
      <w:pPr>
        <w:pStyle w:val="ListParagraph"/>
        <w:numPr>
          <w:ilvl w:val="0"/>
          <w:numId w:val="2"/>
        </w:numPr>
        <w:spacing w:after="100" w:line="360"/>
      </w:pPr>
      <w:r>
        <w:rPr>
          <w:rFonts w:ascii="Arial" w:cs="Arial" w:eastAsia="Arial" w:hAnsi="Arial"/>
          <w:sz w:val="24"/>
          <w:szCs w:val="24"/>
        </w:rPr>
        <w:t xml:space="preserve">Multi-electrode array (MEA) recordings to measure compound-induced suppression of motor neuron network activity</w:t>
      </w:r>
    </w:p>
    <w:p>
      <w:pPr>
        <w:pStyle w:val="ListParagraph"/>
        <w:numPr>
          <w:ilvl w:val="0"/>
          <w:numId w:val="2"/>
        </w:numPr>
        <w:spacing w:after="100" w:line="360"/>
      </w:pPr>
      <w:r>
        <w:rPr>
          <w:rFonts w:ascii="Arial" w:cs="Arial" w:eastAsia="Arial" w:hAnsi="Arial"/>
          <w:sz w:val="24"/>
          <w:szCs w:val="24"/>
        </w:rPr>
        <w:t xml:space="preserve">Cell viability assays: LDH release, MTT metabolic activity, live/dead staining at dose-response range</w:t>
      </w:r>
    </w:p>
    <w:p>
      <w:pPr>
        <w:pStyle w:val="ListParagraph"/>
        <w:numPr>
          <w:ilvl w:val="0"/>
          <w:numId w:val="2"/>
        </w:numPr>
        <w:spacing w:after="100" w:line="360"/>
      </w:pPr>
      <w:r>
        <w:rPr>
          <w:rFonts w:ascii="Arial" w:cs="Arial" w:eastAsia="Arial" w:hAnsi="Arial"/>
          <w:sz w:val="24"/>
          <w:szCs w:val="24"/>
        </w:rPr>
        <w:t xml:space="preserve">Dose-response concentrations: 0.1 nM to 100 µM compound exposure with temporal measurements (15 min, 1 hr, 6 hr)</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Motor Neuron Toxicity Database: Reference EC50 values for known neurotoxic and safe compounds</w:t>
      </w:r>
    </w:p>
    <w:p>
      <w:pPr>
        <w:pStyle w:val="ListParagraph"/>
        <w:numPr>
          <w:ilvl w:val="0"/>
          <w:numId w:val="2"/>
        </w:numPr>
        <w:spacing w:after="100" w:line="360"/>
      </w:pPr>
      <w:r>
        <w:rPr>
          <w:rFonts w:ascii="Arial" w:cs="Arial" w:eastAsia="Arial" w:hAnsi="Arial"/>
          <w:sz w:val="24"/>
          <w:szCs w:val="24"/>
        </w:rPr>
        <w:t xml:space="preserve">MultiChannel Systems MEA Analysis: Extract network firing rate suppression, burst pattern collapse, synchronicity loss at compound dose-response</w:t>
      </w:r>
    </w:p>
    <w:p>
      <w:pPr>
        <w:pStyle w:val="ListParagraph"/>
        <w:numPr>
          <w:ilvl w:val="0"/>
          <w:numId w:val="2"/>
        </w:numPr>
        <w:spacing w:after="100" w:line="360"/>
      </w:pPr>
      <w:r>
        <w:rPr>
          <w:rFonts w:ascii="Arial" w:cs="Arial" w:eastAsia="Arial" w:hAnsi="Arial"/>
          <w:sz w:val="24"/>
          <w:szCs w:val="24"/>
        </w:rPr>
        <w:t xml:space="preserve">Prism (GraphPad): Dose-response curve fitting for LDH release and MTT assays to extract toxicity EC50</w:t>
      </w:r>
    </w:p>
    <w:p>
      <w:pPr>
        <w:pStyle w:val="ListParagraph"/>
        <w:numPr>
          <w:ilvl w:val="0"/>
          <w:numId w:val="2"/>
        </w:numPr>
        <w:spacing w:after="100" w:line="360"/>
      </w:pPr>
      <w:r>
        <w:rPr>
          <w:rFonts w:ascii="Arial" w:cs="Arial" w:eastAsia="Arial" w:hAnsi="Arial"/>
          <w:sz w:val="24"/>
          <w:szCs w:val="24"/>
        </w:rPr>
        <w:t xml:space="preserve">Python (scipy, numpy): Multi-parameter toxicity scoring combining MEA activity loss, viability loss, and metabolic dysfunction</w:t>
      </w:r>
    </w:p>
    <w:p>
      <w:pPr>
        <w:pStyle w:val="ListParagraph"/>
        <w:numPr>
          <w:ilvl w:val="0"/>
          <w:numId w:val="2"/>
        </w:numPr>
        <w:spacing w:after="100" w:line="360"/>
      </w:pPr>
      <w:r>
        <w:rPr>
          <w:rFonts w:ascii="Arial" w:cs="Arial" w:eastAsia="Arial" w:hAnsi="Arial"/>
          <w:sz w:val="24"/>
          <w:szCs w:val="24"/>
        </w:rPr>
        <w:t xml:space="preserve">R (lme4): Mixed-effects regression modeling toxicity EC50 controlling for cell batch and donor effects</w:t>
      </w:r>
    </w:p>
    <w:p>
      <w:pPr>
        <w:pStyle w:val="ListParagraph"/>
        <w:numPr>
          <w:ilvl w:val="0"/>
          <w:numId w:val="2"/>
        </w:numPr>
        <w:spacing w:after="100" w:line="360"/>
      </w:pPr>
      <w:r>
        <w:rPr>
          <w:rFonts w:ascii="Arial" w:cs="Arial" w:eastAsia="Arial" w:hAnsi="Arial"/>
          <w:sz w:val="24"/>
          <w:szCs w:val="24"/>
        </w:rPr>
        <w:t xml:space="preserve">KNIME: Automated workflow for calculating motor neuron EC50 toxicity from multi-modal data (MEA, viability, metabolic)</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motor neuron network spontaneous firing rate (Hz) and action potential amplitude across 0.1 nM to 100 µM compound dose-response"</w:t>
      </w:r>
    </w:p>
    <w:p>
      <w:pPr>
        <w:pStyle w:val="ListParagraph"/>
        <w:numPr>
          <w:ilvl w:val="0"/>
          <w:numId w:val="2"/>
        </w:numPr>
        <w:spacing w:after="100" w:line="360"/>
      </w:pPr>
      <w:r>
        <w:rPr>
          <w:rFonts w:ascii="Arial" w:cs="Arial" w:eastAsia="Arial" w:hAnsi="Arial"/>
          <w:sz w:val="24"/>
          <w:szCs w:val="24"/>
        </w:rPr>
        <w:t xml:space="preserve">"Determine EC50 for compound-induced suppression of motor neuron firing frequency (50% reduction from baseline) using MEA recordings"</w:t>
      </w:r>
    </w:p>
    <w:p>
      <w:pPr>
        <w:pStyle w:val="ListParagraph"/>
        <w:numPr>
          <w:ilvl w:val="0"/>
          <w:numId w:val="2"/>
        </w:numPr>
        <w:spacing w:after="100" w:line="360"/>
      </w:pPr>
      <w:r>
        <w:rPr>
          <w:rFonts w:ascii="Arial" w:cs="Arial" w:eastAsia="Arial" w:hAnsi="Arial"/>
          <w:sz w:val="24"/>
          <w:szCs w:val="24"/>
        </w:rPr>
        <w:t xml:space="preserve">"Measure LDH release as % of positive control and MTT viability across dose-response; fit curves to extract EC50 for cell toxicity"</w:t>
      </w:r>
    </w:p>
    <w:p>
      <w:pPr>
        <w:pStyle w:val="ListParagraph"/>
        <w:numPr>
          <w:ilvl w:val="0"/>
          <w:numId w:val="2"/>
        </w:numPr>
        <w:spacing w:after="100" w:line="360"/>
      </w:pPr>
      <w:r>
        <w:rPr>
          <w:rFonts w:ascii="Arial" w:cs="Arial" w:eastAsia="Arial" w:hAnsi="Arial"/>
          <w:sz w:val="24"/>
          <w:szCs w:val="24"/>
        </w:rPr>
        <w:t xml:space="preserve">"Calculate integrated motor neuron toxicity score combining normalized MEA silencing EC50, cell lysis EC50, and metabolic dysfunction EC50"</w:t>
      </w:r>
    </w:p>
    <w:p>
      <w:pPr>
        <w:pStyle w:val="ListParagraph"/>
        <w:numPr>
          <w:ilvl w:val="0"/>
          <w:numId w:val="2"/>
        </w:numPr>
        <w:spacing w:after="100" w:line="360"/>
      </w:pPr>
      <w:r>
        <w:rPr>
          <w:rFonts w:ascii="Arial" w:cs="Arial" w:eastAsia="Arial" w:hAnsi="Arial"/>
          <w:sz w:val="24"/>
          <w:szCs w:val="24"/>
        </w:rPr>
        <w:t xml:space="preserve">"Rank 100+ compounds by motor neuron EC50 toxicity from highest (safest) to lowest (most toxic) to establish motor safety profile"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Motor neuron toxicity table: 100+ compounds with EC50 for MEA silencing, LDH release, and MTT loss with 95% CI</w:t>
      </w:r>
    </w:p>
    <w:p>
      <w:pPr>
        <w:pStyle w:val="ListParagraph"/>
        <w:numPr>
          <w:ilvl w:val="0"/>
          <w:numId w:val="2"/>
        </w:numPr>
        <w:spacing w:after="100" w:line="360"/>
      </w:pPr>
      <w:r>
        <w:rPr>
          <w:rFonts w:ascii="Arial" w:cs="Arial" w:eastAsia="Arial" w:hAnsi="Arial"/>
          <w:sz w:val="24"/>
          <w:szCs w:val="24"/>
        </w:rPr>
        <w:t xml:space="preserve">Dose-response toxicity curves: firing rate suppression vs compound concentration for representative top 20 compounds</w:t>
      </w:r>
    </w:p>
    <w:p>
      <w:pPr>
        <w:pStyle w:val="ListParagraph"/>
        <w:numPr>
          <w:ilvl w:val="0"/>
          <w:numId w:val="2"/>
        </w:numPr>
        <w:spacing w:after="100" w:line="360"/>
      </w:pPr>
      <w:r>
        <w:rPr>
          <w:rFonts w:ascii="Arial" w:cs="Arial" w:eastAsia="Arial" w:hAnsi="Arial"/>
          <w:sz w:val="24"/>
          <w:szCs w:val="24"/>
        </w:rPr>
        <w:t xml:space="preserve">Motor neuron viability curves: LDH release and MTT metabolic loss vs compound dose with fitted Hill equations</w:t>
      </w:r>
    </w:p>
    <w:p>
      <w:pPr>
        <w:pStyle w:val="ListParagraph"/>
        <w:numPr>
          <w:ilvl w:val="0"/>
          <w:numId w:val="2"/>
        </w:numPr>
        <w:spacing w:after="100" w:line="360"/>
      </w:pPr>
      <w:r>
        <w:rPr>
          <w:rFonts w:ascii="Arial" w:cs="Arial" w:eastAsia="Arial" w:hAnsi="Arial"/>
          <w:sz w:val="24"/>
          <w:szCs w:val="24"/>
        </w:rPr>
        <w:t xml:space="preserve">MEA network activity traces: representative raster plots showing dose-dependent suppression of motor neuron network firing</w:t>
      </w:r>
    </w:p>
    <w:p>
      <w:pPr>
        <w:pStyle w:val="ListParagraph"/>
        <w:numPr>
          <w:ilvl w:val="0"/>
          <w:numId w:val="2"/>
        </w:numPr>
        <w:spacing w:after="100" w:line="360"/>
      </w:pPr>
      <w:r>
        <w:rPr>
          <w:rFonts w:ascii="Arial" w:cs="Arial" w:eastAsia="Arial" w:hAnsi="Arial"/>
          <w:sz w:val="24"/>
          <w:szCs w:val="24"/>
        </w:rPr>
        <w:t xml:space="preserve">Integrated toxicity score ranking: compounds ranked by combined motor toxicity EC50 with safety categorization (high/moderate/low toxicity risk)</w:t>
      </w:r>
    </w:p>
    <w:p>
      <w:pPr>
        <w:pStyle w:val="ListParagraph"/>
        <w:numPr>
          <w:ilvl w:val="0"/>
          <w:numId w:val="2"/>
        </w:numPr>
        <w:spacing w:after="100" w:line="360"/>
      </w:pPr>
      <w:r>
        <w:rPr>
          <w:rFonts w:ascii="Arial" w:cs="Arial" w:eastAsia="Arial" w:hAnsi="Arial"/>
          <w:sz w:val="24"/>
          <w:szCs w:val="24"/>
        </w:rPr>
        <w:t xml:space="preserve">Preliminary therapeutic index estimates: nociceptor efficacy EC50 / motor neuron toxicity EC50 for all 100+ compounds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workbook with motor toxicity EC50 table; PDF toxicity dose-response plots; CSV ranking with integrated toxicity scores</w:t>
      </w:r>
    </w:p>
    <w:p>
      <w:pPr>
        <w:pStyle w:val="Heading2"/>
      </w:pPr>
      <w:r>
        <w:rPr>
          <w:rFonts w:ascii="Arial" w:cs="Arial" w:eastAsia="Arial" w:hAnsi="Arial"/>
          <w:b/>
          <w:bCs/>
          <w:sz w:val="28"/>
          <w:szCs w:val="28"/>
        </w:rPr>
        <w:t xml:space="preserve">Stage 4: Cardiac Electrophysiology Safety Profiling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cardiac arrhythmia and QT prolongation liability for all pain drugs through hERG and cardiac ion channel profiling plus iPSC cardiomyocyte action potential analysis to identify compounds with unacceptable cardiac risk.</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100+ pain drugs with confirmed motor neuron toxicity profiles from Stage 3</w:t>
      </w:r>
    </w:p>
    <w:p>
      <w:pPr>
        <w:pStyle w:val="ListParagraph"/>
        <w:numPr>
          <w:ilvl w:val="0"/>
          <w:numId w:val="2"/>
        </w:numPr>
        <w:spacing w:after="100" w:line="360"/>
      </w:pPr>
      <w:r>
        <w:rPr>
          <w:rFonts w:ascii="Arial" w:cs="Arial" w:eastAsia="Arial" w:hAnsi="Arial"/>
          <w:sz w:val="24"/>
          <w:szCs w:val="24"/>
        </w:rPr>
        <w:t xml:space="preserve">HEK293 cells stably expressing hERG (Kv11.1), Kv7.1, Kv4.3, Cav1.2, Nav1.5 for channel-specific IC50 determination</w:t>
      </w:r>
    </w:p>
    <w:p>
      <w:pPr>
        <w:pStyle w:val="ListParagraph"/>
        <w:numPr>
          <w:ilvl w:val="0"/>
          <w:numId w:val="2"/>
        </w:numPr>
        <w:spacing w:after="100" w:line="360"/>
      </w:pPr>
      <w:r>
        <w:rPr>
          <w:rFonts w:ascii="Arial" w:cs="Arial" w:eastAsia="Arial" w:hAnsi="Arial"/>
          <w:sz w:val="24"/>
          <w:szCs w:val="24"/>
        </w:rPr>
        <w:t xml:space="preserve">iPSC-derived cardiac myocyte cultures for action potential and calcium transient measurements</w:t>
      </w:r>
    </w:p>
    <w:p>
      <w:pPr>
        <w:pStyle w:val="ListParagraph"/>
        <w:numPr>
          <w:ilvl w:val="0"/>
          <w:numId w:val="2"/>
        </w:numPr>
        <w:spacing w:after="100" w:line="360"/>
      </w:pPr>
      <w:r>
        <w:rPr>
          <w:rFonts w:ascii="Arial" w:cs="Arial" w:eastAsia="Arial" w:hAnsi="Arial"/>
          <w:sz w:val="24"/>
          <w:szCs w:val="24"/>
        </w:rPr>
        <w:t xml:space="preserve">Dose-response voltage clamp recordings at standardized holding potentials to assess state-dependent effects</w:t>
      </w:r>
    </w:p>
    <w:p>
      <w:pPr>
        <w:pStyle w:val="ListParagraph"/>
        <w:numPr>
          <w:ilvl w:val="0"/>
          <w:numId w:val="2"/>
        </w:numPr>
        <w:spacing w:after="100" w:line="360"/>
      </w:pPr>
      <w:r>
        <w:rPr>
          <w:rFonts w:ascii="Arial" w:cs="Arial" w:eastAsia="Arial" w:hAnsi="Arial"/>
          <w:sz w:val="24"/>
          <w:szCs w:val="24"/>
        </w:rPr>
        <w:t xml:space="preserve">Field pacing cardiomyocyte recordings at 0.5, 1, and 2 Hz to evaluate APD prolongation and afterdepolarization propensity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Cardiac Ion Channel Panel: Pre-recorded hERG, Kv7.1, Kv4.3, Cav1.2 dose-response for reference compounds</w:t>
      </w:r>
    </w:p>
    <w:p>
      <w:pPr>
        <w:pStyle w:val="ListParagraph"/>
        <w:numPr>
          <w:ilvl w:val="0"/>
          <w:numId w:val="2"/>
        </w:numPr>
        <w:spacing w:after="100" w:line="360"/>
      </w:pPr>
      <w:r>
        <w:rPr>
          <w:rFonts w:ascii="Arial" w:cs="Arial" w:eastAsia="Arial" w:hAnsi="Arial"/>
          <w:sz w:val="24"/>
          <w:szCs w:val="24"/>
        </w:rPr>
        <w:t xml:space="preserve">CiPA Database: Comprehensive in vitro proarrhythmia assessment data including hERG/Cav1.2 block ratios and proarrhythmia risk predictions</w:t>
      </w:r>
    </w:p>
    <w:p>
      <w:pPr>
        <w:pStyle w:val="ListParagraph"/>
        <w:numPr>
          <w:ilvl w:val="0"/>
          <w:numId w:val="2"/>
        </w:numPr>
        <w:spacing w:after="100" w:line="360"/>
      </w:pPr>
      <w:r>
        <w:rPr>
          <w:rFonts w:ascii="Arial" w:cs="Arial" w:eastAsia="Arial" w:hAnsi="Arial"/>
          <w:sz w:val="24"/>
          <w:szCs w:val="24"/>
        </w:rPr>
        <w:t xml:space="preserve">Igor Pro: Extract APD50, APD90, early afterdepolarization (EAD) detection from cardiomyocyte action potentials</w:t>
      </w:r>
    </w:p>
    <w:p>
      <w:pPr>
        <w:pStyle w:val="ListParagraph"/>
        <w:numPr>
          <w:ilvl w:val="0"/>
          <w:numId w:val="2"/>
        </w:numPr>
        <w:spacing w:after="100" w:line="360"/>
      </w:pPr>
      <w:r>
        <w:rPr>
          <w:rFonts w:ascii="Arial" w:cs="Arial" w:eastAsia="Arial" w:hAnsi="Arial"/>
          <w:sz w:val="24"/>
          <w:szCs w:val="24"/>
        </w:rPr>
        <w:t xml:space="preserve">R (cardiac EP analysis functions): Calculate QTcF-corrected QT interval, proarrhythmia risk score incorporating hERG/Cav1.2 ratio</w:t>
      </w:r>
    </w:p>
    <w:p>
      <w:pPr>
        <w:pStyle w:val="ListParagraph"/>
        <w:numPr>
          <w:ilvl w:val="0"/>
          <w:numId w:val="2"/>
        </w:numPr>
        <w:spacing w:after="100" w:line="360"/>
      </w:pPr>
      <w:r>
        <w:rPr>
          <w:rFonts w:ascii="Arial" w:cs="Arial" w:eastAsia="Arial" w:hAnsi="Arial"/>
          <w:sz w:val="24"/>
          <w:szCs w:val="24"/>
        </w:rPr>
        <w:t xml:space="preserve">KNIME (cardiac safety module): Automated cardiac risk classification (low/intermediate/high) based on IC50, APD, and CiPA algorithm</w:t>
      </w:r>
    </w:p>
    <w:p>
      <w:pPr>
        <w:pStyle w:val="ListParagraph"/>
        <w:numPr>
          <w:ilvl w:val="0"/>
          <w:numId w:val="2"/>
        </w:numPr>
        <w:spacing w:after="100" w:line="360"/>
      </w:pPr>
      <w:r>
        <w:rPr>
          <w:rFonts w:ascii="Arial" w:cs="Arial" w:eastAsia="Arial" w:hAnsi="Arial"/>
          <w:sz w:val="24"/>
          <w:szCs w:val="24"/>
        </w:rPr>
        <w:t xml:space="preserve">DrugBank: Cross-reference known cardiac liabilities and rhythm disorders for compounds with prior clinical use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hERG (Kv11.1), Kv7.1, Kv4.3, and Cav1.2 IC50 values for each pain drug using voltage clamp in HEK293 expression systems"</w:t>
      </w:r>
    </w:p>
    <w:p>
      <w:pPr>
        <w:pStyle w:val="ListParagraph"/>
        <w:numPr>
          <w:ilvl w:val="0"/>
          <w:numId w:val="2"/>
        </w:numPr>
        <w:spacing w:after="100" w:line="360"/>
      </w:pPr>
      <w:r>
        <w:rPr>
          <w:rFonts w:ascii="Arial" w:cs="Arial" w:eastAsia="Arial" w:hAnsi="Arial"/>
          <w:sz w:val="24"/>
          <w:szCs w:val="24"/>
        </w:rPr>
        <w:t xml:space="preserve">"Record cardiomyocyte action potentials at baseline and 1×, 3×, 10× therapeutic compound concentration; calculate APD50 and APD90 prolongation percentage"</w:t>
      </w:r>
    </w:p>
    <w:p>
      <w:pPr>
        <w:pStyle w:val="ListParagraph"/>
        <w:numPr>
          <w:ilvl w:val="0"/>
          <w:numId w:val="2"/>
        </w:numPr>
        <w:spacing w:after="100" w:line="360"/>
      </w:pPr>
      <w:r>
        <w:rPr>
          <w:rFonts w:ascii="Arial" w:cs="Arial" w:eastAsia="Arial" w:hAnsi="Arial"/>
          <w:sz w:val="24"/>
          <w:szCs w:val="24"/>
        </w:rPr>
        <w:t xml:space="preserve">"Calculate hERG IC50 / Cav1.2 IC50 ratio and apply CiPA database algorithm to predict proarrhythmia risk category"</w:t>
      </w:r>
    </w:p>
    <w:p>
      <w:pPr>
        <w:pStyle w:val="ListParagraph"/>
        <w:numPr>
          <w:ilvl w:val="0"/>
          <w:numId w:val="2"/>
        </w:numPr>
        <w:spacing w:after="100" w:line="360"/>
      </w:pPr>
      <w:r>
        <w:rPr>
          <w:rFonts w:ascii="Arial" w:cs="Arial" w:eastAsia="Arial" w:hAnsi="Arial"/>
          <w:sz w:val="24"/>
          <w:szCs w:val="24"/>
        </w:rPr>
        <w:t xml:space="preserve">"Detect early afterdepolarizations (EADs) and delayed afterdepolarizations (DADs) in cardiomyocytes at high compound concentrations"</w:t>
      </w:r>
    </w:p>
    <w:p>
      <w:pPr>
        <w:pStyle w:val="ListParagraph"/>
        <w:numPr>
          <w:ilvl w:val="0"/>
          <w:numId w:val="2"/>
        </w:numPr>
        <w:spacing w:after="100" w:line="360"/>
      </w:pPr>
      <w:r>
        <w:rPr>
          <w:rFonts w:ascii="Arial" w:cs="Arial" w:eastAsia="Arial" w:hAnsi="Arial"/>
          <w:sz w:val="24"/>
          <w:szCs w:val="24"/>
        </w:rPr>
        <w:t xml:space="preserve">"Rank 100+ compounds by cardiac safety profile: exclude compounds with hERG IC50 &lt;10 µM or CiPA high/intermediate risk designation"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Cardiac ion channel IC50 matrix: hERG, Kv7.1, Kv4.3, Cav1.2, Nav1.5 IC50 values for all 100+ compounds with known drug comparators</w:t>
      </w:r>
    </w:p>
    <w:p>
      <w:pPr>
        <w:pStyle w:val="ListParagraph"/>
        <w:numPr>
          <w:ilvl w:val="0"/>
          <w:numId w:val="2"/>
        </w:numPr>
        <w:spacing w:after="100" w:line="360"/>
      </w:pPr>
      <w:r>
        <w:rPr>
          <w:rFonts w:ascii="Arial" w:cs="Arial" w:eastAsia="Arial" w:hAnsi="Arial"/>
          <w:sz w:val="24"/>
          <w:szCs w:val="24"/>
        </w:rPr>
        <w:t xml:space="preserve">APD prolongation curves: APD50 and APD90 vs compound concentration for representative compounds spanning safety spectrum</w:t>
      </w:r>
    </w:p>
    <w:p>
      <w:pPr>
        <w:pStyle w:val="ListParagraph"/>
        <w:numPr>
          <w:ilvl w:val="0"/>
          <w:numId w:val="2"/>
        </w:numPr>
        <w:spacing w:after="100" w:line="360"/>
      </w:pPr>
      <w:r>
        <w:rPr>
          <w:rFonts w:ascii="Arial" w:cs="Arial" w:eastAsia="Arial" w:hAnsi="Arial"/>
          <w:sz w:val="24"/>
          <w:szCs w:val="24"/>
        </w:rPr>
        <w:t xml:space="preserve">CiPA proarrhythmia risk assessment: categorical risk designation (low/intermediate/high) for all 100+ compounds with supporting data</w:t>
      </w:r>
    </w:p>
    <w:p>
      <w:pPr>
        <w:pStyle w:val="ListParagraph"/>
        <w:numPr>
          <w:ilvl w:val="0"/>
          <w:numId w:val="2"/>
        </w:numPr>
        <w:spacing w:after="100" w:line="360"/>
      </w:pPr>
      <w:r>
        <w:rPr>
          <w:rFonts w:ascii="Arial" w:cs="Arial" w:eastAsia="Arial" w:hAnsi="Arial"/>
          <w:sz w:val="24"/>
          <w:szCs w:val="24"/>
        </w:rPr>
        <w:t xml:space="preserve">Afterdepolarization analysis: EAD/DAD detection data for high-concentration compound exposures showing arrhythmia propensity</w:t>
      </w:r>
    </w:p>
    <w:p>
      <w:pPr>
        <w:pStyle w:val="ListParagraph"/>
        <w:numPr>
          <w:ilvl w:val="0"/>
          <w:numId w:val="2"/>
        </w:numPr>
        <w:spacing w:after="100" w:line="360"/>
      </w:pPr>
      <w:r>
        <w:rPr>
          <w:rFonts w:ascii="Arial" w:cs="Arial" w:eastAsia="Arial" w:hAnsi="Arial"/>
          <w:sz w:val="24"/>
          <w:szCs w:val="24"/>
        </w:rPr>
        <w:t xml:space="preserve">Filtered cardiac-safe compound list: 40-60 compounds with hERG IC50 &gt;10 µM and CiPA low-risk designation</w:t>
      </w:r>
    </w:p>
    <w:p>
      <w:pPr>
        <w:pStyle w:val="ListParagraph"/>
        <w:numPr>
          <w:ilvl w:val="0"/>
          <w:numId w:val="2"/>
        </w:numPr>
        <w:spacing w:after="100" w:line="360"/>
      </w:pPr>
      <w:r>
        <w:rPr>
          <w:rFonts w:ascii="Arial" w:cs="Arial" w:eastAsia="Arial" w:hAnsi="Arial"/>
          <w:sz w:val="24"/>
          <w:szCs w:val="24"/>
        </w:rPr>
        <w:t xml:space="preserve">Cardiac exclusion report: compounds removed from further evaluation due to unacceptable hERG block, APD prolongation, or high CiPA risk</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workbook with cardiac IC50 and risk classification; PDF APD curves and CiPA assessment report; CSV filtered compound list</w:t>
      </w:r>
    </w:p>
    <w:p>
      <w:pPr>
        <w:pStyle w:val="Heading2"/>
      </w:pPr>
      <w:r>
        <w:rPr>
          <w:rFonts w:ascii="Arial" w:cs="Arial" w:eastAsia="Arial" w:hAnsi="Arial"/>
          <w:b/>
          <w:bCs/>
          <w:sz w:val="28"/>
          <w:szCs w:val="28"/>
        </w:rPr>
        <w:t xml:space="preserve">Stage 5: Respiratory and Hepatic Toxicity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respiratory depression and hepatic metabolic liability for cardiac-safe compounds through ciliary beat frequency measurements and hepatocyte metabolic profiling to identify comprehensive safety liabilities before final therapeutic index calculations.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40-60 cardiac-safe compounds from Stage 4 with confirmed hERG IC50 and low CiPA risk</w:t>
      </w:r>
    </w:p>
    <w:p>
      <w:pPr>
        <w:pStyle w:val="ListParagraph"/>
        <w:numPr>
          <w:ilvl w:val="0"/>
          <w:numId w:val="2"/>
        </w:numPr>
        <w:spacing w:after="100" w:line="360"/>
      </w:pPr>
      <w:r>
        <w:rPr>
          <w:rFonts w:ascii="Arial" w:cs="Arial" w:eastAsia="Arial" w:hAnsi="Arial"/>
          <w:sz w:val="24"/>
          <w:szCs w:val="24"/>
        </w:rPr>
        <w:t xml:space="preserve">Human respiratory epithelial cell cultures with ciliated phenotype (FoxJ1+, 9+2 microtubule axoneme structure)</w:t>
      </w:r>
    </w:p>
    <w:p>
      <w:pPr>
        <w:pStyle w:val="ListParagraph"/>
        <w:numPr>
          <w:ilvl w:val="0"/>
          <w:numId w:val="2"/>
        </w:numPr>
        <w:spacing w:after="100" w:line="360"/>
      </w:pPr>
      <w:r>
        <w:rPr>
          <w:rFonts w:ascii="Arial" w:cs="Arial" w:eastAsia="Arial" w:hAnsi="Arial"/>
          <w:sz w:val="24"/>
          <w:szCs w:val="24"/>
        </w:rPr>
        <w:t xml:space="preserve">Human primary hepatocytes or iPSC-derived hepatocyte-like cells with functional CYP450 enzyme activity</w:t>
      </w:r>
    </w:p>
    <w:p>
      <w:pPr>
        <w:pStyle w:val="ListParagraph"/>
        <w:numPr>
          <w:ilvl w:val="0"/>
          <w:numId w:val="2"/>
        </w:numPr>
        <w:spacing w:after="100" w:line="360"/>
      </w:pPr>
      <w:r>
        <w:rPr>
          <w:rFonts w:ascii="Arial" w:cs="Arial" w:eastAsia="Arial" w:hAnsi="Arial"/>
          <w:sz w:val="24"/>
          <w:szCs w:val="24"/>
        </w:rPr>
        <w:t xml:space="preserve">Ciliary beat frequency (CBF) measurements across 0.1 nM to 100 µM compound dose-response using high-speed video microscopy</w:t>
      </w:r>
    </w:p>
    <w:p>
      <w:pPr>
        <w:pStyle w:val="ListParagraph"/>
        <w:numPr>
          <w:ilvl w:val="0"/>
          <w:numId w:val="2"/>
        </w:numPr>
        <w:spacing w:after="100" w:line="360"/>
      </w:pPr>
      <w:r>
        <w:rPr>
          <w:rFonts w:ascii="Arial" w:cs="Arial" w:eastAsia="Arial" w:hAnsi="Arial"/>
          <w:sz w:val="24"/>
          <w:szCs w:val="24"/>
        </w:rPr>
        <w:t xml:space="preserve">Hepatocyte metabolic assays: oxygen consumption rate (OCR), ATP synthesis, lactate production, and CYP450 induction across doses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Respiratory Epithelial Toxicity Database: Reference ciliary beat frequency suppression data for known respiratory depressants</w:t>
      </w:r>
    </w:p>
    <w:p>
      <w:pPr>
        <w:pStyle w:val="ListParagraph"/>
        <w:numPr>
          <w:ilvl w:val="0"/>
          <w:numId w:val="2"/>
        </w:numPr>
        <w:spacing w:after="100" w:line="360"/>
      </w:pPr>
      <w:r>
        <w:rPr>
          <w:rFonts w:ascii="Arial" w:cs="Arial" w:eastAsia="Arial" w:hAnsi="Arial"/>
          <w:sz w:val="24"/>
          <w:szCs w:val="24"/>
        </w:rPr>
        <w:t xml:space="preserve">High-Speed Video Microscopy Analysis Software: Quantify ciliary beat frequency in Hz from video frame analysis</w:t>
      </w:r>
    </w:p>
    <w:p>
      <w:pPr>
        <w:pStyle w:val="ListParagraph"/>
        <w:numPr>
          <w:ilvl w:val="0"/>
          <w:numId w:val="2"/>
        </w:numPr>
        <w:spacing w:after="100" w:line="360"/>
      </w:pPr>
      <w:r>
        <w:rPr>
          <w:rFonts w:ascii="Arial" w:cs="Arial" w:eastAsia="Arial" w:hAnsi="Arial"/>
          <w:sz w:val="24"/>
          <w:szCs w:val="24"/>
        </w:rPr>
        <w:t xml:space="preserve">Seahorse XF Analyzer (Agilent): Measure oxygen consumption rate (OCR), ATP synthesis, and extracellular acidification rate (ECAR) in hepatocytes</w:t>
      </w:r>
    </w:p>
    <w:p>
      <w:pPr>
        <w:pStyle w:val="ListParagraph"/>
        <w:numPr>
          <w:ilvl w:val="0"/>
          <w:numId w:val="2"/>
        </w:numPr>
        <w:spacing w:after="100" w:line="360"/>
      </w:pPr>
      <w:r>
        <w:rPr>
          <w:rFonts w:ascii="Arial" w:cs="Arial" w:eastAsia="Arial" w:hAnsi="Arial"/>
          <w:sz w:val="24"/>
          <w:szCs w:val="24"/>
        </w:rPr>
        <w:t xml:space="preserve">Python (dose-response curve fitting): Fit Hill equation to CBF suppression and metabolic dysfunction data to extract toxicity EC50</w:t>
      </w:r>
    </w:p>
    <w:p>
      <w:pPr>
        <w:pStyle w:val="ListParagraph"/>
        <w:numPr>
          <w:ilvl w:val="0"/>
          <w:numId w:val="2"/>
        </w:numPr>
        <w:spacing w:after="100" w:line="360"/>
      </w:pPr>
      <w:r>
        <w:rPr>
          <w:rFonts w:ascii="Arial" w:cs="Arial" w:eastAsia="Arial" w:hAnsi="Arial"/>
          <w:sz w:val="24"/>
          <w:szCs w:val="24"/>
        </w:rPr>
        <w:t xml:space="preserve">R (multi-parameter safety indexing): Construct weighted respiratory + hepatic toxicity score factoring in clinical significance</w:t>
      </w:r>
    </w:p>
    <w:p>
      <w:pPr>
        <w:pStyle w:val="ListParagraph"/>
        <w:numPr>
          <w:ilvl w:val="0"/>
          <w:numId w:val="2"/>
        </w:numPr>
        <w:spacing w:after="100" w:line="360"/>
      </w:pPr>
      <w:r>
        <w:rPr>
          <w:rFonts w:ascii="Arial" w:cs="Arial" w:eastAsia="Arial" w:hAnsi="Arial"/>
          <w:sz w:val="24"/>
          <w:szCs w:val="24"/>
        </w:rPr>
        <w:t xml:space="preserve">KNIME (multi-system integration module): Combine motor, cardiac, respiratory, and hepatic EC50 data into integrated safety profile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respiratory epithelial ciliary beat frequency (Hz) at baseline and across 0.1 nM to 100 µM compound dose-response using high-speed video analysis"</w:t>
      </w:r>
    </w:p>
    <w:p>
      <w:pPr>
        <w:pStyle w:val="ListParagraph"/>
        <w:numPr>
          <w:ilvl w:val="0"/>
          <w:numId w:val="2"/>
        </w:numPr>
        <w:spacing w:after="100" w:line="360"/>
      </w:pPr>
      <w:r>
        <w:rPr>
          <w:rFonts w:ascii="Arial" w:cs="Arial" w:eastAsia="Arial" w:hAnsi="Arial"/>
          <w:sz w:val="24"/>
          <w:szCs w:val="24"/>
        </w:rPr>
        <w:t xml:space="preserve">"Determine EC50 for compound-induced suppression of CBF (50% reduction from baseline) and classify compounds as respiratory depressant risk (high/moderate/low)"</w:t>
      </w:r>
    </w:p>
    <w:p>
      <w:pPr>
        <w:pStyle w:val="ListParagraph"/>
        <w:numPr>
          <w:ilvl w:val="0"/>
          <w:numId w:val="2"/>
        </w:numPr>
        <w:spacing w:after="100" w:line="360"/>
      </w:pPr>
      <w:r>
        <w:rPr>
          <w:rFonts w:ascii="Arial" w:cs="Arial" w:eastAsia="Arial" w:hAnsi="Arial"/>
          <w:sz w:val="24"/>
          <w:szCs w:val="24"/>
        </w:rPr>
        <w:t xml:space="preserve">"Measure hepatocyte oxygen consumption rate (OCR) and ATP synthesis across compound dose-response; calculate EC50 for metabolic dysfunction"</w:t>
      </w:r>
    </w:p>
    <w:p>
      <w:pPr>
        <w:pStyle w:val="ListParagraph"/>
        <w:numPr>
          <w:ilvl w:val="0"/>
          <w:numId w:val="2"/>
        </w:numPr>
        <w:spacing w:after="100" w:line="360"/>
      </w:pPr>
      <w:r>
        <w:rPr>
          <w:rFonts w:ascii="Arial" w:cs="Arial" w:eastAsia="Arial" w:hAnsi="Arial"/>
          <w:sz w:val="24"/>
          <w:szCs w:val="24"/>
        </w:rPr>
        <w:t xml:space="preserve">"Assess CYP450 induction (CYP3A4, CYP2D6, CYP2C9) in hepatocytes at therapeutic compound concentrations for drug-drug interaction liability"</w:t>
      </w:r>
    </w:p>
    <w:p>
      <w:pPr>
        <w:pStyle w:val="ListParagraph"/>
        <w:numPr>
          <w:ilvl w:val="0"/>
          <w:numId w:val="2"/>
        </w:numPr>
        <w:spacing w:after="100" w:line="360"/>
      </w:pPr>
      <w:r>
        <w:rPr>
          <w:rFonts w:ascii="Arial" w:cs="Arial" w:eastAsia="Arial" w:hAnsi="Arial"/>
          <w:sz w:val="24"/>
          <w:szCs w:val="24"/>
        </w:rPr>
        <w:t xml:space="preserve">"Integrate respiratory and hepatic EC50 data with motor and cardiac EC50 from previous stages to rank compounds by multi-system safety margin"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Respiratory toxicity table: CBF suppression EC50 for 40-60 compounds with respiratory depression risk classification</w:t>
      </w:r>
    </w:p>
    <w:p>
      <w:pPr>
        <w:pStyle w:val="ListParagraph"/>
        <w:numPr>
          <w:ilvl w:val="0"/>
          <w:numId w:val="2"/>
        </w:numPr>
        <w:spacing w:after="100" w:line="360"/>
      </w:pPr>
      <w:r>
        <w:rPr>
          <w:rFonts w:ascii="Arial" w:cs="Arial" w:eastAsia="Arial" w:hAnsi="Arial"/>
          <w:sz w:val="24"/>
          <w:szCs w:val="24"/>
        </w:rPr>
        <w:t xml:space="preserve">CBF dose-response curves: ciliary beat frequency (Hz) vs compound concentration for representative compounds spanning safety range</w:t>
      </w:r>
    </w:p>
    <w:p>
      <w:pPr>
        <w:pStyle w:val="ListParagraph"/>
        <w:numPr>
          <w:ilvl w:val="0"/>
          <w:numId w:val="2"/>
        </w:numPr>
        <w:spacing w:after="100" w:line="360"/>
      </w:pPr>
      <w:r>
        <w:rPr>
          <w:rFonts w:ascii="Arial" w:cs="Arial" w:eastAsia="Arial" w:hAnsi="Arial"/>
          <w:sz w:val="24"/>
          <w:szCs w:val="24"/>
        </w:rPr>
        <w:t xml:space="preserve">Hepatic metabolic liability table: OCR suppression EC50, ATP synthesis EC50, and CYP450 induction status for all compounds</w:t>
      </w:r>
    </w:p>
    <w:p>
      <w:pPr>
        <w:pStyle w:val="ListParagraph"/>
        <w:numPr>
          <w:ilvl w:val="0"/>
          <w:numId w:val="2"/>
        </w:numPr>
        <w:spacing w:after="100" w:line="360"/>
      </w:pPr>
      <w:r>
        <w:rPr>
          <w:rFonts w:ascii="Arial" w:cs="Arial" w:eastAsia="Arial" w:hAnsi="Arial"/>
          <w:sz w:val="24"/>
          <w:szCs w:val="24"/>
        </w:rPr>
        <w:t xml:space="preserve">Seahorse OCR/ECAR traces: representative metabolic profiles showing dose-dependent suppression of hepatocyte mitochondrial function</w:t>
      </w:r>
    </w:p>
    <w:p>
      <w:pPr>
        <w:pStyle w:val="ListParagraph"/>
        <w:numPr>
          <w:ilvl w:val="0"/>
          <w:numId w:val="2"/>
        </w:numPr>
        <w:spacing w:after="100" w:line="360"/>
      </w:pPr>
      <w:r>
        <w:rPr>
          <w:rFonts w:ascii="Arial" w:cs="Arial" w:eastAsia="Arial" w:hAnsi="Arial"/>
          <w:sz w:val="24"/>
          <w:szCs w:val="24"/>
        </w:rPr>
        <w:t xml:space="preserve">Multi-system integrated safety matrix: all compounds with motor EC50, cardiac IC50 (hERG), respiratory CBF EC50, and hepatic OCR EC50</w:t>
      </w:r>
    </w:p>
    <w:p>
      <w:pPr>
        <w:pStyle w:val="ListParagraph"/>
        <w:numPr>
          <w:ilvl w:val="0"/>
          <w:numId w:val="2"/>
        </w:numPr>
        <w:spacing w:after="100" w:line="360"/>
      </w:pPr>
      <w:r>
        <w:rPr>
          <w:rFonts w:ascii="Arial" w:cs="Arial" w:eastAsia="Arial" w:hAnsi="Arial"/>
          <w:sz w:val="24"/>
          <w:szCs w:val="24"/>
        </w:rPr>
        <w:t xml:space="preserve">Respiratory/hepatic exclusion list: compounds with CBF EC50 &lt;1 µM or metabolic dysfunction EC50 &lt;0.1 µM (high organ toxicity risk)</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multi-system safety matrix; PDF CBF and metabolic dose-response plots; Integrated safety assessment report</w:t>
      </w:r>
    </w:p>
    <w:p>
      <w:pPr>
        <w:pStyle w:val="Heading2"/>
      </w:pPr>
      <w:r>
        <w:rPr>
          <w:rFonts w:ascii="Arial" w:cs="Arial" w:eastAsia="Arial" w:hAnsi="Arial"/>
          <w:b/>
          <w:bCs/>
          <w:sz w:val="28"/>
          <w:szCs w:val="28"/>
        </w:rPr>
        <w:t xml:space="preserve">Stage 6: Comprehensive Therapeutic Index Ranking and Clinical Dose Recommendation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Calculate comprehensive therapeutic indices integrating all safety endpoints (motor, cardiac, respiratory, hepatic) against nociceptor efficacy EC50 to rank pain drugs by clinical safety margin and generate clinical dose recommendations enabling regulatory submission.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Comprehensive multi-system EC50 data from Stages 1-5: nociceptor efficacy, motor toxicity, cardiac hERG/APD, respiratory CBF, hepatic OCR</w:t>
      </w:r>
    </w:p>
    <w:p>
      <w:pPr>
        <w:pStyle w:val="ListParagraph"/>
        <w:numPr>
          <w:ilvl w:val="0"/>
          <w:numId w:val="2"/>
        </w:numPr>
        <w:spacing w:after="100" w:line="360"/>
      </w:pPr>
      <w:r>
        <w:rPr>
          <w:rFonts w:ascii="Arial" w:cs="Arial" w:eastAsia="Arial" w:hAnsi="Arial"/>
          <w:sz w:val="24"/>
          <w:szCs w:val="24"/>
        </w:rPr>
        <w:t xml:space="preserve">Efficacy confidence intervals from Stage 2 (nociceptor pain inhibition EC50 ± 95% CI)</w:t>
      </w:r>
    </w:p>
    <w:p>
      <w:pPr>
        <w:pStyle w:val="ListParagraph"/>
        <w:numPr>
          <w:ilvl w:val="0"/>
          <w:numId w:val="2"/>
        </w:numPr>
        <w:spacing w:after="100" w:line="360"/>
      </w:pPr>
      <w:r>
        <w:rPr>
          <w:rFonts w:ascii="Arial" w:cs="Arial" w:eastAsia="Arial" w:hAnsi="Arial"/>
          <w:sz w:val="24"/>
          <w:szCs w:val="24"/>
        </w:rPr>
        <w:t xml:space="preserve">Toxicity confidence intervals from Stages 3-5 (motor, cardiac, respiratory, hepatic EC50 ± 95% CI)</w:t>
      </w:r>
    </w:p>
    <w:p>
      <w:pPr>
        <w:pStyle w:val="ListParagraph"/>
        <w:numPr>
          <w:ilvl w:val="0"/>
          <w:numId w:val="2"/>
        </w:numPr>
        <w:spacing w:after="100" w:line="360"/>
      </w:pPr>
      <w:r>
        <w:rPr>
          <w:rFonts w:ascii="Arial" w:cs="Arial" w:eastAsia="Arial" w:hAnsi="Arial"/>
          <w:sz w:val="24"/>
          <w:szCs w:val="24"/>
        </w:rPr>
        <w:t xml:space="preserve">Known clinical pharmacokinetics for compounds with prior human use to enable dose scaling from EP-derived EC50</w:t>
      </w:r>
    </w:p>
    <w:p>
      <w:pPr>
        <w:pStyle w:val="ListParagraph"/>
        <w:numPr>
          <w:ilvl w:val="0"/>
          <w:numId w:val="2"/>
        </w:numPr>
        <w:spacing w:after="100" w:line="360"/>
      </w:pPr>
      <w:r>
        <w:rPr>
          <w:rFonts w:ascii="Arial" w:cs="Arial" w:eastAsia="Arial" w:hAnsi="Arial"/>
          <w:sz w:val="24"/>
          <w:szCs w:val="24"/>
        </w:rPr>
        <w:t xml:space="preserve">Regulatory guidance documents (ICH, FDA) for therapeutic index thresholds and safety margin requirements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R (tidyverse, ggplot2, forest plot functions): Calculate therapeutic index point estimates and 95% confidence intervals for all endpoints</w:t>
      </w:r>
    </w:p>
    <w:p>
      <w:pPr>
        <w:pStyle w:val="ListParagraph"/>
        <w:numPr>
          <w:ilvl w:val="0"/>
          <w:numId w:val="2"/>
        </w:numPr>
        <w:spacing w:after="100" w:line="360"/>
      </w:pPr>
      <w:r>
        <w:rPr>
          <w:rFonts w:ascii="Arial" w:cs="Arial" w:eastAsia="Arial" w:hAnsi="Arial"/>
          <w:sz w:val="24"/>
          <w:szCs w:val="24"/>
        </w:rPr>
        <w:t xml:space="preserve">Python (scipy, numpy, pandas): Implement weighted multi-system safety scoring algorithm prioritizing cardiac &gt; respiratory &gt; motor &gt; hepatic</w:t>
      </w:r>
    </w:p>
    <w:p>
      <w:pPr>
        <w:pStyle w:val="ListParagraph"/>
        <w:numPr>
          <w:ilvl w:val="0"/>
          <w:numId w:val="2"/>
        </w:numPr>
        <w:spacing w:after="100" w:line="360"/>
      </w:pPr>
      <w:r>
        <w:rPr>
          <w:rFonts w:ascii="Arial" w:cs="Arial" w:eastAsia="Arial" w:hAnsi="Arial"/>
          <w:sz w:val="24"/>
          <w:szCs w:val="24"/>
        </w:rPr>
        <w:t xml:space="preserve">KNIME (IND briefing package generator): Automated workflow generating regulatory-compliant summaries including safety margin tables and dose recommendations</w:t>
      </w:r>
    </w:p>
    <w:p>
      <w:pPr>
        <w:pStyle w:val="ListParagraph"/>
        <w:numPr>
          <w:ilvl w:val="0"/>
          <w:numId w:val="2"/>
        </w:numPr>
        <w:spacing w:after="100" w:line="360"/>
      </w:pPr>
      <w:r>
        <w:rPr>
          <w:rFonts w:ascii="Arial" w:cs="Arial" w:eastAsia="Arial" w:hAnsi="Arial"/>
          <w:sz w:val="24"/>
          <w:szCs w:val="24"/>
        </w:rPr>
        <w:t xml:space="preserve">DrugBank / PubChem: Cross-reference known human exposures and approved dosages for compounds with clinical precedent</w:t>
      </w:r>
    </w:p>
    <w:p>
      <w:pPr>
        <w:pStyle w:val="ListParagraph"/>
        <w:numPr>
          <w:ilvl w:val="0"/>
          <w:numId w:val="2"/>
        </w:numPr>
        <w:spacing w:after="100" w:line="360"/>
      </w:pPr>
      <w:r>
        <w:rPr>
          <w:rFonts w:ascii="Arial" w:cs="Arial" w:eastAsia="Arial" w:hAnsi="Arial"/>
          <w:sz w:val="24"/>
          <w:szCs w:val="24"/>
        </w:rPr>
        <w:t xml:space="preserve">Allometric scaling calculator: Estimate human starting dose from EC50 efficacy data using species correction factors</w:t>
      </w:r>
    </w:p>
    <w:p>
      <w:pPr>
        <w:pStyle w:val="ListParagraph"/>
        <w:numPr>
          <w:ilvl w:val="0"/>
          <w:numId w:val="2"/>
        </w:numPr>
        <w:spacing w:after="100" w:line="360"/>
      </w:pPr>
      <w:r>
        <w:rPr>
          <w:rFonts w:ascii="Arial" w:cs="Arial" w:eastAsia="Arial" w:hAnsi="Arial"/>
          <w:sz w:val="24"/>
          <w:szCs w:val="24"/>
        </w:rPr>
        <w:t xml:space="preserve">Word/PDF document generation library (Python-docx): Format final IND briefing package with tables, plots, and safety risk classification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"Calculate simple therapeutic indices: TI = EC50(toxicity endpoint) / EC50(nociceptor efficacy) for motor, cardiac, respiratory, and hepatic systems"</w:t>
      </w:r>
    </w:p>
    <w:p>
      <w:pPr>
        <w:pStyle w:val="ListParagraph"/>
        <w:numPr>
          <w:ilvl w:val="0"/>
          <w:numId w:val="2"/>
        </w:numPr>
        <w:spacing w:after="100" w:line="360"/>
      </w:pPr>
      <w:r>
        <w:rPr>
          <w:rFonts w:ascii="Arial" w:cs="Arial" w:eastAsia="Arial" w:hAnsi="Arial"/>
          <w:sz w:val="24"/>
          <w:szCs w:val="24"/>
        </w:rPr>
        <w:t xml:space="preserve">"Generate forest plots displaying therapeutic index point estimates with 95% CI error bars for all 30-50 compounds passing safety screens"</w:t>
      </w:r>
    </w:p>
    <w:p>
      <w:pPr>
        <w:pStyle w:val="ListParagraph"/>
        <w:numPr>
          <w:ilvl w:val="0"/>
          <w:numId w:val="2"/>
        </w:numPr>
        <w:spacing w:after="100" w:line="360"/>
      </w:pPr>
      <w:r>
        <w:rPr>
          <w:rFonts w:ascii="Arial" w:cs="Arial" w:eastAsia="Arial" w:hAnsi="Arial"/>
          <w:sz w:val="24"/>
          <w:szCs w:val="24"/>
        </w:rPr>
        <w:t xml:space="preserve">"Calculate integrated multi-system safety score: weight cardiac TI 40%, respiratory TI 30%, motor TI 20%, hepatic TI 10% to rank compounds overall"</w:t>
      </w:r>
    </w:p>
    <w:p>
      <w:pPr>
        <w:pStyle w:val="ListParagraph"/>
        <w:numPr>
          <w:ilvl w:val="0"/>
          <w:numId w:val="2"/>
        </w:numPr>
        <w:spacing w:after="100" w:line="360"/>
      </w:pPr>
      <w:r>
        <w:rPr>
          <w:rFonts w:ascii="Arial" w:cs="Arial" w:eastAsia="Arial" w:hAnsi="Arial"/>
          <w:sz w:val="24"/>
          <w:szCs w:val="24"/>
        </w:rPr>
        <w:t xml:space="preserve">"Estimate human starting dose using allometric scaling: EC50 efficacy (nM) × conversion factor × body weight adjustment = starting mg/kg"</w:t>
      </w:r>
    </w:p>
    <w:p>
      <w:pPr>
        <w:pStyle w:val="ListParagraph"/>
        <w:numPr>
          <w:ilvl w:val="0"/>
          <w:numId w:val="2"/>
        </w:numPr>
        <w:spacing w:after="100" w:line="360"/>
      </w:pPr>
      <w:r>
        <w:rPr>
          <w:rFonts w:ascii="Arial" w:cs="Arial" w:eastAsia="Arial" w:hAnsi="Arial"/>
          <w:sz w:val="24"/>
          <w:szCs w:val="24"/>
        </w:rPr>
        <w:t xml:space="preserve">"Generate final regulatory-ready safety ranking with color-coded risk categorization (TI &gt;10 green 'excellent TI', 3-10 yellow 'acceptable TI', &lt;3 red 'narrow TI')"</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therapeutic index table: 30-50 compounds with motor TI, cardiac TI (hERG IC50/efficacy EC50), respiratory TI, hepatic TI, integrated multi-system TI</w:t>
      </w:r>
    </w:p>
    <w:p>
      <w:pPr>
        <w:pStyle w:val="ListParagraph"/>
        <w:numPr>
          <w:ilvl w:val="0"/>
          <w:numId w:val="2"/>
        </w:numPr>
        <w:spacing w:after="100" w:line="360"/>
      </w:pPr>
      <w:r>
        <w:rPr>
          <w:rFonts w:ascii="Arial" w:cs="Arial" w:eastAsia="Arial" w:hAnsi="Arial"/>
          <w:sz w:val="24"/>
          <w:szCs w:val="24"/>
        </w:rPr>
        <w:t xml:space="preserve">Therapeutic index forest plot: compounds ranked by integrated TI with 95% CI error bars and color-coded risk categories</w:t>
      </w:r>
    </w:p>
    <w:p>
      <w:pPr>
        <w:pStyle w:val="ListParagraph"/>
        <w:numPr>
          <w:ilvl w:val="0"/>
          <w:numId w:val="2"/>
        </w:numPr>
        <w:spacing w:after="100" w:line="360"/>
      </w:pPr>
      <w:r>
        <w:rPr>
          <w:rFonts w:ascii="Arial" w:cs="Arial" w:eastAsia="Arial" w:hAnsi="Arial"/>
          <w:sz w:val="24"/>
          <w:szCs w:val="24"/>
        </w:rPr>
        <w:t xml:space="preserve">Safety margin summary table: EC50 efficacy, EC50 motor toxicity, EC50 cardiac hERG, EC50 respiratory, EC50 hepatic for all compounds</w:t>
      </w:r>
    </w:p>
    <w:p>
      <w:pPr>
        <w:pStyle w:val="ListParagraph"/>
        <w:numPr>
          <w:ilvl w:val="0"/>
          <w:numId w:val="2"/>
        </w:numPr>
        <w:spacing w:after="100" w:line="360"/>
      </w:pPr>
      <w:r>
        <w:rPr>
          <w:rFonts w:ascii="Arial" w:cs="Arial" w:eastAsia="Arial" w:hAnsi="Arial"/>
          <w:sz w:val="24"/>
          <w:szCs w:val="24"/>
        </w:rPr>
        <w:t xml:space="preserve">Proposed clinical dose recommendations: starting dose (mg/kg) derived from allometric scaling, dose escalation path, maximum recommended dose</w:t>
      </w:r>
    </w:p>
    <w:p>
      <w:pPr>
        <w:pStyle w:val="ListParagraph"/>
        <w:numPr>
          <w:ilvl w:val="0"/>
          <w:numId w:val="2"/>
        </w:numPr>
        <w:spacing w:after="100" w:line="360"/>
      </w:pPr>
      <w:r>
        <w:rPr>
          <w:rFonts w:ascii="Arial" w:cs="Arial" w:eastAsia="Arial" w:hAnsi="Arial"/>
          <w:sz w:val="24"/>
          <w:szCs w:val="24"/>
        </w:rPr>
        <w:t xml:space="preserve">Top 10 ranked compounds: final lead candidates with best therapeutic indices, detailed safety profiles, and clinical advancement rationale</w:t>
      </w:r>
    </w:p>
    <w:p>
      <w:pPr>
        <w:pStyle w:val="ListParagraph"/>
        <w:numPr>
          <w:ilvl w:val="0"/>
          <w:numId w:val="2"/>
        </w:numPr>
        <w:spacing w:after="100" w:line="360"/>
      </w:pPr>
      <w:r>
        <w:rPr>
          <w:rFonts w:ascii="Arial" w:cs="Arial" w:eastAsia="Arial" w:hAnsi="Arial"/>
          <w:sz w:val="24"/>
          <w:szCs w:val="24"/>
        </w:rPr>
        <w:t xml:space="preserve">Regulatory briefing package (Word/PDF): IND submission-ready document with comprehensive safety margin analysis, risk classification, and proposed starting dose justification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workbook with complete TI metrics; PDF forest plots and safety margin summaries; IND briefing package (Word); Python analysis notebooks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Multi-System EP Atlas: 100+ pain drugs profiled across sensory, motor, cardiac, respiratory, and hepatic systems</w:t>
      </w:r>
    </w:p>
    <w:p>
      <w:pPr>
        <w:pStyle w:val="ListParagraph"/>
        <w:numPr>
          <w:ilvl w:val="0"/>
          <w:numId w:val="2"/>
        </w:numPr>
        <w:spacing w:after="100" w:line="360"/>
      </w:pPr>
      <w:r>
        <w:rPr>
          <w:rFonts w:ascii="Arial" w:cs="Arial" w:eastAsia="Arial" w:hAnsi="Arial"/>
          <w:sz w:val="24"/>
          <w:szCs w:val="24"/>
        </w:rPr>
        <w:t xml:space="preserve">CiPA Database: Comprehensive in vitro proarrhythmia risk predictions integrating hERG, Cav1.2, Kv7.1 block data</w:t>
      </w:r>
    </w:p>
    <w:p>
      <w:pPr>
        <w:pStyle w:val="ListParagraph"/>
        <w:numPr>
          <w:ilvl w:val="0"/>
          <w:numId w:val="2"/>
        </w:numPr>
        <w:spacing w:after="100" w:line="360"/>
      </w:pPr>
      <w:r>
        <w:rPr>
          <w:rFonts w:ascii="Arial" w:cs="Arial" w:eastAsia="Arial" w:hAnsi="Arial"/>
          <w:sz w:val="24"/>
          <w:szCs w:val="24"/>
        </w:rPr>
        <w:t xml:space="preserve">DrugBank: Clinical pharmacology, drug interactions, and known adverse effects for compounds with prior human use</w:t>
      </w:r>
    </w:p>
    <w:p>
      <w:pPr>
        <w:pStyle w:val="ListParagraph"/>
        <w:numPr>
          <w:ilvl w:val="0"/>
          <w:numId w:val="2"/>
        </w:numPr>
        <w:spacing w:after="100" w:line="360"/>
      </w:pPr>
      <w:r>
        <w:rPr>
          <w:rFonts w:ascii="Arial" w:cs="Arial" w:eastAsia="Arial" w:hAnsi="Arial"/>
          <w:sz w:val="24"/>
          <w:szCs w:val="24"/>
        </w:rPr>
        <w:t xml:space="preserve">PubChem: Chemical properties, bioassay data, and approved dosages for reference compounds</w:t>
      </w:r>
    </w:p>
    <w:p>
      <w:pPr>
        <w:pStyle w:val="ListParagraph"/>
        <w:numPr>
          <w:ilvl w:val="0"/>
          <w:numId w:val="2"/>
        </w:numPr>
        <w:spacing w:after="100" w:line="360"/>
      </w:pPr>
      <w:r>
        <w:rPr>
          <w:rFonts w:ascii="Arial" w:cs="Arial" w:eastAsia="Arial" w:hAnsi="Arial"/>
          <w:sz w:val="24"/>
          <w:szCs w:val="24"/>
        </w:rPr>
        <w:t xml:space="preserve">PatchMaster/Patchmaster+ Recording Software: Voltage clamp and current clamp acquisition for multi-system EP profiling</w:t>
      </w:r>
    </w:p>
    <w:p>
      <w:pPr>
        <w:pStyle w:val="ListParagraph"/>
        <w:numPr>
          <w:ilvl w:val="0"/>
          <w:numId w:val="2"/>
        </w:numPr>
        <w:spacing w:after="100" w:line="360"/>
      </w:pPr>
      <w:r>
        <w:rPr>
          <w:rFonts w:ascii="Arial" w:cs="Arial" w:eastAsia="Arial" w:hAnsi="Arial"/>
          <w:sz w:val="24"/>
          <w:szCs w:val="24"/>
        </w:rPr>
        <w:t xml:space="preserve">Igor Pro (Wavemetrics): Action potential and current kinetics analysis with custom macros for pain drug EP profiling</w:t>
      </w:r>
    </w:p>
    <w:p>
      <w:pPr>
        <w:pStyle w:val="ListParagraph"/>
        <w:numPr>
          <w:ilvl w:val="0"/>
          <w:numId w:val="2"/>
        </w:numPr>
        <w:spacing w:after="100" w:line="360"/>
      </w:pPr>
      <w:r>
        <w:rPr>
          <w:rFonts w:ascii="Arial" w:cs="Arial" w:eastAsia="Arial" w:hAnsi="Arial"/>
          <w:sz w:val="24"/>
          <w:szCs w:val="24"/>
        </w:rPr>
        <w:t xml:space="preserve">Multi-Electrode Array Systems: Network-level neuronal activity monitoring for toxicity assessment</w:t>
      </w:r>
    </w:p>
    <w:p>
      <w:pPr>
        <w:pStyle w:val="ListParagraph"/>
        <w:numPr>
          <w:ilvl w:val="0"/>
          <w:numId w:val="2"/>
        </w:numPr>
        <w:spacing w:after="100" w:line="360"/>
      </w:pPr>
      <w:r>
        <w:rPr>
          <w:rFonts w:ascii="Arial" w:cs="Arial" w:eastAsia="Arial" w:hAnsi="Arial"/>
          <w:sz w:val="24"/>
          <w:szCs w:val="24"/>
        </w:rPr>
        <w:t xml:space="preserve">Fluo-4 Calcium Imaging Platform: High-throughput nociceptor pain stimulus response phenotyping</w:t>
      </w:r>
    </w:p>
    <w:p>
      <w:pPr>
        <w:pStyle w:val="ListParagraph"/>
        <w:numPr>
          <w:ilvl w:val="0"/>
          <w:numId w:val="2"/>
        </w:numPr>
        <w:spacing w:after="100" w:line="360"/>
      </w:pPr>
      <w:r>
        <w:rPr>
          <w:rFonts w:ascii="Arial" w:cs="Arial" w:eastAsia="Arial" w:hAnsi="Arial"/>
          <w:sz w:val="24"/>
          <w:szCs w:val="24"/>
        </w:rPr>
        <w:t xml:space="preserve">Seahorse XF Metabolic Analyzer: Hepatocyte mitochondrial function and metabolic liability assessment</w:t>
      </w:r>
    </w:p>
    <w:p>
      <w:pPr>
        <w:pStyle w:val="ListParagraph"/>
        <w:numPr>
          <w:ilvl w:val="0"/>
          <w:numId w:val="2"/>
        </w:numPr>
        <w:spacing w:after="100" w:line="360"/>
      </w:pPr>
      <w:r>
        <w:rPr>
          <w:rFonts w:ascii="Arial" w:cs="Arial" w:eastAsia="Arial" w:hAnsi="Arial"/>
          <w:sz w:val="24"/>
          <w:szCs w:val="24"/>
        </w:rPr>
        <w:t xml:space="preserve">Python (scipy, numpy, pandas, scikit-learn): Curve fitting, statistical analysis, and therapeutic index calculations</w:t>
      </w:r>
    </w:p>
    <w:p>
      <w:pPr>
        <w:pStyle w:val="ListParagraph"/>
        <w:numPr>
          <w:ilvl w:val="0"/>
          <w:numId w:val="2"/>
        </w:numPr>
        <w:spacing w:after="100" w:line="360"/>
      </w:pPr>
      <w:r>
        <w:rPr>
          <w:rFonts w:ascii="Arial" w:cs="Arial" w:eastAsia="Arial" w:hAnsi="Arial"/>
          <w:sz w:val="24"/>
          <w:szCs w:val="24"/>
        </w:rPr>
        <w:t xml:space="preserve">R (tidyverse, ggplot2, ComplexHeatmap): Statistical modeling, visualization, and forest plot generation</w:t>
      </w:r>
    </w:p>
    <w:p>
      <w:pPr>
        <w:pStyle w:val="ListParagraph"/>
        <w:numPr>
          <w:ilvl w:val="0"/>
          <w:numId w:val="2"/>
        </w:numPr>
        <w:spacing w:after="100" w:line="360"/>
      </w:pPr>
      <w:r>
        <w:rPr>
          <w:rFonts w:ascii="Arial" w:cs="Arial" w:eastAsia="Arial" w:hAnsi="Arial"/>
          <w:sz w:val="24"/>
          <w:szCs w:val="24"/>
        </w:rPr>
        <w:t xml:space="preserve">KNIME Analytics Platform: Automated multi-stage workflow for compound ranking and regulatory package generation</w:t>
      </w:r>
    </w:p>
    <w:p>
      <w:pPr>
        <w:pStyle w:val="ListParagraph"/>
        <w:numPr>
          <w:ilvl w:val="0"/>
          <w:numId w:val="2"/>
        </w:numPr>
        <w:spacing w:after="100" w:line="360"/>
      </w:pPr>
      <w:r>
        <w:rPr>
          <w:rFonts w:ascii="Arial" w:cs="Arial" w:eastAsia="Arial" w:hAnsi="Arial"/>
          <w:sz w:val="24"/>
          <w:szCs w:val="24"/>
        </w:rPr>
        <w:t xml:space="preserve">Prism (GraphPad): Nonlinear regression for dose-response curve fitting and EC50/IC50 estimation</w:t>
      </w:r>
    </w:p>
    <w:p>
      <w:pPr>
        <w:pStyle w:val="ListParagraph"/>
        <w:numPr>
          <w:ilvl w:val="0"/>
          <w:numId w:val="2"/>
        </w:numPr>
        <w:spacing w:after="100" w:line="360"/>
      </w:pPr>
      <w:r>
        <w:rPr>
          <w:rFonts w:ascii="Arial" w:cs="Arial" w:eastAsia="Arial" w:hAnsi="Arial"/>
          <w:sz w:val="24"/>
          <w:szCs w:val="24"/>
        </w:rPr>
        <w:t xml:space="preserve">ChEMBL / PubChem: Compound structure databases and known pharmacological target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2026-03-04T14:17:40.237Z</dcterms:created>
  <dcterms:modified xsi:type="dcterms:W3CDTF">2026-03-04T14:17:40.238Z</dcterms:modified>
</cp:coreProperties>
</file>

<file path=docProps/custom.xml><?xml version="1.0" encoding="utf-8"?>
<Properties xmlns="http://schemas.openxmlformats.org/officeDocument/2006/custom-properties" xmlns:vt="http://schemas.openxmlformats.org/officeDocument/2006/docPropsVTypes"/>
</file>