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Identify Dual-Mechanism Pain Combinations Minimizing CNS Depression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dual-mechanism pain combinations minimizing CNS depression.</w:t>
      </w:r>
    </w:p>
    <w:p>
      <w:pPr>
        <w:spacing w:after="200" w:line="360"/>
      </w:pPr>
      <w:r>
        <w:rPr>
          <w:rFonts w:ascii="Arial" w:cs="Arial" w:eastAsia="Arial" w:hAnsi="Arial"/>
          <w:sz w:val="24"/>
          <w:szCs w:val="24"/>
        </w:rPr>
        <w:t xml:space="preserve">This pipeline leverages Quiver Bioscience's electrophysiology CRISPR atlas to systematically identify and optimize synergistic pain therapeutic combinations (e.g., sodium channel blocker + TRPV1 antagonist, NSAID + potassium channel modulator) that achieve superior analgesic efficacy while minimizing central nervous system depression, respiratory suppression, and cognitive side effects. The approach integrates human iPSC-derived nociceptor pain efficacy assays with CNS-specific electrophysiology signatures from cortical neurons, thalamic relay neurons, and brainstem respiratory centers to calculate combination selectivity indices and CNS penetration liabilities. By profiling compounds at sub-threshold monotherapy concentrations in combination, the pipeline identifies pharmacological synergies that spare CNS function while achieving therapeutic pain suppression.</w:t>
      </w:r>
    </w:p>
    <w:p>
      <w:pPr>
        <w:spacing w:after="200" w:line="360"/>
      </w:pPr>
      <w:r>
        <w:rPr>
          <w:rFonts w:ascii="Arial" w:cs="Arial" w:eastAsia="Arial" w:hAnsi="Arial"/>
          <w:sz w:val="24"/>
          <w:szCs w:val="24"/>
        </w:rPr>
        <w:t xml:space="preserve">The pipeline systematically screens 50-100 dual-mechanism combinations across pain target cells and CNS subtypes, quantifying combination indices (CI), fractional concentrations, and CNS depression risk scores. Candidates are ranked by analgesic synergy coefficient coupled with CNS-sparing metrics (minimal cortical neuron firing suppression, preserved thalamic relay function, respiratory center preservation). The final output comprises ranked dual-mechanism pain combinations with detailed EP pharmacodynamic interaction profiles, recommended dose ratios, and predicted clinical efficacy-safety optimizations enabling rational polypharmacy design.</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peripheral pain target profiling (nociceptor-specific efficacy) with comprehensive CNS system profiling (cortical, thalamic, brainstem) to enable rational combination design. Beginning with monotherapy characterization of 20-25 pain therapeutic compounds (sodium channel blockers, TRPV1 antagonists, NSAIDs, potassium channel openers, GABA agonists) in nociceptors and CNS neurons, the workflow establishes efficacy-to-CNS-depression dose-response relationships for each compound. The pipeline then systematically tests 50-100 combinations at sub-threshold monotherapy concentrations in both pain and CNS systems, enabling detection of synergistic pain suppression with additive or less-than-additive CNS effects.</w:t>
      </w:r>
    </w:p>
    <w:p>
      <w:pPr>
        <w:spacing w:after="200" w:line="360"/>
      </w:pPr>
      <w:r>
        <w:rPr>
          <w:rFonts w:ascii="Arial" w:cs="Arial" w:eastAsia="Arial" w:hAnsi="Arial"/>
          <w:sz w:val="24"/>
          <w:szCs w:val="24"/>
        </w:rPr>
        <w:t xml:space="preserve">Combination analysis employs quantitative pharmacology metrics including Bliss independence calculations, fraction affected (Fa) analysis, and combination index (CI) determination to identify genuinely synergistic pain suppression. CNS depression risk is assessed through cortical population spike suppression, impaired thalamic relay function (burst firing collapse), and brainstem respiratory rhythm irregularities. Combinations are ranked by analgesic synergy coefficient weighted against CNS depression liability, generating a refined list of candidates with optimal risk-benefit profiles for clinical translation. The final deliverable includes detailed EP interaction profiles, recommended combination dose ratios, and mechanistic insights into synergistic pain suppression.</w:t>
      </w:r>
    </w:p>
    <w:p>
      <w:pPr>
        <w:pStyle w:val="Heading2"/>
      </w:pPr>
      <w:r>
        <w:rPr>
          <w:rFonts w:ascii="Arial" w:cs="Arial" w:eastAsia="Arial" w:hAnsi="Arial"/>
          <w:b/>
          <w:bCs/>
          <w:sz w:val="28"/>
          <w:szCs w:val="28"/>
        </w:rPr>
        <w:t xml:space="preserve">Stage 1: Monotherapy Peripheral and CNS Baseline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dose-response relationships for 20-25 pain therapeutic compounds in both nociceptor pain targets and CNS neurons (cortical, thalamic, brainstem), defining the therapeutic window and CNS depression threshold for each agent to enable rational combination design.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20-25 pain therapeutic compounds: sodium channel blockers, TRPV1 antagonists, NSAIDs, potassium channel modulators, GABA agonists</w:t>
      </w:r>
    </w:p>
    <w:p>
      <w:pPr>
        <w:pStyle w:val="ListParagraph"/>
        <w:numPr>
          <w:ilvl w:val="0"/>
          <w:numId w:val="2"/>
        </w:numPr>
        <w:spacing w:after="100" w:line="360"/>
      </w:pPr>
      <w:r>
        <w:rPr>
          <w:rFonts w:ascii="Arial" w:cs="Arial" w:eastAsia="Arial" w:hAnsi="Arial"/>
          <w:sz w:val="24"/>
          <w:szCs w:val="24"/>
        </w:rPr>
        <w:t xml:space="preserve">iPSC-derived sensory nociceptors for pain target profiling (capsaicin-induced calcium transients, action potential firing suppression)</w:t>
      </w:r>
    </w:p>
    <w:p>
      <w:pPr>
        <w:pStyle w:val="ListParagraph"/>
        <w:numPr>
          <w:ilvl w:val="0"/>
          <w:numId w:val="2"/>
        </w:numPr>
        <w:spacing w:after="100" w:line="360"/>
      </w:pPr>
      <w:r>
        <w:rPr>
          <w:rFonts w:ascii="Arial" w:cs="Arial" w:eastAsia="Arial" w:hAnsi="Arial"/>
          <w:sz w:val="24"/>
          <w:szCs w:val="24"/>
        </w:rPr>
        <w:t xml:space="preserve">iPSC-derived cortical neurons (pyramidal cells, interneurons) for CNS depression assessment via population spike suppression</w:t>
      </w:r>
    </w:p>
    <w:p>
      <w:pPr>
        <w:pStyle w:val="ListParagraph"/>
        <w:numPr>
          <w:ilvl w:val="0"/>
          <w:numId w:val="2"/>
        </w:numPr>
        <w:spacing w:after="100" w:line="360"/>
      </w:pPr>
      <w:r>
        <w:rPr>
          <w:rFonts w:ascii="Arial" w:cs="Arial" w:eastAsia="Arial" w:hAnsi="Arial"/>
          <w:sz w:val="24"/>
          <w:szCs w:val="24"/>
        </w:rPr>
        <w:t xml:space="preserve">Thalamic relay neurons and brainstem nucleus raphe pontis cells for CN sensory relay and respiratory rhythm function</w:t>
      </w:r>
    </w:p>
    <w:p>
      <w:pPr>
        <w:pStyle w:val="ListParagraph"/>
        <w:numPr>
          <w:ilvl w:val="0"/>
          <w:numId w:val="2"/>
        </w:numPr>
        <w:spacing w:after="100" w:line="360"/>
      </w:pPr>
      <w:r>
        <w:rPr>
          <w:rFonts w:ascii="Arial" w:cs="Arial" w:eastAsia="Arial" w:hAnsi="Arial"/>
          <w:sz w:val="24"/>
          <w:szCs w:val="24"/>
        </w:rPr>
        <w:t xml:space="preserve">Dose-response protocols: 0.1 nM to 100 µM compound exposure with pain stimulus (capsaicin, ATP, bradykinin) and CNS activity measurement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Pain Drug + CNS Neuron Libraries: 20-25 compounds pre-profiled in pain targets and cortical, thalamic, brainstem neurons</w:t>
      </w:r>
    </w:p>
    <w:p>
      <w:pPr>
        <w:pStyle w:val="ListParagraph"/>
        <w:numPr>
          <w:ilvl w:val="0"/>
          <w:numId w:val="2"/>
        </w:numPr>
        <w:spacing w:after="100" w:line="360"/>
      </w:pPr>
      <w:r>
        <w:rPr>
          <w:rFonts w:ascii="Arial" w:cs="Arial" w:eastAsia="Arial" w:hAnsi="Arial"/>
          <w:sz w:val="24"/>
          <w:szCs w:val="24"/>
        </w:rPr>
        <w:t xml:space="preserve">Multi-Electrode Array (MEA) Systems: Cortical network-level population spike recording and thalamic/brainstem burst pattern analysis</w:t>
      </w:r>
    </w:p>
    <w:p>
      <w:pPr>
        <w:pStyle w:val="ListParagraph"/>
        <w:numPr>
          <w:ilvl w:val="0"/>
          <w:numId w:val="2"/>
        </w:numPr>
        <w:spacing w:after="100" w:line="360"/>
      </w:pPr>
      <w:r>
        <w:rPr>
          <w:rFonts w:ascii="Arial" w:cs="Arial" w:eastAsia="Arial" w:hAnsi="Arial"/>
          <w:sz w:val="24"/>
          <w:szCs w:val="24"/>
        </w:rPr>
        <w:t xml:space="preserve">Fluo-4 Calcium Imaging: High-throughput nociceptor capsaicin response and cortical neuron activity suppression phenotyping</w:t>
      </w:r>
    </w:p>
    <w:p>
      <w:pPr>
        <w:pStyle w:val="ListParagraph"/>
        <w:numPr>
          <w:ilvl w:val="0"/>
          <w:numId w:val="2"/>
        </w:numPr>
        <w:spacing w:after="100" w:line="360"/>
      </w:pPr>
      <w:r>
        <w:rPr>
          <w:rFonts w:ascii="Arial" w:cs="Arial" w:eastAsia="Arial" w:hAnsi="Arial"/>
          <w:sz w:val="24"/>
          <w:szCs w:val="24"/>
        </w:rPr>
        <w:t xml:space="preserve">Python (scipy.optimize, dose-response fitting): Hill equation curve fitting for nociceptor efficacy and CNS depression endpoints</w:t>
      </w:r>
    </w:p>
    <w:p>
      <w:pPr>
        <w:pStyle w:val="ListParagraph"/>
        <w:numPr>
          <w:ilvl w:val="0"/>
          <w:numId w:val="2"/>
        </w:numPr>
        <w:spacing w:after="100" w:line="360"/>
      </w:pPr>
      <w:r>
        <w:rPr>
          <w:rFonts w:ascii="Arial" w:cs="Arial" w:eastAsia="Arial" w:hAnsi="Arial"/>
          <w:sz w:val="24"/>
          <w:szCs w:val="24"/>
        </w:rPr>
        <w:t xml:space="preserve">R (pharmacodynamic modeling): Construct dose-response surfaces and plot therapeutic window (efficacy range without CNS depression)</w:t>
      </w:r>
    </w:p>
    <w:p>
      <w:pPr>
        <w:pStyle w:val="ListParagraph"/>
        <w:numPr>
          <w:ilvl w:val="0"/>
          <w:numId w:val="2"/>
        </w:numPr>
        <w:spacing w:after="100" w:line="360"/>
      </w:pPr>
      <w:r>
        <w:rPr>
          <w:rFonts w:ascii="Arial" w:cs="Arial" w:eastAsia="Arial" w:hAnsi="Arial"/>
          <w:sz w:val="24"/>
          <w:szCs w:val="24"/>
        </w:rPr>
        <w:t xml:space="preserve">KNIME (monotherapy analysis module): Automated calculation of EC50 pain, EC50 CNS depression, and therapeutic window width for each compound</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EC50 for pain suppression: compound-mediated inhibition of nociceptor firing frequency in dose-response current clamp recordings"</w:t>
      </w:r>
    </w:p>
    <w:p>
      <w:pPr>
        <w:pStyle w:val="ListParagraph"/>
        <w:numPr>
          <w:ilvl w:val="0"/>
          <w:numId w:val="2"/>
        </w:numPr>
        <w:spacing w:after="100" w:line="360"/>
      </w:pPr>
      <w:r>
        <w:rPr>
          <w:rFonts w:ascii="Arial" w:cs="Arial" w:eastAsia="Arial" w:hAnsi="Arial"/>
          <w:sz w:val="24"/>
          <w:szCs w:val="24"/>
        </w:rPr>
        <w:t xml:space="preserve">"Quantify CNS depression: EC50 for compound-induced suppression of cortical population spike amplitude using MEA recordings"</w:t>
      </w:r>
    </w:p>
    <w:p>
      <w:pPr>
        <w:pStyle w:val="ListParagraph"/>
        <w:numPr>
          <w:ilvl w:val="0"/>
          <w:numId w:val="2"/>
        </w:numPr>
        <w:spacing w:after="100" w:line="360"/>
      </w:pPr>
      <w:r>
        <w:rPr>
          <w:rFonts w:ascii="Arial" w:cs="Arial" w:eastAsia="Arial" w:hAnsi="Arial"/>
          <w:sz w:val="24"/>
          <w:szCs w:val="24"/>
        </w:rPr>
        <w:t xml:space="preserve">"Assess thalamic relay function: measure burst frequency suppression in thalamic relay neurons at compound concentrations spanning 0.1 nM to 100 µM"</w:t>
      </w:r>
    </w:p>
    <w:p>
      <w:pPr>
        <w:pStyle w:val="ListParagraph"/>
        <w:numPr>
          <w:ilvl w:val="0"/>
          <w:numId w:val="2"/>
        </w:numPr>
        <w:spacing w:after="100" w:line="360"/>
      </w:pPr>
      <w:r>
        <w:rPr>
          <w:rFonts w:ascii="Arial" w:cs="Arial" w:eastAsia="Arial" w:hAnsi="Arial"/>
          <w:sz w:val="24"/>
          <w:szCs w:val="24"/>
        </w:rPr>
        <w:t xml:space="preserve">"Evaluate brainstem respiratory rhythm: quantify compound effects on spontaneous firing rhythm regularity in nucleus raphe pontis"</w:t>
      </w:r>
    </w:p>
    <w:p>
      <w:pPr>
        <w:pStyle w:val="ListParagraph"/>
        <w:numPr>
          <w:ilvl w:val="0"/>
          <w:numId w:val="2"/>
        </w:numPr>
        <w:spacing w:after="100" w:line="360"/>
      </w:pPr>
      <w:r>
        <w:rPr>
          <w:rFonts w:ascii="Arial" w:cs="Arial" w:eastAsia="Arial" w:hAnsi="Arial"/>
          <w:sz w:val="24"/>
          <w:szCs w:val="24"/>
        </w:rPr>
        <w:t xml:space="preserve">"Define therapeutic window for each compound: concentration range achieving &gt;50% pain suppression with &lt;25% cortical population spike suppression"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Monotherapy efficacy-CNS depression table: 20-25 compounds with EC50 pain, EC50 CNS depression, therapeutic window width (µM range)</w:t>
      </w:r>
    </w:p>
    <w:p>
      <w:pPr>
        <w:pStyle w:val="ListParagraph"/>
        <w:numPr>
          <w:ilvl w:val="0"/>
          <w:numId w:val="2"/>
        </w:numPr>
        <w:spacing w:after="100" w:line="360"/>
      </w:pPr>
      <w:r>
        <w:rPr>
          <w:rFonts w:ascii="Arial" w:cs="Arial" w:eastAsia="Arial" w:hAnsi="Arial"/>
          <w:sz w:val="24"/>
          <w:szCs w:val="24"/>
        </w:rPr>
        <w:t xml:space="preserve">Dual-curve dose-response plots: pain suppression vs CNS depression for each compound showing therapeutic window (shaded area)</w:t>
      </w:r>
    </w:p>
    <w:p>
      <w:pPr>
        <w:pStyle w:val="ListParagraph"/>
        <w:numPr>
          <w:ilvl w:val="0"/>
          <w:numId w:val="2"/>
        </w:numPr>
        <w:spacing w:after="100" w:line="360"/>
      </w:pPr>
      <w:r>
        <w:rPr>
          <w:rFonts w:ascii="Arial" w:cs="Arial" w:eastAsia="Arial" w:hAnsi="Arial"/>
          <w:sz w:val="24"/>
          <w:szCs w:val="24"/>
        </w:rPr>
        <w:t xml:space="preserve">Thalamic and brainstem functional profiles: burst firing frequency and rhythm regularity suppression curves for each compound</w:t>
      </w:r>
    </w:p>
    <w:p>
      <w:pPr>
        <w:pStyle w:val="ListParagraph"/>
        <w:numPr>
          <w:ilvl w:val="0"/>
          <w:numId w:val="2"/>
        </w:numPr>
        <w:spacing w:after="100" w:line="360"/>
      </w:pPr>
      <w:r>
        <w:rPr>
          <w:rFonts w:ascii="Arial" w:cs="Arial" w:eastAsia="Arial" w:hAnsi="Arial"/>
          <w:sz w:val="24"/>
          <w:szCs w:val="24"/>
        </w:rPr>
        <w:t xml:space="preserve">Monotherapy safety ranking: compounds ranked by therapeutic window breadth (wider window = better selectivity)</w:t>
      </w:r>
    </w:p>
    <w:p>
      <w:pPr>
        <w:pStyle w:val="ListParagraph"/>
        <w:numPr>
          <w:ilvl w:val="0"/>
          <w:numId w:val="2"/>
        </w:numPr>
        <w:spacing w:after="100" w:line="360"/>
      </w:pPr>
      <w:r>
        <w:rPr>
          <w:rFonts w:ascii="Arial" w:cs="Arial" w:eastAsia="Arial" w:hAnsi="Arial"/>
          <w:sz w:val="24"/>
          <w:szCs w:val="24"/>
        </w:rPr>
        <w:t xml:space="preserve">CNS sparing indices: quantitative metrics for each compound reflecting ratio of CNS depression EC50 to pain suppression EC50</w:t>
      </w:r>
    </w:p>
    <w:p>
      <w:pPr>
        <w:pStyle w:val="ListParagraph"/>
        <w:numPr>
          <w:ilvl w:val="0"/>
          <w:numId w:val="2"/>
        </w:numPr>
        <w:spacing w:after="100" w:line="360"/>
      </w:pPr>
      <w:r>
        <w:rPr>
          <w:rFonts w:ascii="Arial" w:cs="Arial" w:eastAsia="Arial" w:hAnsi="Arial"/>
          <w:sz w:val="24"/>
          <w:szCs w:val="24"/>
        </w:rPr>
        <w:t xml:space="preserve">Compound selection for combination screening: top 10-15 compounds with widest therapeutic windows and best CNS sparing profiles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monotherapy profiling table; PDF dose-response dual curves; CSV ranked compounds; Python dose-response surface plots</w:t>
      </w:r>
    </w:p>
    <w:p>
      <w:pPr>
        <w:pStyle w:val="Heading2"/>
      </w:pPr>
      <w:r>
        <w:rPr>
          <w:rFonts w:ascii="Arial" w:cs="Arial" w:eastAsia="Arial" w:hAnsi="Arial"/>
          <w:b/>
          <w:bCs/>
          <w:sz w:val="28"/>
          <w:szCs w:val="28"/>
        </w:rPr>
        <w:t xml:space="preserve">Stage 2: Combination Synergy Screening in Peripheral Nociceptors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50-100 dual-mechanism pain combinations at sub-threshold monotherapy concentrations in nociceptors to identify synergistic pain suppression, calculating combination indices and fractional concentrations to quantify true pharmacological synergy.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10-15 compounds from Stage 1 with widest therapeutic windows and CNS sparing profiles</w:t>
      </w:r>
    </w:p>
    <w:p>
      <w:pPr>
        <w:pStyle w:val="ListParagraph"/>
        <w:numPr>
          <w:ilvl w:val="0"/>
          <w:numId w:val="2"/>
        </w:numPr>
        <w:spacing w:after="100" w:line="360"/>
      </w:pPr>
      <w:r>
        <w:rPr>
          <w:rFonts w:ascii="Arial" w:cs="Arial" w:eastAsia="Arial" w:hAnsi="Arial"/>
          <w:sz w:val="24"/>
          <w:szCs w:val="24"/>
        </w:rPr>
        <w:t xml:space="preserve">Combination pairings: 50-100 dual-mechanism combinations mixing sodium channel + TRPV1, NSAID + potassium channel, etc.</w:t>
      </w:r>
    </w:p>
    <w:p>
      <w:pPr>
        <w:pStyle w:val="ListParagraph"/>
        <w:numPr>
          <w:ilvl w:val="0"/>
          <w:numId w:val="2"/>
        </w:numPr>
        <w:spacing w:after="100" w:line="360"/>
      </w:pPr>
      <w:r>
        <w:rPr>
          <w:rFonts w:ascii="Arial" w:cs="Arial" w:eastAsia="Arial" w:hAnsi="Arial"/>
          <w:sz w:val="24"/>
          <w:szCs w:val="24"/>
        </w:rPr>
        <w:t xml:space="preserve">iPSC-derived sensory nociceptor cultures for pain efficacy assessment in combination protocol</w:t>
      </w:r>
    </w:p>
    <w:p>
      <w:pPr>
        <w:pStyle w:val="ListParagraph"/>
        <w:numPr>
          <w:ilvl w:val="0"/>
          <w:numId w:val="2"/>
        </w:numPr>
        <w:spacing w:after="100" w:line="360"/>
      </w:pPr>
      <w:r>
        <w:rPr>
          <w:rFonts w:ascii="Arial" w:cs="Arial" w:eastAsia="Arial" w:hAnsi="Arial"/>
          <w:sz w:val="24"/>
          <w:szCs w:val="24"/>
        </w:rPr>
        <w:t xml:space="preserve">Sub-threshold monotherapy concentrations: each compound at concentration yielding 20-30% pain suppression individually</w:t>
      </w:r>
    </w:p>
    <w:p>
      <w:pPr>
        <w:pStyle w:val="ListParagraph"/>
        <w:numPr>
          <w:ilvl w:val="0"/>
          <w:numId w:val="2"/>
        </w:numPr>
        <w:spacing w:after="100" w:line="360"/>
      </w:pPr>
      <w:r>
        <w:rPr>
          <w:rFonts w:ascii="Arial" w:cs="Arial" w:eastAsia="Arial" w:hAnsi="Arial"/>
          <w:sz w:val="24"/>
          <w:szCs w:val="24"/>
        </w:rPr>
        <w:t xml:space="preserve">Combination efficacy measurement: capsaicin-induced calcium transient inhibition or nociceptor action potential firing suppression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Fluo-4 Calcium Imaging Platform: High-throughput nociceptor pain response measurement for 50-100 combinations</w:t>
      </w:r>
    </w:p>
    <w:p>
      <w:pPr>
        <w:pStyle w:val="ListParagraph"/>
        <w:numPr>
          <w:ilvl w:val="0"/>
          <w:numId w:val="2"/>
        </w:numPr>
        <w:spacing w:after="100" w:line="360"/>
      </w:pPr>
      <w:r>
        <w:rPr>
          <w:rFonts w:ascii="Arial" w:cs="Arial" w:eastAsia="Arial" w:hAnsi="Arial"/>
          <w:sz w:val="24"/>
          <w:szCs w:val="24"/>
        </w:rPr>
        <w:t xml:space="preserve">Python (Bliss independence, combination index calculation): Quantify synergistic vs additive vs antagonistic pain suppression effects</w:t>
      </w:r>
    </w:p>
    <w:p>
      <w:pPr>
        <w:pStyle w:val="ListParagraph"/>
        <w:numPr>
          <w:ilvl w:val="0"/>
          <w:numId w:val="2"/>
        </w:numPr>
        <w:spacing w:after="100" w:line="360"/>
      </w:pPr>
      <w:r>
        <w:rPr>
          <w:rFonts w:ascii="Arial" w:cs="Arial" w:eastAsia="Arial" w:hAnsi="Arial"/>
          <w:sz w:val="24"/>
          <w:szCs w:val="24"/>
        </w:rPr>
        <w:t xml:space="preserve">R (median effect analysis, dose reduction index): Calculate combination index (CI), fractional concentrations (Fa), and isobologram construction</w:t>
      </w:r>
    </w:p>
    <w:p>
      <w:pPr>
        <w:pStyle w:val="ListParagraph"/>
        <w:numPr>
          <w:ilvl w:val="0"/>
          <w:numId w:val="2"/>
        </w:numPr>
        <w:spacing w:after="100" w:line="360"/>
      </w:pPr>
      <w:r>
        <w:rPr>
          <w:rFonts w:ascii="Arial" w:cs="Arial" w:eastAsia="Arial" w:hAnsi="Arial"/>
          <w:sz w:val="24"/>
          <w:szCs w:val="24"/>
        </w:rPr>
        <w:t xml:space="preserve">KNIME (combination synergy module): Automated workflow for screening 50-100 combinations and ranking by synergy coefficient</w:t>
      </w:r>
    </w:p>
    <w:p>
      <w:pPr>
        <w:pStyle w:val="ListParagraph"/>
        <w:numPr>
          <w:ilvl w:val="0"/>
          <w:numId w:val="2"/>
        </w:numPr>
        <w:spacing w:after="100" w:line="360"/>
      </w:pPr>
      <w:r>
        <w:rPr>
          <w:rFonts w:ascii="Arial" w:cs="Arial" w:eastAsia="Arial" w:hAnsi="Arial"/>
          <w:sz w:val="24"/>
          <w:szCs w:val="24"/>
        </w:rPr>
        <w:t xml:space="preserve">CompuSyn (software for synergy quantification): Median effect principle implementation and combination index determination</w:t>
      </w:r>
    </w:p>
    <w:p>
      <w:pPr>
        <w:pStyle w:val="ListParagraph"/>
        <w:numPr>
          <w:ilvl w:val="0"/>
          <w:numId w:val="2"/>
        </w:numPr>
        <w:spacing w:after="100" w:line="360"/>
      </w:pPr>
      <w:r>
        <w:rPr>
          <w:rFonts w:ascii="Arial" w:cs="Arial" w:eastAsia="Arial" w:hAnsi="Arial"/>
          <w:sz w:val="24"/>
          <w:szCs w:val="24"/>
        </w:rPr>
        <w:t xml:space="preserve">Visualization libraries (plotly, matplotlib): Generate isobologram plots and synergy heatmaps for combination screening results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"Expose nociceptors to dual-mechanism combinations at sub-threshold concentrations (each agent at 20-30% pain suppression) and measure resulting pain suppression efficacy"</w:t>
      </w:r>
    </w:p>
    <w:p>
      <w:pPr>
        <w:pStyle w:val="ListParagraph"/>
        <w:numPr>
          <w:ilvl w:val="0"/>
          <w:numId w:val="2"/>
        </w:numPr>
        <w:spacing w:after="100" w:line="360"/>
      </w:pPr>
      <w:r>
        <w:rPr>
          <w:rFonts w:ascii="Arial" w:cs="Arial" w:eastAsia="Arial" w:hAnsi="Arial"/>
          <w:sz w:val="24"/>
          <w:szCs w:val="24"/>
        </w:rPr>
        <w:t xml:space="preserve">"Calculate Bliss independence: predicted additive response = 1 - (1-effect1) × (1-effect2); if observed &gt; predicted, synergism detected"</w:t>
      </w:r>
    </w:p>
    <w:p>
      <w:pPr>
        <w:pStyle w:val="ListParagraph"/>
        <w:numPr>
          <w:ilvl w:val="0"/>
          <w:numId w:val="2"/>
        </w:numPr>
        <w:spacing w:after="100" w:line="360"/>
      </w:pPr>
      <w:r>
        <w:rPr>
          <w:rFonts w:ascii="Arial" w:cs="Arial" w:eastAsia="Arial" w:hAnsi="Arial"/>
          <w:sz w:val="24"/>
          <w:szCs w:val="24"/>
        </w:rPr>
        <w:t xml:space="preserve">"Compute combination index (CI) at 50% pain suppression endpoint: CI &lt;1 synergism, CI=1 additivity, CI &gt;1 antagonism"</w:t>
      </w:r>
    </w:p>
    <w:p>
      <w:pPr>
        <w:pStyle w:val="ListParagraph"/>
        <w:numPr>
          <w:ilvl w:val="0"/>
          <w:numId w:val="2"/>
        </w:numPr>
        <w:spacing w:after="100" w:line="360"/>
      </w:pPr>
      <w:r>
        <w:rPr>
          <w:rFonts w:ascii="Arial" w:cs="Arial" w:eastAsia="Arial" w:hAnsi="Arial"/>
          <w:sz w:val="24"/>
          <w:szCs w:val="24"/>
        </w:rPr>
        <w:t xml:space="preserve">"Rank 50-100 combinations by synergy coefficient and identify top 20 combinations with CI &lt;0.7 (strong synergism)"</w:t>
      </w:r>
    </w:p>
    <w:p>
      <w:pPr>
        <w:pStyle w:val="ListParagraph"/>
        <w:numPr>
          <w:ilvl w:val="0"/>
          <w:numId w:val="2"/>
        </w:numPr>
        <w:spacing w:after="100" w:line="360"/>
      </w:pPr>
      <w:r>
        <w:rPr>
          <w:rFonts w:ascii="Arial" w:cs="Arial" w:eastAsia="Arial" w:hAnsi="Arial"/>
          <w:sz w:val="24"/>
          <w:szCs w:val="24"/>
        </w:rPr>
        <w:t xml:space="preserve">"Generate isobolograms for top 20 synergistic combinations showing additive baseline vs observed synergistic pain suppression"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Combination synergy screening table: 50-100 combinations with Bliss independence predicted vs observed, combination index, synergy coefficient</w:t>
      </w:r>
    </w:p>
    <w:p>
      <w:pPr>
        <w:pStyle w:val="ListParagraph"/>
        <w:numPr>
          <w:ilvl w:val="0"/>
          <w:numId w:val="2"/>
        </w:numPr>
        <w:spacing w:after="100" w:line="360"/>
      </w:pPr>
      <w:r>
        <w:rPr>
          <w:rFonts w:ascii="Arial" w:cs="Arial" w:eastAsia="Arial" w:hAnsi="Arial"/>
          <w:sz w:val="24"/>
          <w:szCs w:val="24"/>
        </w:rPr>
        <w:t xml:space="preserve">Isobolograms: graphical plots for top 20 synergistic combinations showing additive baseline and observed synergistic effect curves</w:t>
      </w:r>
    </w:p>
    <w:p>
      <w:pPr>
        <w:pStyle w:val="ListParagraph"/>
        <w:numPr>
          <w:ilvl w:val="0"/>
          <w:numId w:val="2"/>
        </w:numPr>
        <w:spacing w:after="100" w:line="360"/>
      </w:pPr>
      <w:r>
        <w:rPr>
          <w:rFonts w:ascii="Arial" w:cs="Arial" w:eastAsia="Arial" w:hAnsi="Arial"/>
          <w:sz w:val="24"/>
          <w:szCs w:val="24"/>
        </w:rPr>
        <w:t xml:space="preserve">Synergy heatmap: compound pairs × synergy coefficient visualization highlighting strongest synergistic combinations</w:t>
      </w:r>
    </w:p>
    <w:p>
      <w:pPr>
        <w:pStyle w:val="ListParagraph"/>
        <w:numPr>
          <w:ilvl w:val="0"/>
          <w:numId w:val="2"/>
        </w:numPr>
        <w:spacing w:after="100" w:line="360"/>
      </w:pPr>
      <w:r>
        <w:rPr>
          <w:rFonts w:ascii="Arial" w:cs="Arial" w:eastAsia="Arial" w:hAnsi="Arial"/>
          <w:sz w:val="24"/>
          <w:szCs w:val="24"/>
        </w:rPr>
        <w:t xml:space="preserve">Ranked synergistic combination list: top 20-30 combinations with CI values, mechanism of action pairing, recommended ratio</w:t>
      </w:r>
    </w:p>
    <w:p>
      <w:pPr>
        <w:pStyle w:val="ListParagraph"/>
        <w:numPr>
          <w:ilvl w:val="0"/>
          <w:numId w:val="2"/>
        </w:numPr>
        <w:spacing w:after="100" w:line="360"/>
      </w:pPr>
      <w:r>
        <w:rPr>
          <w:rFonts w:ascii="Arial" w:cs="Arial" w:eastAsia="Arial" w:hAnsi="Arial"/>
          <w:sz w:val="24"/>
          <w:szCs w:val="24"/>
        </w:rPr>
        <w:t xml:space="preserve">Combination selectivity analysis: pain suppression synergy coefficient vs cross-mechanism redundancy assessment</w:t>
      </w:r>
    </w:p>
    <w:p>
      <w:pPr>
        <w:pStyle w:val="ListParagraph"/>
        <w:numPr>
          <w:ilvl w:val="0"/>
          <w:numId w:val="2"/>
        </w:numPr>
        <w:spacing w:after="100" w:line="360"/>
      </w:pPr>
      <w:r>
        <w:rPr>
          <w:rFonts w:ascii="Arial" w:cs="Arial" w:eastAsia="Arial" w:hAnsi="Arial"/>
          <w:sz w:val="24"/>
          <w:szCs w:val="24"/>
        </w:rPr>
        <w:t xml:space="preserve">Fraction affected (Fa) analysis: nociceptor pain suppression efficacy (%) for each combination at sub-threshold concentrations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synergy screening table; PDF isobolograms and heatmaps; CSV ranked combinations; Python synergy analysis data frames</w:t>
      </w:r>
    </w:p>
    <w:p>
      <w:pPr>
        <w:pStyle w:val="Heading2"/>
      </w:pPr>
      <w:r>
        <w:rPr>
          <w:rFonts w:ascii="Arial" w:cs="Arial" w:eastAsia="Arial" w:hAnsi="Arial"/>
          <w:b/>
          <w:bCs/>
          <w:sz w:val="28"/>
          <w:szCs w:val="28"/>
        </w:rPr>
        <w:t xml:space="preserve">Stage 3: CNS Depression Risk Scoring for Top Combinations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CNS depression liability for top 20-30 synergistic combinations at their optimal synergy-achieving concentrations in cortical neurons, thalamic relay neurons, and brainstem respiratory centers to calculate CNS-sparing selectivity indices.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20-30 synergistic pain combinations from Stage 2 (CI &lt;0.7)</w:t>
      </w:r>
    </w:p>
    <w:p>
      <w:pPr>
        <w:pStyle w:val="ListParagraph"/>
        <w:numPr>
          <w:ilvl w:val="0"/>
          <w:numId w:val="2"/>
        </w:numPr>
        <w:spacing w:after="100" w:line="360"/>
      </w:pPr>
      <w:r>
        <w:rPr>
          <w:rFonts w:ascii="Arial" w:cs="Arial" w:eastAsia="Arial" w:hAnsi="Arial"/>
          <w:sz w:val="24"/>
          <w:szCs w:val="24"/>
        </w:rPr>
        <w:t xml:space="preserve">iPSC-derived cortical neuron networks for CNS depression assessment via multi-electrode array (MEA) population spike suppression</w:t>
      </w:r>
    </w:p>
    <w:p>
      <w:pPr>
        <w:pStyle w:val="ListParagraph"/>
        <w:numPr>
          <w:ilvl w:val="0"/>
          <w:numId w:val="2"/>
        </w:numPr>
        <w:spacing w:after="100" w:line="360"/>
      </w:pPr>
      <w:r>
        <w:rPr>
          <w:rFonts w:ascii="Arial" w:cs="Arial" w:eastAsia="Arial" w:hAnsi="Arial"/>
          <w:sz w:val="24"/>
          <w:szCs w:val="24"/>
        </w:rPr>
        <w:t xml:space="preserve">Thalamic relay neurons for burst firing assessment and sensory relay function preservation testing</w:t>
      </w:r>
    </w:p>
    <w:p>
      <w:pPr>
        <w:pStyle w:val="ListParagraph"/>
        <w:numPr>
          <w:ilvl w:val="0"/>
          <w:numId w:val="2"/>
        </w:numPr>
        <w:spacing w:after="100" w:line="360"/>
      </w:pPr>
      <w:r>
        <w:rPr>
          <w:rFonts w:ascii="Arial" w:cs="Arial" w:eastAsia="Arial" w:hAnsi="Arial"/>
          <w:sz w:val="24"/>
          <w:szCs w:val="24"/>
        </w:rPr>
        <w:t xml:space="preserve">Brainstem nucleus raphe pontis cells for respiratory rhythm regularity quantification at combination concentrations</w:t>
      </w:r>
    </w:p>
    <w:p>
      <w:pPr>
        <w:pStyle w:val="ListParagraph"/>
        <w:numPr>
          <w:ilvl w:val="0"/>
          <w:numId w:val="2"/>
        </w:numPr>
        <w:spacing w:after="100" w:line="360"/>
      </w:pPr>
      <w:r>
        <w:rPr>
          <w:rFonts w:ascii="Arial" w:cs="Arial" w:eastAsia="Arial" w:hAnsi="Arial"/>
          <w:sz w:val="24"/>
          <w:szCs w:val="24"/>
        </w:rPr>
        <w:t xml:space="preserve">Combination exposure at optimal synergy-achieving concentrations established in Stage 2 with temporal measurements (1 hr, 6 hr)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(MEA) Systems: Cortical network population spike, thalamic burst patterns, brainstem rhythm recordings</w:t>
      </w:r>
    </w:p>
    <w:p>
      <w:pPr>
        <w:pStyle w:val="ListParagraph"/>
        <w:numPr>
          <w:ilvl w:val="0"/>
          <w:numId w:val="2"/>
        </w:numPr>
        <w:spacing w:after="100" w:line="360"/>
      </w:pPr>
      <w:r>
        <w:rPr>
          <w:rFonts w:ascii="Arial" w:cs="Arial" w:eastAsia="Arial" w:hAnsi="Arial"/>
          <w:sz w:val="24"/>
          <w:szCs w:val="24"/>
        </w:rPr>
        <w:t xml:space="preserve">MultiChannel Systems Analysis Software: Population spike suppression quantification and burst frequency analysis</w:t>
      </w:r>
    </w:p>
    <w:p>
      <w:pPr>
        <w:pStyle w:val="ListParagraph"/>
        <w:numPr>
          <w:ilvl w:val="0"/>
          <w:numId w:val="2"/>
        </w:numPr>
        <w:spacing w:after="100" w:line="360"/>
      </w:pPr>
      <w:r>
        <w:rPr>
          <w:rFonts w:ascii="Arial" w:cs="Arial" w:eastAsia="Arial" w:hAnsi="Arial"/>
          <w:sz w:val="24"/>
          <w:szCs w:val="24"/>
        </w:rPr>
        <w:t xml:space="preserve">Python (signal processing, CNS depression metrics): Calculate cortical suppression index, thalamic relay preservation score, respiratory rhythm coefficient of variation</w:t>
      </w:r>
    </w:p>
    <w:p>
      <w:pPr>
        <w:pStyle w:val="ListParagraph"/>
        <w:numPr>
          <w:ilvl w:val="0"/>
          <w:numId w:val="2"/>
        </w:numPr>
        <w:spacing w:after="100" w:line="360"/>
      </w:pPr>
      <w:r>
        <w:rPr>
          <w:rFonts w:ascii="Arial" w:cs="Arial" w:eastAsia="Arial" w:hAnsi="Arial"/>
          <w:sz w:val="24"/>
          <w:szCs w:val="24"/>
        </w:rPr>
        <w:t xml:space="preserve">R (CNS sparing selectivity calculations): Compute integrated CNS depression risk score weighting cortical (40%), thalamic (30%), respiratory (30%)</w:t>
      </w:r>
    </w:p>
    <w:p>
      <w:pPr>
        <w:pStyle w:val="ListParagraph"/>
        <w:numPr>
          <w:ilvl w:val="0"/>
          <w:numId w:val="2"/>
        </w:numPr>
        <w:spacing w:after="100" w:line="360"/>
      </w:pPr>
      <w:r>
        <w:rPr>
          <w:rFonts w:ascii="Arial" w:cs="Arial" w:eastAsia="Arial" w:hAnsi="Arial"/>
          <w:sz w:val="24"/>
          <w:szCs w:val="24"/>
        </w:rPr>
        <w:t xml:space="preserve">KNIME (CNS risk engine): Automated workflow for assessing all 20-30 combinations and calculating CNS-sparing selectivity indices</w:t>
      </w:r>
    </w:p>
    <w:p>
      <w:pPr>
        <w:pStyle w:val="ListParagraph"/>
        <w:numPr>
          <w:ilvl w:val="0"/>
          <w:numId w:val="2"/>
        </w:numPr>
        <w:spacing w:after="100" w:line="360"/>
      </w:pPr>
      <w:r>
        <w:rPr>
          <w:rFonts w:ascii="Arial" w:cs="Arial" w:eastAsia="Arial" w:hAnsi="Arial"/>
          <w:sz w:val="24"/>
          <w:szCs w:val="24"/>
        </w:rPr>
        <w:t xml:space="preserve">Visualization library (plotly, seaborn): Generate CNS depression radar plots and selectivity profiles for combination comparison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"Expose cortical neuron networks to top 20 combinations at synergy-optimal concentrations; measure population spike amplitude suppression via MEA"</w:t>
      </w:r>
    </w:p>
    <w:p>
      <w:pPr>
        <w:pStyle w:val="ListParagraph"/>
        <w:numPr>
          <w:ilvl w:val="0"/>
          <w:numId w:val="2"/>
        </w:numPr>
        <w:spacing w:after="100" w:line="360"/>
      </w:pPr>
      <w:r>
        <w:rPr>
          <w:rFonts w:ascii="Arial" w:cs="Arial" w:eastAsia="Arial" w:hAnsi="Arial"/>
          <w:sz w:val="24"/>
          <w:szCs w:val="24"/>
        </w:rPr>
        <w:t xml:space="preserve">"Quantify thalamic relay function: measure burst firing frequency and interburst interval regularity in thalamic neurons at combination concentrations"</w:t>
      </w:r>
    </w:p>
    <w:p>
      <w:pPr>
        <w:pStyle w:val="ListParagraph"/>
        <w:numPr>
          <w:ilvl w:val="0"/>
          <w:numId w:val="2"/>
        </w:numPr>
        <w:spacing w:after="100" w:line="360"/>
      </w:pPr>
      <w:r>
        <w:rPr>
          <w:rFonts w:ascii="Arial" w:cs="Arial" w:eastAsia="Arial" w:hAnsi="Arial"/>
          <w:sz w:val="24"/>
          <w:szCs w:val="24"/>
        </w:rPr>
        <w:t xml:space="preserve">"Assess brainstem respiratory rhythm: quantify spontaneous firing rhythm coefficient of variation and detect arrhythmias at combination concentrations"</w:t>
      </w:r>
    </w:p>
    <w:p>
      <w:pPr>
        <w:pStyle w:val="ListParagraph"/>
        <w:numPr>
          <w:ilvl w:val="0"/>
          <w:numId w:val="2"/>
        </w:numPr>
        <w:spacing w:after="100" w:line="360"/>
      </w:pPr>
      <w:r>
        <w:rPr>
          <w:rFonts w:ascii="Arial" w:cs="Arial" w:eastAsia="Arial" w:hAnsi="Arial"/>
          <w:sz w:val="24"/>
          <w:szCs w:val="24"/>
        </w:rPr>
        <w:t xml:space="preserve">"Calculate CNS depression risk score: (cortical spike suppression% × 0.4) + (thalamic burst loss% × 0.3) + (respiratory irregularity% × 0.3)"</w:t>
      </w:r>
    </w:p>
    <w:p>
      <w:pPr>
        <w:pStyle w:val="ListParagraph"/>
        <w:numPr>
          <w:ilvl w:val="0"/>
          <w:numId w:val="2"/>
        </w:numPr>
        <w:spacing w:after="100" w:line="360"/>
      </w:pPr>
      <w:r>
        <w:rPr>
          <w:rFonts w:ascii="Arial" w:cs="Arial" w:eastAsia="Arial" w:hAnsi="Arial"/>
          <w:sz w:val="24"/>
          <w:szCs w:val="24"/>
        </w:rPr>
        <w:t xml:space="preserve">"Rank 20-30 combinations by CNS-sparing selectivity: identify combinations with &lt;20% cortical suppression, preserved thalamic relay, and stable respiratory rhythm"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CNS depression assessment table: 20-30 combinations with cortical population spike suppression%, thalamic burst frequency change, respiratory rhythm coefficient of variation</w:t>
      </w:r>
    </w:p>
    <w:p>
      <w:pPr>
        <w:pStyle w:val="ListParagraph"/>
        <w:numPr>
          <w:ilvl w:val="0"/>
          <w:numId w:val="2"/>
        </w:numPr>
        <w:spacing w:after="100" w:line="360"/>
      </w:pPr>
      <w:r>
        <w:rPr>
          <w:rFonts w:ascii="Arial" w:cs="Arial" w:eastAsia="Arial" w:hAnsi="Arial"/>
          <w:sz w:val="24"/>
          <w:szCs w:val="24"/>
        </w:rPr>
        <w:t xml:space="preserve">MEA traces: representative cortical network population spike recordings showing dose-dependent suppression for top 10 combinations</w:t>
      </w:r>
    </w:p>
    <w:p>
      <w:pPr>
        <w:pStyle w:val="ListParagraph"/>
        <w:numPr>
          <w:ilvl w:val="0"/>
          <w:numId w:val="2"/>
        </w:numPr>
        <w:spacing w:after="100" w:line="360"/>
      </w:pPr>
      <w:r>
        <w:rPr>
          <w:rFonts w:ascii="Arial" w:cs="Arial" w:eastAsia="Arial" w:hAnsi="Arial"/>
          <w:sz w:val="24"/>
          <w:szCs w:val="24"/>
        </w:rPr>
        <w:t xml:space="preserve">Thalamic and brainstem functional profiles: burst frequency and rhythm regularity plots for representative combinations</w:t>
      </w:r>
    </w:p>
    <w:p>
      <w:pPr>
        <w:pStyle w:val="ListParagraph"/>
        <w:numPr>
          <w:ilvl w:val="0"/>
          <w:numId w:val="2"/>
        </w:numPr>
        <w:spacing w:after="100" w:line="360"/>
      </w:pPr>
      <w:r>
        <w:rPr>
          <w:rFonts w:ascii="Arial" w:cs="Arial" w:eastAsia="Arial" w:hAnsi="Arial"/>
          <w:sz w:val="24"/>
          <w:szCs w:val="24"/>
        </w:rPr>
        <w:t xml:space="preserve">CNS-sparing selectivity radar plots: multidimensional visualization of cortical, thalamic, respiratory CNS depression risk for each combination</w:t>
      </w:r>
    </w:p>
    <w:p>
      <w:pPr>
        <w:pStyle w:val="ListParagraph"/>
        <w:numPr>
          <w:ilvl w:val="0"/>
          <w:numId w:val="2"/>
        </w:numPr>
        <w:spacing w:after="100" w:line="360"/>
      </w:pPr>
      <w:r>
        <w:rPr>
          <w:rFonts w:ascii="Arial" w:cs="Arial" w:eastAsia="Arial" w:hAnsi="Arial"/>
          <w:sz w:val="24"/>
          <w:szCs w:val="24"/>
        </w:rPr>
        <w:t xml:space="preserve">Integrated CNS risk score ranking: combinations ordered by overall CNS depression liability with low/moderate/high risk categorization</w:t>
      </w:r>
    </w:p>
    <w:p>
      <w:pPr>
        <w:pStyle w:val="ListParagraph"/>
        <w:numPr>
          <w:ilvl w:val="0"/>
          <w:numId w:val="2"/>
        </w:numPr>
        <w:spacing w:after="100" w:line="360"/>
      </w:pPr>
      <w:r>
        <w:rPr>
          <w:rFonts w:ascii="Arial" w:cs="Arial" w:eastAsia="Arial" w:hAnsi="Arial"/>
          <w:sz w:val="24"/>
          <w:szCs w:val="24"/>
        </w:rPr>
        <w:t xml:space="preserve">Filtered CNS-safe combination list: 10-15 combinations with &lt;15% cortical suppression, preserved thalamic function, and respiratory stability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CNS risk assessment table; PDF MEA traces and functional profiles; Radar plot visualizations; CSV filtered combinations</w:t>
      </w:r>
    </w:p>
    <w:p>
      <w:pPr>
        <w:pStyle w:val="Heading2"/>
      </w:pPr>
      <w:r>
        <w:rPr>
          <w:rFonts w:ascii="Arial" w:cs="Arial" w:eastAsia="Arial" w:hAnsi="Arial"/>
          <w:b/>
          <w:bCs/>
          <w:sz w:val="28"/>
          <w:szCs w:val="28"/>
        </w:rPr>
        <w:t xml:space="preserve">Stage 4: Respiratory Depression Risk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evaluate respiratory depression risk for top 10-15 CNS-safe combinations using brainstem respiratory center patch-clamp electrophysiology and respiratory epithelial ciliary function assays to quantify respiratory safety margins.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10-15 CNS-safe combinations from Stage 3 with &lt;15% cortical suppression and preserved brainstem respiratory patterns</w:t>
      </w:r>
    </w:p>
    <w:p>
      <w:pPr>
        <w:pStyle w:val="ListParagraph"/>
        <w:numPr>
          <w:ilvl w:val="0"/>
          <w:numId w:val="2"/>
        </w:numPr>
        <w:spacing w:after="100" w:line="360"/>
      </w:pPr>
      <w:r>
        <w:rPr>
          <w:rFonts w:ascii="Arial" w:cs="Arial" w:eastAsia="Arial" w:hAnsi="Arial"/>
          <w:sz w:val="24"/>
          <w:szCs w:val="24"/>
        </w:rPr>
        <w:t xml:space="preserve">Pre-Bötzinger complex (preBötC) neurons from mouse brainstem slices for rhythm generation assessment</w:t>
      </w:r>
    </w:p>
    <w:p>
      <w:pPr>
        <w:pStyle w:val="ListParagraph"/>
        <w:numPr>
          <w:ilvl w:val="0"/>
          <w:numId w:val="2"/>
        </w:numPr>
        <w:spacing w:after="100" w:line="360"/>
      </w:pPr>
      <w:r>
        <w:rPr>
          <w:rFonts w:ascii="Arial" w:cs="Arial" w:eastAsia="Arial" w:hAnsi="Arial"/>
          <w:sz w:val="24"/>
          <w:szCs w:val="24"/>
        </w:rPr>
        <w:t xml:space="preserve">Human respiratory epithelial cell cultures with ciliated phenotype for ciliary beat frequency measurement</w:t>
      </w:r>
    </w:p>
    <w:p>
      <w:pPr>
        <w:pStyle w:val="ListParagraph"/>
        <w:numPr>
          <w:ilvl w:val="0"/>
          <w:numId w:val="2"/>
        </w:numPr>
        <w:spacing w:after="100" w:line="360"/>
      </w:pPr>
      <w:r>
        <w:rPr>
          <w:rFonts w:ascii="Arial" w:cs="Arial" w:eastAsia="Arial" w:hAnsi="Arial"/>
          <w:sz w:val="24"/>
          <w:szCs w:val="24"/>
        </w:rPr>
        <w:t xml:space="preserve">Extracellular network recordings from preBötC to measure respiratory burst pattern regularity, frequency, and amplitude</w:t>
      </w:r>
    </w:p>
    <w:p>
      <w:pPr>
        <w:pStyle w:val="ListParagraph"/>
        <w:numPr>
          <w:ilvl w:val="0"/>
          <w:numId w:val="2"/>
        </w:numPr>
        <w:spacing w:after="100" w:line="360"/>
      </w:pPr>
      <w:r>
        <w:rPr>
          <w:rFonts w:ascii="Arial" w:cs="Arial" w:eastAsia="Arial" w:hAnsi="Arial"/>
          <w:sz w:val="24"/>
          <w:szCs w:val="24"/>
        </w:rPr>
        <w:t xml:space="preserve">Combination exposure at synergy-optimal concentrations with extended duration (up to 30 min) to assess adaptive respiratory effects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Brainstem Respiratory Network Database: Reference preBötC rhythm patterns and respiratory depression EC50 for known depressants</w:t>
      </w:r>
    </w:p>
    <w:p>
      <w:pPr>
        <w:pStyle w:val="ListParagraph"/>
        <w:numPr>
          <w:ilvl w:val="0"/>
          <w:numId w:val="2"/>
        </w:numPr>
        <w:spacing w:after="100" w:line="360"/>
      </w:pPr>
      <w:r>
        <w:rPr>
          <w:rFonts w:ascii="Arial" w:cs="Arial" w:eastAsia="Arial" w:hAnsi="Arial"/>
          <w:sz w:val="24"/>
          <w:szCs w:val="24"/>
        </w:rPr>
        <w:t xml:space="preserve">Multi-Electrode Array (MEA) Systems: preBötC network rhythm recording and burst pattern quantification</w:t>
      </w:r>
    </w:p>
    <w:p>
      <w:pPr>
        <w:pStyle w:val="ListParagraph"/>
        <w:numPr>
          <w:ilvl w:val="0"/>
          <w:numId w:val="2"/>
        </w:numPr>
        <w:spacing w:after="100" w:line="360"/>
      </w:pPr>
      <w:r>
        <w:rPr>
          <w:rFonts w:ascii="Arial" w:cs="Arial" w:eastAsia="Arial" w:hAnsi="Arial"/>
          <w:sz w:val="24"/>
          <w:szCs w:val="24"/>
        </w:rPr>
        <w:t xml:space="preserve">High-Speed Video Microscopy: Ciliary beat frequency measurement from respiratory epithelial cultures</w:t>
      </w:r>
    </w:p>
    <w:p>
      <w:pPr>
        <w:pStyle w:val="ListParagraph"/>
        <w:numPr>
          <w:ilvl w:val="0"/>
          <w:numId w:val="2"/>
        </w:numPr>
        <w:spacing w:after="100" w:line="360"/>
      </w:pPr>
      <w:r>
        <w:rPr>
          <w:rFonts w:ascii="Arial" w:cs="Arial" w:eastAsia="Arial" w:hAnsi="Arial"/>
          <w:sz w:val="24"/>
          <w:szCs w:val="24"/>
        </w:rPr>
        <w:t xml:space="preserve">Python (signal processing, respiratory rhythm analysis): Quantify burst frequency, interburst interval coefficient of variation, burst amplitude</w:t>
      </w:r>
    </w:p>
    <w:p>
      <w:pPr>
        <w:pStyle w:val="ListParagraph"/>
        <w:numPr>
          <w:ilvl w:val="0"/>
          <w:numId w:val="2"/>
        </w:numPr>
        <w:spacing w:after="100" w:line="360"/>
      </w:pPr>
      <w:r>
        <w:rPr>
          <w:rFonts w:ascii="Arial" w:cs="Arial" w:eastAsia="Arial" w:hAnsi="Arial"/>
          <w:sz w:val="24"/>
          <w:szCs w:val="24"/>
        </w:rPr>
        <w:t xml:space="preserve">R (respiratory depression risk modeling): Calculate integrated respiratory depression risk incorporating burst frequency, rhythm stability, and CBF suppression</w:t>
      </w:r>
    </w:p>
    <w:p>
      <w:pPr>
        <w:pStyle w:val="ListParagraph"/>
        <w:numPr>
          <w:ilvl w:val="0"/>
          <w:numId w:val="2"/>
        </w:numPr>
        <w:spacing w:after="100" w:line="360"/>
      </w:pPr>
      <w:r>
        <w:rPr>
          <w:rFonts w:ascii="Arial" w:cs="Arial" w:eastAsia="Arial" w:hAnsi="Arial"/>
          <w:sz w:val="24"/>
          <w:szCs w:val="24"/>
        </w:rPr>
        <w:t xml:space="preserve">KNIME (respiratory risk assessment): Automated ranking of combinations by respiratory depression liability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"Expose preBötC networks to top 10 combinations at synergy-optimal concentrations; measure respiratory burst frequency (bursts/min) and rhythm regularity"</w:t>
      </w:r>
    </w:p>
    <w:p>
      <w:pPr>
        <w:pStyle w:val="ListParagraph"/>
        <w:numPr>
          <w:ilvl w:val="0"/>
          <w:numId w:val="2"/>
        </w:numPr>
        <w:spacing w:after="100" w:line="360"/>
      </w:pPr>
      <w:r>
        <w:rPr>
          <w:rFonts w:ascii="Arial" w:cs="Arial" w:eastAsia="Arial" w:hAnsi="Arial"/>
          <w:sz w:val="24"/>
          <w:szCs w:val="24"/>
        </w:rPr>
        <w:t xml:space="preserve">"Quantify respiratory rhythm stability: calculate interburst interval coefficient of variation; flag combinations causing &gt;30% irregularity increase"</w:t>
      </w:r>
    </w:p>
    <w:p>
      <w:pPr>
        <w:pStyle w:val="ListParagraph"/>
        <w:numPr>
          <w:ilvl w:val="0"/>
          <w:numId w:val="2"/>
        </w:numPr>
        <w:spacing w:after="100" w:line="360"/>
      </w:pPr>
      <w:r>
        <w:rPr>
          <w:rFonts w:ascii="Arial" w:cs="Arial" w:eastAsia="Arial" w:hAnsi="Arial"/>
          <w:sz w:val="24"/>
          <w:szCs w:val="24"/>
        </w:rPr>
        <w:t xml:space="preserve">"Measure respiratory epithelial ciliary beat frequency at combination concentrations; assess dose-dependent suppression and recovery kinetics"</w:t>
      </w:r>
    </w:p>
    <w:p>
      <w:pPr>
        <w:pStyle w:val="ListParagraph"/>
        <w:numPr>
          <w:ilvl w:val="0"/>
          <w:numId w:val="2"/>
        </w:numPr>
        <w:spacing w:after="100" w:line="360"/>
      </w:pPr>
      <w:r>
        <w:rPr>
          <w:rFonts w:ascii="Arial" w:cs="Arial" w:eastAsia="Arial" w:hAnsi="Arial"/>
          <w:sz w:val="24"/>
          <w:szCs w:val="24"/>
        </w:rPr>
        <w:t xml:space="preserve">"Monitor 30-minute temporal dynamics: assess whether respiratory suppression shows adaptation/recovery or persistent depression"</w:t>
      </w:r>
    </w:p>
    <w:p>
      <w:pPr>
        <w:pStyle w:val="ListParagraph"/>
        <w:numPr>
          <w:ilvl w:val="0"/>
          <w:numId w:val="2"/>
        </w:numPr>
        <w:spacing w:after="100" w:line="360"/>
      </w:pPr>
      <w:r>
        <w:rPr>
          <w:rFonts w:ascii="Arial" w:cs="Arial" w:eastAsia="Arial" w:hAnsi="Arial"/>
          <w:sz w:val="24"/>
          <w:szCs w:val="24"/>
        </w:rPr>
        <w:t xml:space="preserve">"Rank 10-15 combinations by respiratory depression risk: identify those preserving burst frequency &gt;80% and regularity &gt;95%"</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Respiratory depression risk table: 10-15 combinations with burst frequency % change, rhythm regularity coefficient of variation, ciliary beat frequency suppression</w:t>
      </w:r>
    </w:p>
    <w:p>
      <w:pPr>
        <w:pStyle w:val="ListParagraph"/>
        <w:numPr>
          <w:ilvl w:val="0"/>
          <w:numId w:val="2"/>
        </w:numPr>
        <w:spacing w:after="100" w:line="360"/>
      </w:pPr>
      <w:r>
        <w:rPr>
          <w:rFonts w:ascii="Arial" w:cs="Arial" w:eastAsia="Arial" w:hAnsi="Arial"/>
          <w:sz w:val="24"/>
          <w:szCs w:val="24"/>
        </w:rPr>
        <w:t xml:space="preserve">preBötC respiratory burst traces: representative extracellular network recordings showing rhythm pattern for top combinations</w:t>
      </w:r>
    </w:p>
    <w:p>
      <w:pPr>
        <w:pStyle w:val="ListParagraph"/>
        <w:numPr>
          <w:ilvl w:val="0"/>
          <w:numId w:val="2"/>
        </w:numPr>
        <w:spacing w:after="100" w:line="360"/>
      </w:pPr>
      <w:r>
        <w:rPr>
          <w:rFonts w:ascii="Arial" w:cs="Arial" w:eastAsia="Arial" w:hAnsi="Arial"/>
          <w:sz w:val="24"/>
          <w:szCs w:val="24"/>
        </w:rPr>
        <w:t xml:space="preserve">Temporal respiratory rhythm dynamics: burst frequency and regularity time-series plots (0-30 min) for key combinations</w:t>
      </w:r>
    </w:p>
    <w:p>
      <w:pPr>
        <w:pStyle w:val="ListParagraph"/>
        <w:numPr>
          <w:ilvl w:val="0"/>
          <w:numId w:val="2"/>
        </w:numPr>
        <w:spacing w:after="100" w:line="360"/>
      </w:pPr>
      <w:r>
        <w:rPr>
          <w:rFonts w:ascii="Arial" w:cs="Arial" w:eastAsia="Arial" w:hAnsi="Arial"/>
          <w:sz w:val="24"/>
          <w:szCs w:val="24"/>
        </w:rPr>
        <w:t xml:space="preserve">Ciliary beat frequency dose-response: high-speed video analysis showing CBF preservation/suppression for respiratory-safe combinations</w:t>
      </w:r>
    </w:p>
    <w:p>
      <w:pPr>
        <w:pStyle w:val="ListParagraph"/>
        <w:numPr>
          <w:ilvl w:val="0"/>
          <w:numId w:val="2"/>
        </w:numPr>
        <w:spacing w:after="100" w:line="360"/>
      </w:pPr>
      <w:r>
        <w:rPr>
          <w:rFonts w:ascii="Arial" w:cs="Arial" w:eastAsia="Arial" w:hAnsi="Arial"/>
          <w:sz w:val="24"/>
          <w:szCs w:val="24"/>
        </w:rPr>
        <w:t xml:space="preserve">Respiratory safety ranking: combinations classified as respiratory-safe (burst preservation &gt;80%, regularity intact) vs at-risk</w:t>
      </w:r>
    </w:p>
    <w:p>
      <w:pPr>
        <w:pStyle w:val="ListParagraph"/>
        <w:numPr>
          <w:ilvl w:val="0"/>
          <w:numId w:val="2"/>
        </w:numPr>
        <w:spacing w:after="100" w:line="360"/>
      </w:pPr>
      <w:r>
        <w:rPr>
          <w:rFonts w:ascii="Arial" w:cs="Arial" w:eastAsia="Arial" w:hAnsi="Arial"/>
          <w:sz w:val="24"/>
          <w:szCs w:val="24"/>
        </w:rPr>
        <w:t xml:space="preserve">Final candidate list: 5-8 combinations with excellent CNS sparing (cortical &lt;15%, thalamic relay preserved) AND respiratory safety (burst &gt;80%, CBF preservation)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respiratory risk table; PDF preBötC traces and temporal dynamics; CBF analysis plots; CSV final candidate combinations</w:t>
      </w:r>
    </w:p>
    <w:p>
      <w:pPr>
        <w:pStyle w:val="Heading2"/>
      </w:pPr>
      <w:r>
        <w:rPr>
          <w:rFonts w:ascii="Arial" w:cs="Arial" w:eastAsia="Arial" w:hAnsi="Arial"/>
          <w:b/>
          <w:bCs/>
          <w:sz w:val="28"/>
          <w:szCs w:val="28"/>
        </w:rPr>
        <w:t xml:space="preserve">Stage 5: Combination Pharmacokinetic Interaction and Drug-Drug Interaction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hepatic metabolic interactions and CYP450 induction/inhibition liabilities for top 5-8 respiratory-safe combinations to predict in vivo drug-drug interactions and dosing implications.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5-8 respiratory-safe combinations from Stage 4 with excellent CNS and respiratory profiles</w:t>
      </w:r>
    </w:p>
    <w:p>
      <w:pPr>
        <w:pStyle w:val="ListParagraph"/>
        <w:numPr>
          <w:ilvl w:val="0"/>
          <w:numId w:val="2"/>
        </w:numPr>
        <w:spacing w:after="100" w:line="360"/>
      </w:pPr>
      <w:r>
        <w:rPr>
          <w:rFonts w:ascii="Arial" w:cs="Arial" w:eastAsia="Arial" w:hAnsi="Arial"/>
          <w:sz w:val="24"/>
          <w:szCs w:val="24"/>
        </w:rPr>
        <w:t xml:space="preserve">Human primary hepatocytes or iPSC-derived hepatocyte-like cells with CYP450 enzyme activity</w:t>
      </w:r>
    </w:p>
    <w:p>
      <w:pPr>
        <w:pStyle w:val="ListParagraph"/>
        <w:numPr>
          <w:ilvl w:val="0"/>
          <w:numId w:val="2"/>
        </w:numPr>
        <w:spacing w:after="100" w:line="360"/>
      </w:pPr>
      <w:r>
        <w:rPr>
          <w:rFonts w:ascii="Arial" w:cs="Arial" w:eastAsia="Arial" w:hAnsi="Arial"/>
          <w:sz w:val="24"/>
          <w:szCs w:val="24"/>
        </w:rPr>
        <w:t xml:space="preserve">CYP450 substrate cocktail (CYP3A4, CYP2D6, CYP2C9, CYP2C19 substrates) to assess induction/inhibition</w:t>
      </w:r>
    </w:p>
    <w:p>
      <w:pPr>
        <w:pStyle w:val="ListParagraph"/>
        <w:numPr>
          <w:ilvl w:val="0"/>
          <w:numId w:val="2"/>
        </w:numPr>
        <w:spacing w:after="100" w:line="360"/>
      </w:pPr>
      <w:r>
        <w:rPr>
          <w:rFonts w:ascii="Arial" w:cs="Arial" w:eastAsia="Arial" w:hAnsi="Arial"/>
          <w:sz w:val="24"/>
          <w:szCs w:val="24"/>
        </w:rPr>
        <w:t xml:space="preserve">Combination exposure at therapeutic concentrations with metabolic marker quantification (LC-MS/MS)</w:t>
      </w:r>
    </w:p>
    <w:p>
      <w:pPr>
        <w:pStyle w:val="ListParagraph"/>
        <w:numPr>
          <w:ilvl w:val="0"/>
          <w:numId w:val="2"/>
        </w:numPr>
        <w:spacing w:after="100" w:line="360"/>
      </w:pPr>
      <w:r>
        <w:rPr>
          <w:rFonts w:ascii="Arial" w:cs="Arial" w:eastAsia="Arial" w:hAnsi="Arial"/>
          <w:sz w:val="24"/>
          <w:szCs w:val="24"/>
        </w:rPr>
        <w:t xml:space="preserve">Known pharmacokinetic data for compounds with prior human use to enable clinical exposure prediction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Hepatocyte Metabolic Competence Database: Reference CYP450 activity levels and induction/inhibition profiles</w:t>
      </w:r>
    </w:p>
    <w:p>
      <w:pPr>
        <w:pStyle w:val="ListParagraph"/>
        <w:numPr>
          <w:ilvl w:val="0"/>
          <w:numId w:val="2"/>
        </w:numPr>
        <w:spacing w:after="100" w:line="360"/>
      </w:pPr>
      <w:r>
        <w:rPr>
          <w:rFonts w:ascii="Arial" w:cs="Arial" w:eastAsia="Arial" w:hAnsi="Arial"/>
          <w:sz w:val="24"/>
          <w:szCs w:val="24"/>
        </w:rPr>
        <w:t xml:space="preserve">LC-MS/MS: Quantify CYP450 substrate metabolite formation and parent drug disappearance rates</w:t>
      </w:r>
    </w:p>
    <w:p>
      <w:pPr>
        <w:pStyle w:val="ListParagraph"/>
        <w:numPr>
          <w:ilvl w:val="0"/>
          <w:numId w:val="2"/>
        </w:numPr>
        <w:spacing w:after="100" w:line="360"/>
      </w:pPr>
      <w:r>
        <w:rPr>
          <w:rFonts w:ascii="Arial" w:cs="Arial" w:eastAsia="Arial" w:hAnsi="Arial"/>
          <w:sz w:val="24"/>
          <w:szCs w:val="24"/>
        </w:rPr>
        <w:t xml:space="preserve">Python (PK modeling, drug-drug interaction prediction): Simulate expected clinical interactions based on hepatic clearance changes</w:t>
      </w:r>
    </w:p>
    <w:p>
      <w:pPr>
        <w:pStyle w:val="ListParagraph"/>
        <w:numPr>
          <w:ilvl w:val="0"/>
          <w:numId w:val="2"/>
        </w:numPr>
        <w:spacing w:after="100" w:line="360"/>
      </w:pPr>
      <w:r>
        <w:rPr>
          <w:rFonts w:ascii="Arial" w:cs="Arial" w:eastAsia="Arial" w:hAnsi="Arial"/>
          <w:sz w:val="24"/>
          <w:szCs w:val="24"/>
        </w:rPr>
        <w:t xml:space="preserve">R (CYP450 kinetic analysis): Quantify Km and Vmax changes and predict magnitude of DDI</w:t>
      </w:r>
    </w:p>
    <w:p>
      <w:pPr>
        <w:pStyle w:val="ListParagraph"/>
        <w:numPr>
          <w:ilvl w:val="0"/>
          <w:numId w:val="2"/>
        </w:numPr>
        <w:spacing w:after="100" w:line="360"/>
      </w:pPr>
      <w:r>
        <w:rPr>
          <w:rFonts w:ascii="Arial" w:cs="Arial" w:eastAsia="Arial" w:hAnsi="Arial"/>
          <w:sz w:val="24"/>
          <w:szCs w:val="24"/>
        </w:rPr>
        <w:t xml:space="preserve">DrugBank / PubChem: Cross-reference known CYP450 metabolism pathways for compounds in combinations</w:t>
      </w:r>
    </w:p>
    <w:p>
      <w:pPr>
        <w:pStyle w:val="ListParagraph"/>
        <w:numPr>
          <w:ilvl w:val="0"/>
          <w:numId w:val="2"/>
        </w:numPr>
        <w:spacing w:after="100" w:line="360"/>
      </w:pPr>
      <w:r>
        <w:rPr>
          <w:rFonts w:ascii="Arial" w:cs="Arial" w:eastAsia="Arial" w:hAnsi="Arial"/>
          <w:sz w:val="24"/>
          <w:szCs w:val="24"/>
        </w:rPr>
        <w:t xml:space="preserve">KNIME (DDI risk assessment): Automated workflow calculating DDI magnitude and clinical relevance for each combination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"Expose hepatocytes to 5-8 combinations at therapeutic concentrations; measure metabolic rate for CYP3A4, 2D6, 2C9, 2C19 substrates via LC-MS/MS"</w:t>
      </w:r>
    </w:p>
    <w:p>
      <w:pPr>
        <w:pStyle w:val="ListParagraph"/>
        <w:numPr>
          <w:ilvl w:val="0"/>
          <w:numId w:val="2"/>
        </w:numPr>
        <w:spacing w:after="100" w:line="360"/>
      </w:pPr>
      <w:r>
        <w:rPr>
          <w:rFonts w:ascii="Arial" w:cs="Arial" w:eastAsia="Arial" w:hAnsi="Arial"/>
          <w:sz w:val="24"/>
          <w:szCs w:val="24"/>
        </w:rPr>
        <w:t xml:space="preserve">"Quantify CYP450 induction: measure metabolic turnover fold-change relative to vehicle control (&gt;1.25-fold = induction)"</w:t>
      </w:r>
    </w:p>
    <w:p>
      <w:pPr>
        <w:pStyle w:val="ListParagraph"/>
        <w:numPr>
          <w:ilvl w:val="0"/>
          <w:numId w:val="2"/>
        </w:numPr>
        <w:spacing w:after="100" w:line="360"/>
      </w:pPr>
      <w:r>
        <w:rPr>
          <w:rFonts w:ascii="Arial" w:cs="Arial" w:eastAsia="Arial" w:hAnsi="Arial"/>
          <w:sz w:val="24"/>
          <w:szCs w:val="24"/>
        </w:rPr>
        <w:t xml:space="preserve">"Predict clinical DDI magnitude: if induction/inhibition observed, estimate AUC change in vivo and assess need for dose adjustments"</w:t>
      </w:r>
    </w:p>
    <w:p>
      <w:pPr>
        <w:pStyle w:val="ListParagraph"/>
        <w:numPr>
          <w:ilvl w:val="0"/>
          <w:numId w:val="2"/>
        </w:numPr>
        <w:spacing w:after="100" w:line="360"/>
      </w:pPr>
      <w:r>
        <w:rPr>
          <w:rFonts w:ascii="Arial" w:cs="Arial" w:eastAsia="Arial" w:hAnsi="Arial"/>
          <w:sz w:val="24"/>
          <w:szCs w:val="24"/>
        </w:rPr>
        <w:t xml:space="preserve">"Categorize combinations by DDI risk: low DDI potential (minimal CYP induction/inhibition), moderate DDI risk, high DDI risk requiring dose monitoring"</w:t>
      </w:r>
    </w:p>
    <w:p>
      <w:pPr>
        <w:pStyle w:val="ListParagraph"/>
        <w:numPr>
          <w:ilvl w:val="0"/>
          <w:numId w:val="2"/>
        </w:numPr>
        <w:spacing w:after="100" w:line="360"/>
      </w:pPr>
      <w:r>
        <w:rPr>
          <w:rFonts w:ascii="Arial" w:cs="Arial" w:eastAsia="Arial" w:hAnsi="Arial"/>
          <w:sz w:val="24"/>
          <w:szCs w:val="24"/>
        </w:rPr>
        <w:t xml:space="preserve">"Generate clinical dosing recommendations incorporating predicted DDI: suggest dose adjustments for concomitant medications metabolized by affected CYP450 enzymes"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CYP450 DDI assessment table: 5-8 combinations with CYP3A4/2D6/2C9 induction/inhibition fold-changes and clinical DDI magnitude estimates</w:t>
      </w:r>
    </w:p>
    <w:p>
      <w:pPr>
        <w:pStyle w:val="ListParagraph"/>
        <w:numPr>
          <w:ilvl w:val="0"/>
          <w:numId w:val="2"/>
        </w:numPr>
        <w:spacing w:after="100" w:line="360"/>
      </w:pPr>
      <w:r>
        <w:rPr>
          <w:rFonts w:ascii="Arial" w:cs="Arial" w:eastAsia="Arial" w:hAnsi="Arial"/>
          <w:sz w:val="24"/>
          <w:szCs w:val="24"/>
        </w:rPr>
        <w:t xml:space="preserve">LC-MS/MS metabolite formation curves: substrate metabolite production rates for key CYP450 enzymes at combination concentrations</w:t>
      </w:r>
    </w:p>
    <w:p>
      <w:pPr>
        <w:pStyle w:val="ListParagraph"/>
        <w:numPr>
          <w:ilvl w:val="0"/>
          <w:numId w:val="2"/>
        </w:numPr>
        <w:spacing w:after="100" w:line="360"/>
      </w:pPr>
      <w:r>
        <w:rPr>
          <w:rFonts w:ascii="Arial" w:cs="Arial" w:eastAsia="Arial" w:hAnsi="Arial"/>
          <w:sz w:val="24"/>
          <w:szCs w:val="24"/>
        </w:rPr>
        <w:t xml:space="preserve">Predicted AUC change heatmap: fold-changes in substrate drug AUC if used concomitantly with combinations (highlights DDI risk)</w:t>
      </w:r>
    </w:p>
    <w:p>
      <w:pPr>
        <w:pStyle w:val="ListParagraph"/>
        <w:numPr>
          <w:ilvl w:val="0"/>
          <w:numId w:val="2"/>
        </w:numPr>
        <w:spacing w:after="100" w:line="360"/>
      </w:pPr>
      <w:r>
        <w:rPr>
          <w:rFonts w:ascii="Arial" w:cs="Arial" w:eastAsia="Arial" w:hAnsi="Arial"/>
          <w:sz w:val="24"/>
          <w:szCs w:val="24"/>
        </w:rPr>
        <w:t xml:space="preserve">DDI risk categorization: combinations ranked as low/moderate/high DDI risk with specific enzyme interactions identified</w:t>
      </w:r>
    </w:p>
    <w:p>
      <w:pPr>
        <w:pStyle w:val="ListParagraph"/>
        <w:numPr>
          <w:ilvl w:val="0"/>
          <w:numId w:val="2"/>
        </w:numPr>
        <w:spacing w:after="100" w:line="360"/>
      </w:pPr>
      <w:r>
        <w:rPr>
          <w:rFonts w:ascii="Arial" w:cs="Arial" w:eastAsia="Arial" w:hAnsi="Arial"/>
          <w:sz w:val="24"/>
          <w:szCs w:val="24"/>
        </w:rPr>
        <w:t xml:space="preserve">Clinical dosing guidance document: recommended dose adjustments for concomitant CYP450-metabolized medications with each combination</w:t>
      </w:r>
    </w:p>
    <w:p>
      <w:pPr>
        <w:pStyle w:val="ListParagraph"/>
        <w:numPr>
          <w:ilvl w:val="0"/>
          <w:numId w:val="2"/>
        </w:numPr>
        <w:spacing w:after="100" w:line="360"/>
      </w:pPr>
      <w:r>
        <w:rPr>
          <w:rFonts w:ascii="Arial" w:cs="Arial" w:eastAsia="Arial" w:hAnsi="Arial"/>
          <w:sz w:val="24"/>
          <w:szCs w:val="24"/>
        </w:rPr>
        <w:t xml:space="preserve">Final recommended combinations: 3-5 combinations with low DDI risk and clinical safety profile suitable for IND advancement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DDI assessment and AUC prediction tables; PDF CYP450 analysis plots; Clinical dosing guidance document; CSV final candidates</w:t>
      </w:r>
    </w:p>
    <w:p>
      <w:pPr>
        <w:pStyle w:val="Heading2"/>
      </w:pPr>
      <w:r>
        <w:rPr>
          <w:rFonts w:ascii="Arial" w:cs="Arial" w:eastAsia="Arial" w:hAnsi="Arial"/>
          <w:b/>
          <w:bCs/>
          <w:sz w:val="28"/>
          <w:szCs w:val="28"/>
        </w:rPr>
        <w:t xml:space="preserve">Stage 6: Final Combination Ranking and Clinical Development Roadmap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all efficacy, safety, DDI, and mechanistic data to rank top 3-5 dual-mechanism pain combinations and generate clinical development roadmaps including proposed dose ratios, efficacy-safety profiles, and IND-ready recommendations.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efficacy, safety, and DDI data from Stages 1-5 for all combinations evaluated</w:t>
      </w:r>
    </w:p>
    <w:p>
      <w:pPr>
        <w:pStyle w:val="ListParagraph"/>
        <w:numPr>
          <w:ilvl w:val="0"/>
          <w:numId w:val="2"/>
        </w:numPr>
        <w:spacing w:after="100" w:line="360"/>
      </w:pPr>
      <w:r>
        <w:rPr>
          <w:rFonts w:ascii="Arial" w:cs="Arial" w:eastAsia="Arial" w:hAnsi="Arial"/>
          <w:sz w:val="24"/>
          <w:szCs w:val="24"/>
        </w:rPr>
        <w:t xml:space="preserve">Combination synergy indices (CI values) and analgesic efficacy EC50 from Stages 2-3</w:t>
      </w:r>
    </w:p>
    <w:p>
      <w:pPr>
        <w:pStyle w:val="ListParagraph"/>
        <w:numPr>
          <w:ilvl w:val="0"/>
          <w:numId w:val="2"/>
        </w:numPr>
        <w:spacing w:after="100" w:line="360"/>
      </w:pPr>
      <w:r>
        <w:rPr>
          <w:rFonts w:ascii="Arial" w:cs="Arial" w:eastAsia="Arial" w:hAnsi="Arial"/>
          <w:sz w:val="24"/>
          <w:szCs w:val="24"/>
        </w:rPr>
        <w:t xml:space="preserve">CNS depression risk scores and respiratory safety profiles from Stages 4-5</w:t>
      </w:r>
    </w:p>
    <w:p>
      <w:pPr>
        <w:pStyle w:val="ListParagraph"/>
        <w:numPr>
          <w:ilvl w:val="0"/>
          <w:numId w:val="2"/>
        </w:numPr>
        <w:spacing w:after="100" w:line="360"/>
      </w:pPr>
      <w:r>
        <w:rPr>
          <w:rFonts w:ascii="Arial" w:cs="Arial" w:eastAsia="Arial" w:hAnsi="Arial"/>
          <w:sz w:val="24"/>
          <w:szCs w:val="24"/>
        </w:rPr>
        <w:t xml:space="preserve">Drug-drug interaction assessments and CYP450 induction/inhibition data from Stage 5</w:t>
      </w:r>
    </w:p>
    <w:p>
      <w:pPr>
        <w:pStyle w:val="ListParagraph"/>
        <w:numPr>
          <w:ilvl w:val="0"/>
          <w:numId w:val="2"/>
        </w:numPr>
        <w:spacing w:after="100" w:line="360"/>
      </w:pPr>
      <w:r>
        <w:rPr>
          <w:rFonts w:ascii="Arial" w:cs="Arial" w:eastAsia="Arial" w:hAnsi="Arial"/>
          <w:sz w:val="24"/>
          <w:szCs w:val="24"/>
        </w:rPr>
        <w:t xml:space="preserve">Known clinical dosages and human PK parameters for compounds with prior use to enable dose scaling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 (multi-criteria decision analysis, weighted scoring): Integrate efficacy, CNS-sparing, respiratory-safe, DDI low-risk metrics into composite ranking</w:t>
      </w:r>
    </w:p>
    <w:p>
      <w:pPr>
        <w:pStyle w:val="ListParagraph"/>
        <w:numPr>
          <w:ilvl w:val="0"/>
          <w:numId w:val="2"/>
        </w:numPr>
        <w:spacing w:after="100" w:line="360"/>
      </w:pPr>
      <w:r>
        <w:rPr>
          <w:rFonts w:ascii="Arial" w:cs="Arial" w:eastAsia="Arial" w:hAnsi="Arial"/>
          <w:sz w:val="24"/>
          <w:szCs w:val="24"/>
        </w:rPr>
        <w:t xml:space="preserve">Python (visualization, summary table generation): Generate comprehensive combination profile tables and clinical development roadmaps</w:t>
      </w:r>
    </w:p>
    <w:p>
      <w:pPr>
        <w:pStyle w:val="ListParagraph"/>
        <w:numPr>
          <w:ilvl w:val="0"/>
          <w:numId w:val="2"/>
        </w:numPr>
        <w:spacing w:after="100" w:line="360"/>
      </w:pPr>
      <w:r>
        <w:rPr>
          <w:rFonts w:ascii="Arial" w:cs="Arial" w:eastAsia="Arial" w:hAnsi="Arial"/>
          <w:sz w:val="24"/>
          <w:szCs w:val="24"/>
        </w:rPr>
        <w:t xml:space="preserve">KNIME (IND briefing package generator): Automated workflow creating regulatory-ready clinical development plans for top combinations</w:t>
      </w:r>
    </w:p>
    <w:p>
      <w:pPr>
        <w:pStyle w:val="ListParagraph"/>
        <w:numPr>
          <w:ilvl w:val="0"/>
          <w:numId w:val="2"/>
        </w:numPr>
        <w:spacing w:after="100" w:line="360"/>
      </w:pPr>
      <w:r>
        <w:rPr>
          <w:rFonts w:ascii="Arial" w:cs="Arial" w:eastAsia="Arial" w:hAnsi="Arial"/>
          <w:sz w:val="24"/>
          <w:szCs w:val="24"/>
        </w:rPr>
        <w:t xml:space="preserve">DrugBank / FDA guidance documents: Cross-reference regulatory expectations for combination products and dual-mechanism therapies</w:t>
      </w:r>
    </w:p>
    <w:p>
      <w:pPr>
        <w:pStyle w:val="ListParagraph"/>
        <w:numPr>
          <w:ilvl w:val="0"/>
          <w:numId w:val="2"/>
        </w:numPr>
        <w:spacing w:after="100" w:line="360"/>
      </w:pPr>
      <w:r>
        <w:rPr>
          <w:rFonts w:ascii="Arial" w:cs="Arial" w:eastAsia="Arial" w:hAnsi="Arial"/>
          <w:sz w:val="24"/>
          <w:szCs w:val="24"/>
        </w:rPr>
        <w:t xml:space="preserve">Clinical trial simulation software: Predict probability of success in Phase II pain efficacy studies based on EP-derived potency</w:t>
      </w:r>
    </w:p>
    <w:p>
      <w:pPr>
        <w:pStyle w:val="ListParagraph"/>
        <w:numPr>
          <w:ilvl w:val="0"/>
          <w:numId w:val="2"/>
        </w:numPr>
        <w:spacing w:after="100" w:line="360"/>
      </w:pPr>
      <w:r>
        <w:rPr>
          <w:rFonts w:ascii="Arial" w:cs="Arial" w:eastAsia="Arial" w:hAnsi="Arial"/>
          <w:sz w:val="24"/>
          <w:szCs w:val="24"/>
        </w:rPr>
        <w:t xml:space="preserve">IND briefing package formatting tools (Word, python-docx): Generate publication-quality regulatory submission documents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"Implement weighted multi-criteria scoring: (synergy CI × 0.3) + (CNS-sparing score × 0.35) + (respiratory-safe × 0.2) + (low DDI × 0.15)"</w:t>
      </w:r>
    </w:p>
    <w:p>
      <w:pPr>
        <w:pStyle w:val="ListParagraph"/>
        <w:numPr>
          <w:ilvl w:val="0"/>
          <w:numId w:val="2"/>
        </w:numPr>
        <w:spacing w:after="100" w:line="360"/>
      </w:pPr>
      <w:r>
        <w:rPr>
          <w:rFonts w:ascii="Arial" w:cs="Arial" w:eastAsia="Arial" w:hAnsi="Arial"/>
          <w:sz w:val="24"/>
          <w:szCs w:val="24"/>
        </w:rPr>
        <w:t xml:space="preserve">"Rank all evaluated combinations by integrated score and identify top 3-5 candidates with excellent synergistic pain suppression and CNS/respiratory sparing"</w:t>
      </w:r>
    </w:p>
    <w:p>
      <w:pPr>
        <w:pStyle w:val="ListParagraph"/>
        <w:numPr>
          <w:ilvl w:val="0"/>
          <w:numId w:val="2"/>
        </w:numPr>
        <w:spacing w:after="100" w:line="360"/>
      </w:pPr>
      <w:r>
        <w:rPr>
          <w:rFonts w:ascii="Arial" w:cs="Arial" w:eastAsia="Arial" w:hAnsi="Arial"/>
          <w:sz w:val="24"/>
          <w:szCs w:val="24"/>
        </w:rPr>
        <w:t xml:space="preserve">"Develop clinical dose ratio recommendations: calculate optimal molar ratio of agents at synergy-achieving concentrations"</w:t>
      </w:r>
    </w:p>
    <w:p>
      <w:pPr>
        <w:pStyle w:val="ListParagraph"/>
        <w:numPr>
          <w:ilvl w:val="0"/>
          <w:numId w:val="2"/>
        </w:numPr>
        <w:spacing w:after="100" w:line="360"/>
      </w:pPr>
      <w:r>
        <w:rPr>
          <w:rFonts w:ascii="Arial" w:cs="Arial" w:eastAsia="Arial" w:hAnsi="Arial"/>
          <w:sz w:val="24"/>
          <w:szCs w:val="24"/>
        </w:rPr>
        <w:t xml:space="preserve">"Create clinical development roadmap: Phase I/IIA dosing strategy, proposed efficacy endpoints, safety monitoring requirements"</w:t>
      </w:r>
    </w:p>
    <w:p>
      <w:pPr>
        <w:pStyle w:val="ListParagraph"/>
        <w:numPr>
          <w:ilvl w:val="0"/>
          <w:numId w:val="2"/>
        </w:numPr>
        <w:spacing w:after="100" w:line="360"/>
      </w:pPr>
      <w:r>
        <w:rPr>
          <w:rFonts w:ascii="Arial" w:cs="Arial" w:eastAsia="Arial" w:hAnsi="Arial"/>
          <w:sz w:val="24"/>
          <w:szCs w:val="24"/>
        </w:rPr>
        <w:t xml:space="preserve">"Generate IND briefing package with combination-specific CMC information, nonclinical safety summary, and proposed Phase I study design"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combination ranking table: all evaluated combinations with synergy CI, CNS-sparing score, respiratory safety score, DDI risk, integrated score</w:t>
      </w:r>
    </w:p>
    <w:p>
      <w:pPr>
        <w:pStyle w:val="ListParagraph"/>
        <w:numPr>
          <w:ilvl w:val="0"/>
          <w:numId w:val="2"/>
        </w:numPr>
        <w:spacing w:after="100" w:line="360"/>
      </w:pPr>
      <w:r>
        <w:rPr>
          <w:rFonts w:ascii="Arial" w:cs="Arial" w:eastAsia="Arial" w:hAnsi="Arial"/>
          <w:sz w:val="24"/>
          <w:szCs w:val="24"/>
        </w:rPr>
        <w:t xml:space="preserve">Top 3-5 combination profiles: detailed efficacy/safety/DDI summaries with proposed dose ratios and clinical dosing strategy</w:t>
      </w:r>
    </w:p>
    <w:p>
      <w:pPr>
        <w:pStyle w:val="ListParagraph"/>
        <w:numPr>
          <w:ilvl w:val="0"/>
          <w:numId w:val="2"/>
        </w:numPr>
        <w:spacing w:after="100" w:line="360"/>
      </w:pPr>
      <w:r>
        <w:rPr>
          <w:rFonts w:ascii="Arial" w:cs="Arial" w:eastAsia="Arial" w:hAnsi="Arial"/>
          <w:sz w:val="24"/>
          <w:szCs w:val="24"/>
        </w:rPr>
        <w:t xml:space="preserve">Clinical efficacy-safety comparison plots: radar plots or multiparameter profiles visually comparing top combinations</w:t>
      </w:r>
    </w:p>
    <w:p>
      <w:pPr>
        <w:pStyle w:val="ListParagraph"/>
        <w:numPr>
          <w:ilvl w:val="0"/>
          <w:numId w:val="2"/>
        </w:numPr>
        <w:spacing w:after="100" w:line="360"/>
      </w:pPr>
      <w:r>
        <w:rPr>
          <w:rFonts w:ascii="Arial" w:cs="Arial" w:eastAsia="Arial" w:hAnsi="Arial"/>
          <w:sz w:val="24"/>
          <w:szCs w:val="24"/>
        </w:rPr>
        <w:t xml:space="preserve">Optimal combination dose ratio recommendations: proposed molar ratios and anticipated human starting doses (mg/kg) derived from EP-PK correlation</w:t>
      </w:r>
    </w:p>
    <w:p>
      <w:pPr>
        <w:pStyle w:val="ListParagraph"/>
        <w:numPr>
          <w:ilvl w:val="0"/>
          <w:numId w:val="2"/>
        </w:numPr>
        <w:spacing w:after="100" w:line="360"/>
      </w:pPr>
      <w:r>
        <w:rPr>
          <w:rFonts w:ascii="Arial" w:cs="Arial" w:eastAsia="Arial" w:hAnsi="Arial"/>
          <w:sz w:val="24"/>
          <w:szCs w:val="24"/>
        </w:rPr>
        <w:t xml:space="preserve">Clinical trial design recommendations: Phase I/IIA protocol outline, proposed efficacy endpoints, safety monitoring, PK sampling strategy</w:t>
      </w:r>
    </w:p>
    <w:p>
      <w:pPr>
        <w:pStyle w:val="ListParagraph"/>
        <w:numPr>
          <w:ilvl w:val="0"/>
          <w:numId w:val="2"/>
        </w:numPr>
        <w:spacing w:after="100" w:line="360"/>
      </w:pPr>
      <w:r>
        <w:rPr>
          <w:rFonts w:ascii="Arial" w:cs="Arial" w:eastAsia="Arial" w:hAnsi="Arial"/>
          <w:sz w:val="24"/>
          <w:szCs w:val="24"/>
        </w:rPr>
        <w:t xml:space="preserve">IND briefing package: regulatory-ready combination safety/efficacy summary, CMC manufacturing overview, clinical development roadmap</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comprehensive ranking table; PDF combination profiles and radar plots; Clinical development roadmap document; IND briefing package (Word/PDF); Python analysis notebooks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Pain Drug + CNS Neuron Libraries: 50-100 dual-mechanism pain combinations pre-profiled in peripheral and CNS systems</w:t>
      </w:r>
    </w:p>
    <w:p>
      <w:pPr>
        <w:pStyle w:val="ListParagraph"/>
        <w:numPr>
          <w:ilvl w:val="0"/>
          <w:numId w:val="2"/>
        </w:numPr>
        <w:spacing w:after="100" w:line="360"/>
      </w:pPr>
      <w:r>
        <w:rPr>
          <w:rFonts w:ascii="Arial" w:cs="Arial" w:eastAsia="Arial" w:hAnsi="Arial"/>
          <w:sz w:val="24"/>
          <w:szCs w:val="24"/>
        </w:rPr>
        <w:t xml:space="preserve">Multi-Electrode Array (MEA) Systems: Cortical networks, thalamic relay neurons, and brainstem respiratory network recordings</w:t>
      </w:r>
    </w:p>
    <w:p>
      <w:pPr>
        <w:pStyle w:val="ListParagraph"/>
        <w:numPr>
          <w:ilvl w:val="0"/>
          <w:numId w:val="2"/>
        </w:numPr>
        <w:spacing w:after="100" w:line="360"/>
      </w:pPr>
      <w:r>
        <w:rPr>
          <w:rFonts w:ascii="Arial" w:cs="Arial" w:eastAsia="Arial" w:hAnsi="Arial"/>
          <w:sz w:val="24"/>
          <w:szCs w:val="24"/>
        </w:rPr>
        <w:t xml:space="preserve">Fluo-4 Calcium Imaging: High-throughput nociceptor pain response and cortical depression phenotyping</w:t>
      </w:r>
    </w:p>
    <w:p>
      <w:pPr>
        <w:pStyle w:val="ListParagraph"/>
        <w:numPr>
          <w:ilvl w:val="0"/>
          <w:numId w:val="2"/>
        </w:numPr>
        <w:spacing w:after="100" w:line="360"/>
      </w:pPr>
      <w:r>
        <w:rPr>
          <w:rFonts w:ascii="Arial" w:cs="Arial" w:eastAsia="Arial" w:hAnsi="Arial"/>
          <w:sz w:val="24"/>
          <w:szCs w:val="24"/>
        </w:rPr>
        <w:t xml:space="preserve">Python (scipy, numpy, pandas, signal processing): Pharmacological synergy calculations and dose-response analysis</w:t>
      </w:r>
    </w:p>
    <w:p>
      <w:pPr>
        <w:pStyle w:val="ListParagraph"/>
        <w:numPr>
          <w:ilvl w:val="0"/>
          <w:numId w:val="2"/>
        </w:numPr>
        <w:spacing w:after="100" w:line="360"/>
      </w:pPr>
      <w:r>
        <w:rPr>
          <w:rFonts w:ascii="Arial" w:cs="Arial" w:eastAsia="Arial" w:hAnsi="Arial"/>
          <w:sz w:val="24"/>
          <w:szCs w:val="24"/>
        </w:rPr>
        <w:t xml:space="preserve">R (tidyverse, ggplot2, statistical models): Multi-criteria ranking and comprehensive profile visualizations</w:t>
      </w:r>
    </w:p>
    <w:p>
      <w:pPr>
        <w:pStyle w:val="ListParagraph"/>
        <w:numPr>
          <w:ilvl w:val="0"/>
          <w:numId w:val="2"/>
        </w:numPr>
        <w:spacing w:after="100" w:line="360"/>
      </w:pPr>
      <w:r>
        <w:rPr>
          <w:rFonts w:ascii="Arial" w:cs="Arial" w:eastAsia="Arial" w:hAnsi="Arial"/>
          <w:sz w:val="24"/>
          <w:szCs w:val="24"/>
        </w:rPr>
        <w:t xml:space="preserve">KNIME Analytics Platform: Automated multi-stage combination screening and IND package generation</w:t>
      </w:r>
    </w:p>
    <w:p>
      <w:pPr>
        <w:pStyle w:val="ListParagraph"/>
        <w:numPr>
          <w:ilvl w:val="0"/>
          <w:numId w:val="2"/>
        </w:numPr>
        <w:spacing w:after="100" w:line="360"/>
      </w:pPr>
      <w:r>
        <w:rPr>
          <w:rFonts w:ascii="Arial" w:cs="Arial" w:eastAsia="Arial" w:hAnsi="Arial"/>
          <w:sz w:val="24"/>
          <w:szCs w:val="24"/>
        </w:rPr>
        <w:t xml:space="preserve">CompuSyn: Specialized software for combination index and isobologram analysis</w:t>
      </w:r>
    </w:p>
    <w:p>
      <w:pPr>
        <w:pStyle w:val="ListParagraph"/>
        <w:numPr>
          <w:ilvl w:val="0"/>
          <w:numId w:val="2"/>
        </w:numPr>
        <w:spacing w:after="100" w:line="360"/>
      </w:pPr>
      <w:r>
        <w:rPr>
          <w:rFonts w:ascii="Arial" w:cs="Arial" w:eastAsia="Arial" w:hAnsi="Arial"/>
          <w:sz w:val="24"/>
          <w:szCs w:val="24"/>
        </w:rPr>
        <w:t xml:space="preserve">LC-MS/MS: Quantitative drug and metabolite measurement for CYP450 interaction studies</w:t>
      </w:r>
    </w:p>
    <w:p>
      <w:pPr>
        <w:pStyle w:val="ListParagraph"/>
        <w:numPr>
          <w:ilvl w:val="0"/>
          <w:numId w:val="2"/>
        </w:numPr>
        <w:spacing w:after="100" w:line="360"/>
      </w:pPr>
      <w:r>
        <w:rPr>
          <w:rFonts w:ascii="Arial" w:cs="Arial" w:eastAsia="Arial" w:hAnsi="Arial"/>
          <w:sz w:val="24"/>
          <w:szCs w:val="24"/>
        </w:rPr>
        <w:t xml:space="preserve">High-Speed Video Microscopy: Ciliary beat frequency measurement and respiratory epithelial assessment</w:t>
      </w:r>
    </w:p>
    <w:p>
      <w:pPr>
        <w:pStyle w:val="ListParagraph"/>
        <w:numPr>
          <w:ilvl w:val="0"/>
          <w:numId w:val="2"/>
        </w:numPr>
        <w:spacing w:after="100" w:line="360"/>
      </w:pPr>
      <w:r>
        <w:rPr>
          <w:rFonts w:ascii="Arial" w:cs="Arial" w:eastAsia="Arial" w:hAnsi="Arial"/>
          <w:sz w:val="24"/>
          <w:szCs w:val="24"/>
        </w:rPr>
        <w:t xml:space="preserve">DrugBank / PubChem: Compound structure, known pharmacology, and clinical dosage reference data</w:t>
      </w:r>
    </w:p>
    <w:p>
      <w:pPr>
        <w:pStyle w:val="ListParagraph"/>
        <w:numPr>
          <w:ilvl w:val="0"/>
          <w:numId w:val="2"/>
        </w:numPr>
        <w:spacing w:after="100" w:line="360"/>
      </w:pPr>
      <w:r>
        <w:rPr>
          <w:rFonts w:ascii="Arial" w:cs="Arial" w:eastAsia="Arial" w:hAnsi="Arial"/>
          <w:sz w:val="24"/>
          <w:szCs w:val="24"/>
        </w:rPr>
        <w:t xml:space="preserve">FDA Guidance Documents: Regulatory requirements for combination drug products and DDI assessment</w:t>
      </w:r>
    </w:p>
    <w:p>
      <w:pPr>
        <w:pStyle w:val="ListParagraph"/>
        <w:numPr>
          <w:ilvl w:val="0"/>
          <w:numId w:val="2"/>
        </w:numPr>
        <w:spacing w:after="100" w:line="360"/>
      </w:pPr>
      <w:r>
        <w:rPr>
          <w:rFonts w:ascii="Arial" w:cs="Arial" w:eastAsia="Arial" w:hAnsi="Arial"/>
          <w:sz w:val="24"/>
          <w:szCs w:val="24"/>
        </w:rPr>
        <w:t xml:space="preserve">Clinical Trial Simulation Software: Probability-of-success predictions for Phase II pain efficacy studies</w:t>
      </w:r>
    </w:p>
    <w:p>
      <w:pPr>
        <w:pStyle w:val="ListParagraph"/>
        <w:numPr>
          <w:ilvl w:val="0"/>
          <w:numId w:val="2"/>
        </w:numPr>
        <w:spacing w:after="100" w:line="360"/>
      </w:pPr>
      <w:r>
        <w:rPr>
          <w:rFonts w:ascii="Arial" w:cs="Arial" w:eastAsia="Arial" w:hAnsi="Arial"/>
          <w:sz w:val="24"/>
          <w:szCs w:val="24"/>
        </w:rPr>
        <w:t xml:space="preserve">Python-docx / Markdown: IND briefing package and clinical development documentation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2026-03-04T14:19:34.671Z</dcterms:created>
  <dcterms:modified xsi:type="dcterms:W3CDTF">2026-03-04T14:19:34.672Z</dcterms:modified>
</cp:coreProperties>
</file>

<file path=docProps/custom.xml><?xml version="1.0" encoding="utf-8"?>
<Properties xmlns="http://schemas.openxmlformats.org/officeDocument/2006/custom-properties" xmlns:vt="http://schemas.openxmlformats.org/officeDocument/2006/docPropsVTypes"/>
</file>