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Identify Ion Channel Modulators Predicted to Reduce Chronic Neuropathic Pain</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Identify ion channel modulators predicted to reduce chronic neuropathic pain.</w:t>
      </w:r>
    </w:p>
    <w:p>
      <w:pPr>
        <w:spacing w:after="200" w:line="360"/>
      </w:pPr>
      <w:r>
        <w:rPr>
          <w:rFonts w:ascii="Arial" w:cs="Arial" w:eastAsia="Arial" w:hAnsi="Arial"/>
          <w:sz w:val="24"/>
          <w:szCs w:val="24"/>
        </w:rPr>
        <w:t xml:space="preserve">This pipeline leverages Quiver Bioscience's electrophysiology CRISPR atlas to identify ion channel modulators targeting HCN (hyperpolarization-activated cyclic nucleotide-gated) channels, Kv7 (KCNQ) potassium channels, T-type calcium channels (Cav3.2), and ASIC (acid-sensing ion) channels that rescue chronic neuropathic pain phenotypes. Neuropathic pain involves aberrant ion channel function including HCN channel upregulation in peripheral sensory neurons (causing ectopic spontaneous firing), Kv7 channel downregulation (loss of repolarization capacity), T-type calcium channel enhancement (amplified pain signal transduction), and ASIC1a overexpression (heightened acid-sensing nociception). The pipeline systematically screens 200+ ion channel modulators in primary sensory neurons derived from neuropathic pain models and neuropathic pain disease-relevant iPSC lines to identify compounds that normalize electrophysiological signatures back toward healthy baselines.</w:t>
      </w:r>
    </w:p>
    <w:p>
      <w:pPr>
        <w:spacing w:after="200" w:line="360"/>
      </w:pPr>
      <w:r>
        <w:rPr>
          <w:rFonts w:ascii="Arial" w:cs="Arial" w:eastAsia="Arial" w:hAnsi="Arial"/>
          <w:sz w:val="24"/>
          <w:szCs w:val="24"/>
        </w:rPr>
        <w:t xml:space="preserve">The pipeline integrates whole-cell voltage clamp characterization of ion channel modulation with phenotypic rescue assays (spontaneous ectopic firing suppression, action potential normalization, pain-evoked response reduction) and peripheral/central sensitization markers. Compounds are ranked by efficacy in restoring neuropathic neuron EP signatures toward healthy states, selectivity for disease-relevant channels, and preserved function in non-pain neurons. The final output comprises ranked ion channel modulators with detailed mechanistic EP profiles, predicted efficacy in chronic pain indications, and clinical advancement recommendations for neuropathic pain drug development.</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pipeline integrates disease-specific ion channel phenotyping with targeted compound screening to identify modulators restoring neuropathic neuron function. Beginning with detailed electrophysiological characterization of neuropathic pain sensory neurons (derived from patient-relevant models or neuropathic iPSC lines), the workflow establishes the pathological ion channel signature including HCN current elevation, Kv7 current reduction, T-type calcium current augmentation, and ASIC channel dysfunction. This signature serves as the therapeutic target profile against which 200+ ion channel modulators are systematically profiled in voltage clamp and pain-evoked nociceptor response assays.</w:t>
      </w:r>
    </w:p>
    <w:p>
      <w:pPr>
        <w:spacing w:after="200" w:line="360"/>
      </w:pPr>
      <w:r>
        <w:rPr>
          <w:rFonts w:ascii="Arial" w:cs="Arial" w:eastAsia="Arial" w:hAnsi="Arial"/>
          <w:sz w:val="24"/>
          <w:szCs w:val="24"/>
        </w:rPr>
        <w:t xml:space="preserve">Candidates are ranked by efficacy in normalizing neuropathic ion channel signatures (HCN current suppression, Kv7 enhancement, T-type inhibition, ASIC blockade), selectivity for neuropathic-relevant channels over non-pain neurons, and functional rescue of neuropathic pain phenotypes (ectopic firing suppression, mechanical/thermal nociceptor sensitization reduction). The final deliverable comprises ranked ion channel modulators with detailed mechanistic profiles, predicted neuropathic pain efficacy, safety/selectivity assessments, and clinical recommendations. This approach enables rational targeting of ion channel dysregulation underlying chronic neuropathic pain pathophysiology.</w:t>
      </w:r>
    </w:p>
    <w:p>
      <w:pPr>
        <w:pStyle w:val="Heading2"/>
      </w:pPr>
      <w:r>
        <w:rPr>
          <w:rFonts w:ascii="Arial" w:cs="Arial" w:eastAsia="Arial" w:hAnsi="Arial"/>
          <w:b/>
          <w:bCs/>
          <w:sz w:val="28"/>
          <w:szCs w:val="28"/>
        </w:rPr>
        <w:t xml:space="preserve">Stage 1: Neuropathic Pain Ion Channel Phenotype Profiling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Comprehensively characterize ion channel expression and function in chronic neuropathic pain sensory neurons to define the pathological EP signature that serves as the therapeutic target for ion channel modulator screening.</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Primary sensory neurons from chronic neuropathic pain models (partial nerve ligation, paclitaxel-induced, diabetic neuropathy models)</w:t>
      </w:r>
    </w:p>
    <w:p>
      <w:pPr>
        <w:pStyle w:val="ListParagraph"/>
        <w:numPr>
          <w:ilvl w:val="0"/>
          <w:numId w:val="2"/>
        </w:numPr>
        <w:spacing w:after="100" w:line="360"/>
      </w:pPr>
      <w:r>
        <w:rPr>
          <w:rFonts w:ascii="Arial" w:cs="Arial" w:eastAsia="Arial" w:hAnsi="Arial"/>
          <w:sz w:val="24"/>
          <w:szCs w:val="24"/>
        </w:rPr>
        <w:t xml:space="preserve">Patient-derived iPSC neuropathic pain sensory neurons (disease-in-a-dish models) for human-relevant phenotyping</w:t>
      </w:r>
    </w:p>
    <w:p>
      <w:pPr>
        <w:pStyle w:val="ListParagraph"/>
        <w:numPr>
          <w:ilvl w:val="0"/>
          <w:numId w:val="2"/>
        </w:numPr>
        <w:spacing w:after="100" w:line="360"/>
      </w:pPr>
      <w:r>
        <w:rPr>
          <w:rFonts w:ascii="Arial" w:cs="Arial" w:eastAsia="Arial" w:hAnsi="Arial"/>
          <w:sz w:val="24"/>
          <w:szCs w:val="24"/>
        </w:rPr>
        <w:t xml:space="preserve">Whole-cell voltage clamp recordings: HCN current, Kv7 current, T-type Cav3.2 current, ASIC1a current characterization</w:t>
      </w:r>
    </w:p>
    <w:p>
      <w:pPr>
        <w:pStyle w:val="ListParagraph"/>
        <w:numPr>
          <w:ilvl w:val="0"/>
          <w:numId w:val="2"/>
        </w:numPr>
        <w:spacing w:after="100" w:line="360"/>
      </w:pPr>
      <w:r>
        <w:rPr>
          <w:rFonts w:ascii="Arial" w:cs="Arial" w:eastAsia="Arial" w:hAnsi="Arial"/>
          <w:sz w:val="24"/>
          <w:szCs w:val="24"/>
        </w:rPr>
        <w:t xml:space="preserve">Current clamp action potential analysis: resting potential, ectopic spontaneous firing rate/pattern, action potential morphology</w:t>
      </w:r>
    </w:p>
    <w:p>
      <w:pPr>
        <w:pStyle w:val="ListParagraph"/>
        <w:numPr>
          <w:ilvl w:val="0"/>
          <w:numId w:val="2"/>
        </w:numPr>
        <w:spacing w:after="100" w:line="360"/>
      </w:pPr>
      <w:r>
        <w:rPr>
          <w:rFonts w:ascii="Arial" w:cs="Arial" w:eastAsia="Arial" w:hAnsi="Arial"/>
          <w:sz w:val="24"/>
          <w:szCs w:val="24"/>
        </w:rPr>
        <w:t xml:space="preserve">Pain-evoked response assays: mechanical/thermal nociceptor sensitivity, capsaicin response amplitude, bradykinin-induced calcium transients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Neuropathic Pain Ion Channel Panel: Pre-characterized recordings from neuropathic vs healthy sensory neurons</w:t>
      </w:r>
    </w:p>
    <w:p>
      <w:pPr>
        <w:pStyle w:val="ListParagraph"/>
        <w:numPr>
          <w:ilvl w:val="0"/>
          <w:numId w:val="2"/>
        </w:numPr>
        <w:spacing w:after="100" w:line="360"/>
      </w:pPr>
      <w:r>
        <w:rPr>
          <w:rFonts w:ascii="Arial" w:cs="Arial" w:eastAsia="Arial" w:hAnsi="Arial"/>
          <w:sz w:val="24"/>
          <w:szCs w:val="24"/>
        </w:rPr>
        <w:t xml:space="preserve">Igor Pro (Wavemetrics): Current kinetic analysis (activation, inactivation, recovery), voltage relationships, current density quantification</w:t>
      </w:r>
    </w:p>
    <w:p>
      <w:pPr>
        <w:pStyle w:val="ListParagraph"/>
        <w:numPr>
          <w:ilvl w:val="0"/>
          <w:numId w:val="2"/>
        </w:numPr>
        <w:spacing w:after="100" w:line="360"/>
      </w:pPr>
      <w:r>
        <w:rPr>
          <w:rFonts w:ascii="Arial" w:cs="Arial" w:eastAsia="Arial" w:hAnsi="Arial"/>
          <w:sz w:val="24"/>
          <w:szCs w:val="24"/>
        </w:rPr>
        <w:t xml:space="preserve">Python (signal processing, ectopic firing analysis): Detect and quantify spontaneous action potentials, firing frequency, regularity</w:t>
      </w:r>
    </w:p>
    <w:p>
      <w:pPr>
        <w:pStyle w:val="ListParagraph"/>
        <w:numPr>
          <w:ilvl w:val="0"/>
          <w:numId w:val="2"/>
        </w:numPr>
        <w:spacing w:after="100" w:line="360"/>
      </w:pPr>
      <w:r>
        <w:rPr>
          <w:rFonts w:ascii="Arial" w:cs="Arial" w:eastAsia="Arial" w:hAnsi="Arial"/>
          <w:sz w:val="24"/>
          <w:szCs w:val="24"/>
        </w:rPr>
        <w:t xml:space="preserve">R (comparative EP phenotyping): Statistical comparison of ion channel properties between neuropathic and healthy neurons</w:t>
      </w:r>
    </w:p>
    <w:p>
      <w:pPr>
        <w:pStyle w:val="ListParagraph"/>
        <w:numPr>
          <w:ilvl w:val="0"/>
          <w:numId w:val="2"/>
        </w:numPr>
        <w:spacing w:after="100" w:line="360"/>
      </w:pPr>
      <w:r>
        <w:rPr>
          <w:rFonts w:ascii="Arial" w:cs="Arial" w:eastAsia="Arial" w:hAnsi="Arial"/>
          <w:sz w:val="24"/>
          <w:szCs w:val="24"/>
        </w:rPr>
        <w:t xml:space="preserve">Fluo-4 Calcium Imaging: Neuropathic neuron pain-evoked calcium response measurement (mechanical, thermal, chemical stimuli)</w:t>
      </w:r>
    </w:p>
    <w:p>
      <w:pPr>
        <w:pStyle w:val="ListParagraph"/>
        <w:numPr>
          <w:ilvl w:val="0"/>
          <w:numId w:val="2"/>
        </w:numPr>
        <w:spacing w:after="100" w:line="360"/>
      </w:pPr>
      <w:r>
        <w:rPr>
          <w:rFonts w:ascii="Arial" w:cs="Arial" w:eastAsia="Arial" w:hAnsi="Arial"/>
          <w:sz w:val="24"/>
          <w:szCs w:val="24"/>
        </w:rPr>
        <w:t xml:space="preserve">CompuCell3D / MATLAB: Computational modeling of neuropathic ion channel changes and predicted loss-of-function phenotypes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HCN current in neuropathic vs healthy sensory neurons at -50 to -130 mV; quantify fold-change in peak inward current and altered activation kinetics"</w:t>
      </w:r>
    </w:p>
    <w:p>
      <w:pPr>
        <w:pStyle w:val="ListParagraph"/>
        <w:numPr>
          <w:ilvl w:val="0"/>
          <w:numId w:val="2"/>
        </w:numPr>
        <w:spacing w:after="100" w:line="360"/>
      </w:pPr>
      <w:r>
        <w:rPr>
          <w:rFonts w:ascii="Arial" w:cs="Arial" w:eastAsia="Arial" w:hAnsi="Arial"/>
          <w:sz w:val="24"/>
          <w:szCs w:val="24"/>
        </w:rPr>
        <w:t xml:space="preserve">"Quantify Kv7 current reduction: measure outward potassium current with Kv7-selective activation protocol; compare current density neuropathic vs healthy"</w:t>
      </w:r>
    </w:p>
    <w:p>
      <w:pPr>
        <w:pStyle w:val="ListParagraph"/>
        <w:numPr>
          <w:ilvl w:val="0"/>
          <w:numId w:val="2"/>
        </w:numPr>
        <w:spacing w:after="100" w:line="360"/>
      </w:pPr>
      <w:r>
        <w:rPr>
          <w:rFonts w:ascii="Arial" w:cs="Arial" w:eastAsia="Arial" w:hAnsi="Arial"/>
          <w:sz w:val="24"/>
          <w:szCs w:val="24"/>
        </w:rPr>
        <w:t xml:space="preserve">"Characterize T-type calcium current enhancement: voltage clamp recordings in low-sodium high-calcium external solution; measure peak Cav3.2 inward current"</w:t>
      </w:r>
    </w:p>
    <w:p>
      <w:pPr>
        <w:pStyle w:val="ListParagraph"/>
        <w:numPr>
          <w:ilvl w:val="0"/>
          <w:numId w:val="2"/>
        </w:numPr>
        <w:spacing w:after="100" w:line="360"/>
      </w:pPr>
      <w:r>
        <w:rPr>
          <w:rFonts w:ascii="Arial" w:cs="Arial" w:eastAsia="Arial" w:hAnsi="Arial"/>
          <w:sz w:val="24"/>
          <w:szCs w:val="24"/>
        </w:rPr>
        <w:t xml:space="preserve">"Quantify spontaneous ectopic firing: measure action potential frequency, interspike intervals, burst patterns in neuropathic neurons at resting potential"</w:t>
      </w:r>
    </w:p>
    <w:p>
      <w:pPr>
        <w:pStyle w:val="ListParagraph"/>
        <w:numPr>
          <w:ilvl w:val="0"/>
          <w:numId w:val="2"/>
        </w:numPr>
        <w:spacing w:after="100" w:line="360"/>
      </w:pPr>
      <w:r>
        <w:rPr>
          <w:rFonts w:ascii="Arial" w:cs="Arial" w:eastAsia="Arial" w:hAnsi="Arial"/>
          <w:sz w:val="24"/>
          <w:szCs w:val="24"/>
        </w:rPr>
        <w:t xml:space="preserve">"Profile pain-evoked sensitivity: measure mechanical/thermal nociceptor threshold reduction, capsaicin EC50 decrease, bradykinin response amplification"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Neuropathic ion channel signature profile: quantitative comparison of HCN, Kv7, T-type, ASIC currents in neuropathic vs healthy neurons (fold-changes, EC50, kinetics)</w:t>
      </w:r>
    </w:p>
    <w:p>
      <w:pPr>
        <w:pStyle w:val="ListParagraph"/>
        <w:numPr>
          <w:ilvl w:val="0"/>
          <w:numId w:val="2"/>
        </w:numPr>
        <w:spacing w:after="100" w:line="360"/>
      </w:pPr>
      <w:r>
        <w:rPr>
          <w:rFonts w:ascii="Arial" w:cs="Arial" w:eastAsia="Arial" w:hAnsi="Arial"/>
          <w:sz w:val="24"/>
          <w:szCs w:val="24"/>
        </w:rPr>
        <w:t xml:space="preserve">Current-voltage relationships: HCN, Kv7, T-type calcium, ASIC1a I-V curves comparing neuropathic vs healthy phenotypes</w:t>
      </w:r>
    </w:p>
    <w:p>
      <w:pPr>
        <w:pStyle w:val="ListParagraph"/>
        <w:numPr>
          <w:ilvl w:val="0"/>
          <w:numId w:val="2"/>
        </w:numPr>
        <w:spacing w:after="100" w:line="360"/>
      </w:pPr>
      <w:r>
        <w:rPr>
          <w:rFonts w:ascii="Arial" w:cs="Arial" w:eastAsia="Arial" w:hAnsi="Arial"/>
          <w:sz w:val="24"/>
          <w:szCs w:val="24"/>
        </w:rPr>
        <w:t xml:space="preserve">Ectopic firing characterization: action potential frequency, interspike interval distribution, burst structure in neuropathic neurons</w:t>
      </w:r>
    </w:p>
    <w:p>
      <w:pPr>
        <w:pStyle w:val="ListParagraph"/>
        <w:numPr>
          <w:ilvl w:val="0"/>
          <w:numId w:val="2"/>
        </w:numPr>
        <w:spacing w:after="100" w:line="360"/>
      </w:pPr>
      <w:r>
        <w:rPr>
          <w:rFonts w:ascii="Arial" w:cs="Arial" w:eastAsia="Arial" w:hAnsi="Arial"/>
          <w:sz w:val="24"/>
          <w:szCs w:val="24"/>
        </w:rPr>
        <w:t xml:space="preserve">Pain-evoked response summary: mechanical/thermal nociceptor thresholds, capsaicin EC50 shifts, bradykinin response amplification in neuropathic neurons</w:t>
      </w:r>
    </w:p>
    <w:p>
      <w:pPr>
        <w:pStyle w:val="ListParagraph"/>
        <w:numPr>
          <w:ilvl w:val="0"/>
          <w:numId w:val="2"/>
        </w:numPr>
        <w:spacing w:after="100" w:line="360"/>
      </w:pPr>
      <w:r>
        <w:rPr>
          <w:rFonts w:ascii="Arial" w:cs="Arial" w:eastAsia="Arial" w:hAnsi="Arial"/>
          <w:sz w:val="24"/>
          <w:szCs w:val="24"/>
        </w:rPr>
        <w:t xml:space="preserve">Ion channel disease biomarker panel: prioritized EP metrics (HCN/Kv7 ratio, T-type amplitude, ASIC sensitivity) for therapeutic target assessment</w:t>
      </w:r>
    </w:p>
    <w:p>
      <w:pPr>
        <w:pStyle w:val="ListParagraph"/>
        <w:numPr>
          <w:ilvl w:val="0"/>
          <w:numId w:val="2"/>
        </w:numPr>
        <w:spacing w:after="100" w:line="360"/>
      </w:pPr>
      <w:r>
        <w:rPr>
          <w:rFonts w:ascii="Arial" w:cs="Arial" w:eastAsia="Arial" w:hAnsi="Arial"/>
          <w:sz w:val="24"/>
          <w:szCs w:val="24"/>
        </w:rPr>
        <w:t xml:space="preserve">Healthy neuron baseline profiles: control EP signatures for ion channel modulator selectivity assessment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neuropathic ion channel signature tables; PDF I-V curve comparisons; Python data frames with ectopic firing analysis</w:t>
      </w:r>
    </w:p>
    <w:p>
      <w:pPr>
        <w:pStyle w:val="Heading2"/>
      </w:pPr>
      <w:r>
        <w:rPr>
          <w:rFonts w:ascii="Arial" w:cs="Arial" w:eastAsia="Arial" w:hAnsi="Arial"/>
          <w:b/>
          <w:bCs/>
          <w:sz w:val="28"/>
          <w:szCs w:val="28"/>
        </w:rPr>
        <w:t xml:space="preserve">Stage 2: Ion Channel Modulator Screening in Neuropathic Neurons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Screen 200+ ion channel modulators (HCN inhibitors, Kv7 activators, T-type Ca inhibitors, ASIC blockers) in neuropathic pain neurons to identify compounds that normalize pathological ion channel currents and suppress ectopic firing.</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200+ ion channel modulators: HCN blockers, Kv7 activators (retigabine analogs), T-type Ca antagonists (efonidipine, mibefradil), ASIC1a blockers</w:t>
      </w:r>
    </w:p>
    <w:p>
      <w:pPr>
        <w:pStyle w:val="ListParagraph"/>
        <w:numPr>
          <w:ilvl w:val="0"/>
          <w:numId w:val="2"/>
        </w:numPr>
        <w:spacing w:after="100" w:line="360"/>
      </w:pPr>
      <w:r>
        <w:rPr>
          <w:rFonts w:ascii="Arial" w:cs="Arial" w:eastAsia="Arial" w:hAnsi="Arial"/>
          <w:sz w:val="24"/>
          <w:szCs w:val="24"/>
        </w:rPr>
        <w:t xml:space="preserve">Neuropathic pain sensory neurons from disease models for dose-response screening</w:t>
      </w:r>
    </w:p>
    <w:p>
      <w:pPr>
        <w:pStyle w:val="ListParagraph"/>
        <w:numPr>
          <w:ilvl w:val="0"/>
          <w:numId w:val="2"/>
        </w:numPr>
        <w:spacing w:after="100" w:line="360"/>
      </w:pPr>
      <w:r>
        <w:rPr>
          <w:rFonts w:ascii="Arial" w:cs="Arial" w:eastAsia="Arial" w:hAnsi="Arial"/>
          <w:sz w:val="24"/>
          <w:szCs w:val="24"/>
        </w:rPr>
        <w:t xml:space="preserve">Whole-cell voltage clamp: HCN, Kv7, T-type calcium current measurement at dose-response concentrations (0.1 nM to 100 µM)</w:t>
      </w:r>
    </w:p>
    <w:p>
      <w:pPr>
        <w:pStyle w:val="ListParagraph"/>
        <w:numPr>
          <w:ilvl w:val="0"/>
          <w:numId w:val="2"/>
        </w:numPr>
        <w:spacing w:after="100" w:line="360"/>
      </w:pPr>
      <w:r>
        <w:rPr>
          <w:rFonts w:ascii="Arial" w:cs="Arial" w:eastAsia="Arial" w:hAnsi="Arial"/>
          <w:sz w:val="24"/>
          <w:szCs w:val="24"/>
        </w:rPr>
        <w:t xml:space="preserve">Current clamp ectopic firing suppression assays: spontaneous action potential frequency reduction as functional efficacy endpoint</w:t>
      </w:r>
    </w:p>
    <w:p>
      <w:pPr>
        <w:pStyle w:val="ListParagraph"/>
        <w:numPr>
          <w:ilvl w:val="0"/>
          <w:numId w:val="2"/>
        </w:numPr>
        <w:spacing w:after="100" w:line="360"/>
      </w:pPr>
      <w:r>
        <w:rPr>
          <w:rFonts w:ascii="Arial" w:cs="Arial" w:eastAsia="Arial" w:hAnsi="Arial"/>
          <w:sz w:val="24"/>
          <w:szCs w:val="24"/>
        </w:rPr>
        <w:t xml:space="preserve">Neuropathic pain-evoked response rescue: capsaicin/bradykinin response inhibition at compound concentrations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Ion Channel Modulator Library: 200+ compounds with target ion channel and known selectivity profiles</w:t>
      </w:r>
    </w:p>
    <w:p>
      <w:pPr>
        <w:pStyle w:val="ListParagraph"/>
        <w:numPr>
          <w:ilvl w:val="0"/>
          <w:numId w:val="2"/>
        </w:numPr>
        <w:spacing w:after="100" w:line="360"/>
      </w:pPr>
      <w:r>
        <w:rPr>
          <w:rFonts w:ascii="Arial" w:cs="Arial" w:eastAsia="Arial" w:hAnsi="Arial"/>
          <w:sz w:val="24"/>
          <w:szCs w:val="24"/>
        </w:rPr>
        <w:t xml:space="preserve">Python (dose-response curve fitting): Hill equation fits for HCN/Kv7/T-type modulation and ectopic firing suppression EC50</w:t>
      </w:r>
    </w:p>
    <w:p>
      <w:pPr>
        <w:pStyle w:val="ListParagraph"/>
        <w:numPr>
          <w:ilvl w:val="0"/>
          <w:numId w:val="2"/>
        </w:numPr>
        <w:spacing w:after="100" w:line="360"/>
      </w:pPr>
      <w:r>
        <w:rPr>
          <w:rFonts w:ascii="Arial" w:cs="Arial" w:eastAsia="Arial" w:hAnsi="Arial"/>
          <w:sz w:val="24"/>
          <w:szCs w:val="24"/>
        </w:rPr>
        <w:t xml:space="preserve">R (pharmacodynamic analysis): Construct neuropathic ion channel rescue heatmaps and rank compounds by multi-channel efficacy</w:t>
      </w:r>
    </w:p>
    <w:p>
      <w:pPr>
        <w:pStyle w:val="ListParagraph"/>
        <w:numPr>
          <w:ilvl w:val="0"/>
          <w:numId w:val="2"/>
        </w:numPr>
        <w:spacing w:after="100" w:line="360"/>
      </w:pPr>
      <w:r>
        <w:rPr>
          <w:rFonts w:ascii="Arial" w:cs="Arial" w:eastAsia="Arial" w:hAnsi="Arial"/>
          <w:sz w:val="24"/>
          <w:szCs w:val="24"/>
        </w:rPr>
        <w:t xml:space="preserve">KNIME (ion channel modulation scoring): Automated workflow calculating compound selectivity for disease-relevant channels</w:t>
      </w:r>
    </w:p>
    <w:p>
      <w:pPr>
        <w:pStyle w:val="ListParagraph"/>
        <w:numPr>
          <w:ilvl w:val="0"/>
          <w:numId w:val="2"/>
        </w:numPr>
        <w:spacing w:after="100" w:line="360"/>
      </w:pPr>
      <w:r>
        <w:rPr>
          <w:rFonts w:ascii="Arial" w:cs="Arial" w:eastAsia="Arial" w:hAnsi="Arial"/>
          <w:sz w:val="24"/>
          <w:szCs w:val="24"/>
        </w:rPr>
        <w:t xml:space="preserve">Prism (GraphPad): Dose-response curve fitting for current modulation and pain-evoked response suppression</w:t>
      </w:r>
    </w:p>
    <w:p>
      <w:pPr>
        <w:pStyle w:val="ListParagraph"/>
        <w:numPr>
          <w:ilvl w:val="0"/>
          <w:numId w:val="2"/>
        </w:numPr>
        <w:spacing w:after="100" w:line="360"/>
      </w:pPr>
      <w:r>
        <w:rPr>
          <w:rFonts w:ascii="Arial" w:cs="Arial" w:eastAsia="Arial" w:hAnsi="Arial"/>
          <w:sz w:val="24"/>
          <w:szCs w:val="24"/>
        </w:rPr>
        <w:t xml:space="preserve">ChEMBL / Ion Channel Pharmacology Database: Known targets and selectivity predictions for screened compounds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IC50 for compound-mediated suppression of HCN current in neuropathic neurons; select HCN inhibitors with IC50 &lt;5 µM"</w:t>
      </w:r>
    </w:p>
    <w:p>
      <w:pPr>
        <w:pStyle w:val="ListParagraph"/>
        <w:numPr>
          <w:ilvl w:val="0"/>
          <w:numId w:val="2"/>
        </w:numPr>
        <w:spacing w:after="100" w:line="360"/>
      </w:pPr>
      <w:r>
        <w:rPr>
          <w:rFonts w:ascii="Arial" w:cs="Arial" w:eastAsia="Arial" w:hAnsi="Arial"/>
          <w:sz w:val="24"/>
          <w:szCs w:val="24"/>
        </w:rPr>
        <w:t xml:space="preserve">"Quantify Kv7 current enhancement: measure outward current fold-change with Kv7 activators at EC50 values"</w:t>
      </w:r>
    </w:p>
    <w:p>
      <w:pPr>
        <w:pStyle w:val="ListParagraph"/>
        <w:numPr>
          <w:ilvl w:val="0"/>
          <w:numId w:val="2"/>
        </w:numPr>
        <w:spacing w:after="100" w:line="360"/>
      </w:pPr>
      <w:r>
        <w:rPr>
          <w:rFonts w:ascii="Arial" w:cs="Arial" w:eastAsia="Arial" w:hAnsi="Arial"/>
          <w:sz w:val="24"/>
          <w:szCs w:val="24"/>
        </w:rPr>
        <w:t xml:space="preserve">"Determine T-type Cav3.2 current suppression IC50 for calcium channel blockers"</w:t>
      </w:r>
    </w:p>
    <w:p>
      <w:pPr>
        <w:pStyle w:val="ListParagraph"/>
        <w:numPr>
          <w:ilvl w:val="0"/>
          <w:numId w:val="2"/>
        </w:numPr>
        <w:spacing w:after="100" w:line="360"/>
      </w:pPr>
      <w:r>
        <w:rPr>
          <w:rFonts w:ascii="Arial" w:cs="Arial" w:eastAsia="Arial" w:hAnsi="Arial"/>
          <w:sz w:val="24"/>
          <w:szCs w:val="24"/>
        </w:rPr>
        <w:t xml:space="preserve">"Measure ectopic firing suppression EC50: identify concentrations achieving 50% spontaneous firing frequency reduction"</w:t>
      </w:r>
    </w:p>
    <w:p>
      <w:pPr>
        <w:pStyle w:val="ListParagraph"/>
        <w:numPr>
          <w:ilvl w:val="0"/>
          <w:numId w:val="2"/>
        </w:numPr>
        <w:spacing w:after="100" w:line="360"/>
      </w:pPr>
      <w:r>
        <w:rPr>
          <w:rFonts w:ascii="Arial" w:cs="Arial" w:eastAsia="Arial" w:hAnsi="Arial"/>
          <w:sz w:val="24"/>
          <w:szCs w:val="24"/>
        </w:rPr>
        <w:t xml:space="preserve">"Rank 200+ compounds by multi-channel rescue efficacy: integrate HCN suppression + Kv7 enhancement + T-type inhibition + pain response rescue scores"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Ion channel modulation efficacy table: 200+ compounds with HCN IC50, Kv7 EC50, T-type IC50, ASIC IC50, ectopic firing suppression EC50</w:t>
      </w:r>
    </w:p>
    <w:p>
      <w:pPr>
        <w:pStyle w:val="ListParagraph"/>
        <w:numPr>
          <w:ilvl w:val="0"/>
          <w:numId w:val="2"/>
        </w:numPr>
        <w:spacing w:after="100" w:line="360"/>
      </w:pPr>
      <w:r>
        <w:rPr>
          <w:rFonts w:ascii="Arial" w:cs="Arial" w:eastAsia="Arial" w:hAnsi="Arial"/>
          <w:sz w:val="24"/>
          <w:szCs w:val="24"/>
        </w:rPr>
        <w:t xml:space="preserve">Current modulation dose-response curves: HCN/Kv7/T-type current vs compound concentration for top 50 candidates</w:t>
      </w:r>
    </w:p>
    <w:p>
      <w:pPr>
        <w:pStyle w:val="ListParagraph"/>
        <w:numPr>
          <w:ilvl w:val="0"/>
          <w:numId w:val="2"/>
        </w:numPr>
        <w:spacing w:after="100" w:line="360"/>
      </w:pPr>
      <w:r>
        <w:rPr>
          <w:rFonts w:ascii="Arial" w:cs="Arial" w:eastAsia="Arial" w:hAnsi="Arial"/>
          <w:sz w:val="24"/>
          <w:szCs w:val="24"/>
        </w:rPr>
        <w:t xml:space="preserve">Multi-channel rescue heatmap: compounds (rows) × ion channel targets (columns) showing normalized efficacy scores</w:t>
      </w:r>
    </w:p>
    <w:p>
      <w:pPr>
        <w:pStyle w:val="ListParagraph"/>
        <w:numPr>
          <w:ilvl w:val="0"/>
          <w:numId w:val="2"/>
        </w:numPr>
        <w:spacing w:after="100" w:line="360"/>
      </w:pPr>
      <w:r>
        <w:rPr>
          <w:rFonts w:ascii="Arial" w:cs="Arial" w:eastAsia="Arial" w:hAnsi="Arial"/>
          <w:sz w:val="24"/>
          <w:szCs w:val="24"/>
        </w:rPr>
        <w:t xml:space="preserve">Ectopic firing suppression ranking: top 100 compounds by ectopic firing frequency reduction efficacy</w:t>
      </w:r>
    </w:p>
    <w:p>
      <w:pPr>
        <w:pStyle w:val="ListParagraph"/>
        <w:numPr>
          <w:ilvl w:val="0"/>
          <w:numId w:val="2"/>
        </w:numPr>
        <w:spacing w:after="100" w:line="360"/>
      </w:pPr>
      <w:r>
        <w:rPr>
          <w:rFonts w:ascii="Arial" w:cs="Arial" w:eastAsia="Arial" w:hAnsi="Arial"/>
          <w:sz w:val="24"/>
          <w:szCs w:val="24"/>
        </w:rPr>
        <w:t xml:space="preserve">Neuropathic pain rescue profiles: capsaicin/bradykinin response suppression for top ion channel modulators</w:t>
      </w:r>
    </w:p>
    <w:p>
      <w:pPr>
        <w:pStyle w:val="ListParagraph"/>
        <w:numPr>
          <w:ilvl w:val="0"/>
          <w:numId w:val="2"/>
        </w:numPr>
        <w:spacing w:after="100" w:line="360"/>
      </w:pPr>
      <w:r>
        <w:rPr>
          <w:rFonts w:ascii="Arial" w:cs="Arial" w:eastAsia="Arial" w:hAnsi="Arial"/>
          <w:sz w:val="24"/>
          <w:szCs w:val="24"/>
        </w:rPr>
        <w:t xml:space="preserve">Integrated ion channel rescue ranking: 50-100 compounds with best multi-target neuropathic ion channel normalization scores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ion channel modulation table; PDF dose-response curves; Heatmap visualizations; CSV ranked compounds</w:t>
      </w:r>
    </w:p>
    <w:p>
      <w:pPr>
        <w:pStyle w:val="Heading2"/>
      </w:pPr>
      <w:r>
        <w:rPr>
          <w:rFonts w:ascii="Arial" w:cs="Arial" w:eastAsia="Arial" w:hAnsi="Arial"/>
          <w:b/>
          <w:bCs/>
          <w:sz w:val="28"/>
          <w:szCs w:val="28"/>
        </w:rPr>
        <w:t xml:space="preserve">Stage 3: Selectivity Filtering and Off-Target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Filter top 100 compounds by selectivity for neuropathic-relevant ion channels (HCN/Kv7/T-type/ASIC) against off-target cardiac and neuronal ion channels to minimize toxicity liability.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100 ion channel modulators from Stage 2 with validated neuropathic channel efficacy</w:t>
      </w:r>
    </w:p>
    <w:p>
      <w:pPr>
        <w:pStyle w:val="ListParagraph"/>
        <w:numPr>
          <w:ilvl w:val="0"/>
          <w:numId w:val="2"/>
        </w:numPr>
        <w:spacing w:after="100" w:line="360"/>
      </w:pPr>
      <w:r>
        <w:rPr>
          <w:rFonts w:ascii="Arial" w:cs="Arial" w:eastAsia="Arial" w:hAnsi="Arial"/>
          <w:sz w:val="24"/>
          <w:szCs w:val="24"/>
        </w:rPr>
        <w:t xml:space="preserve">HEK293 cells expressing off-target ion channels: hERG (Kv11.1), Kv1.1, Kv4.3, L-type calcium, cardiac Na, motor neuron potassium channels</w:t>
      </w:r>
    </w:p>
    <w:p>
      <w:pPr>
        <w:pStyle w:val="ListParagraph"/>
        <w:numPr>
          <w:ilvl w:val="0"/>
          <w:numId w:val="2"/>
        </w:numPr>
        <w:spacing w:after="100" w:line="360"/>
      </w:pPr>
      <w:r>
        <w:rPr>
          <w:rFonts w:ascii="Arial" w:cs="Arial" w:eastAsia="Arial" w:hAnsi="Arial"/>
          <w:sz w:val="24"/>
          <w:szCs w:val="24"/>
        </w:rPr>
        <w:t xml:space="preserve">Whole-cell voltage clamp recordings for off-target channel IC50 determination across dose-response</w:t>
      </w:r>
    </w:p>
    <w:p>
      <w:pPr>
        <w:pStyle w:val="ListParagraph"/>
        <w:numPr>
          <w:ilvl w:val="0"/>
          <w:numId w:val="2"/>
        </w:numPr>
        <w:spacing w:after="100" w:line="360"/>
      </w:pPr>
      <w:r>
        <w:rPr>
          <w:rFonts w:ascii="Arial" w:cs="Arial" w:eastAsia="Arial" w:hAnsi="Arial"/>
          <w:sz w:val="24"/>
          <w:szCs w:val="24"/>
        </w:rPr>
        <w:t xml:space="preserve">Healthy sensory neuron cultures (non-neuropathic) for CNS neuron selectivity confirmation</w:t>
      </w:r>
    </w:p>
    <w:p>
      <w:pPr>
        <w:pStyle w:val="ListParagraph"/>
        <w:numPr>
          <w:ilvl w:val="0"/>
          <w:numId w:val="2"/>
        </w:numPr>
        <w:spacing w:after="100" w:line="360"/>
      </w:pPr>
      <w:r>
        <w:rPr>
          <w:rFonts w:ascii="Arial" w:cs="Arial" w:eastAsia="Arial" w:hAnsi="Arial"/>
          <w:sz w:val="24"/>
          <w:szCs w:val="24"/>
        </w:rPr>
        <w:t xml:space="preserve">Compound concentrations spanning 1× to 100× therapeutic neuropathic channel efficacy EC50 for off-target assessment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Off-Target Ion Channel Panel: HEK cell recordings for hERG, Kv family, calcium channels</w:t>
      </w:r>
    </w:p>
    <w:p>
      <w:pPr>
        <w:pStyle w:val="ListParagraph"/>
        <w:numPr>
          <w:ilvl w:val="0"/>
          <w:numId w:val="2"/>
        </w:numPr>
        <w:spacing w:after="100" w:line="360"/>
      </w:pPr>
      <w:r>
        <w:rPr>
          <w:rFonts w:ascii="Arial" w:cs="Arial" w:eastAsia="Arial" w:hAnsi="Arial"/>
          <w:sz w:val="24"/>
          <w:szCs w:val="24"/>
        </w:rPr>
        <w:t xml:space="preserve">Python (selectivity ratio calculations): Compute target IC50 / off-target IC50 ratios for each compound</w:t>
      </w:r>
    </w:p>
    <w:p>
      <w:pPr>
        <w:pStyle w:val="ListParagraph"/>
        <w:numPr>
          <w:ilvl w:val="0"/>
          <w:numId w:val="2"/>
        </w:numPr>
        <w:spacing w:after="100" w:line="360"/>
      </w:pPr>
      <w:r>
        <w:rPr>
          <w:rFonts w:ascii="Arial" w:cs="Arial" w:eastAsia="Arial" w:hAnsi="Arial"/>
          <w:sz w:val="24"/>
          <w:szCs w:val="24"/>
        </w:rPr>
        <w:t xml:space="preserve">R (selectivity heatmap generation): Visualize compound selectivity across neuropathic vs off-target channels</w:t>
      </w:r>
    </w:p>
    <w:p>
      <w:pPr>
        <w:pStyle w:val="ListParagraph"/>
        <w:numPr>
          <w:ilvl w:val="0"/>
          <w:numId w:val="2"/>
        </w:numPr>
        <w:spacing w:after="100" w:line="360"/>
      </w:pPr>
      <w:r>
        <w:rPr>
          <w:rFonts w:ascii="Arial" w:cs="Arial" w:eastAsia="Arial" w:hAnsi="Arial"/>
          <w:sz w:val="24"/>
          <w:szCs w:val="24"/>
        </w:rPr>
        <w:t xml:space="preserve">SafetyDB: Ion channel selectivity database for known pharmacology validation</w:t>
      </w:r>
    </w:p>
    <w:p>
      <w:pPr>
        <w:pStyle w:val="ListParagraph"/>
        <w:numPr>
          <w:ilvl w:val="0"/>
          <w:numId w:val="2"/>
        </w:numPr>
        <w:spacing w:after="100" w:line="360"/>
      </w:pPr>
      <w:r>
        <w:rPr>
          <w:rFonts w:ascii="Arial" w:cs="Arial" w:eastAsia="Arial" w:hAnsi="Arial"/>
          <w:sz w:val="24"/>
          <w:szCs w:val="24"/>
        </w:rPr>
        <w:t xml:space="preserve">ChEMBL / DrugBank: Known off-target profiles for compounds with prior development</w:t>
      </w:r>
    </w:p>
    <w:p>
      <w:pPr>
        <w:pStyle w:val="ListParagraph"/>
        <w:numPr>
          <w:ilvl w:val="0"/>
          <w:numId w:val="2"/>
        </w:numPr>
        <w:spacing w:after="100" w:line="360"/>
      </w:pPr>
      <w:r>
        <w:rPr>
          <w:rFonts w:ascii="Arial" w:cs="Arial" w:eastAsia="Arial" w:hAnsi="Arial"/>
          <w:sz w:val="24"/>
          <w:szCs w:val="24"/>
        </w:rPr>
        <w:t xml:space="preserve">KNIME (selectivity filtering): Automated workflow applying selectivity thresholds and ranking by therapeutic index</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IC50 for off-target hERG, Kv1.1, Kv4.3, L-type calcium, cardiac Na channels for all 100 ion channel modulator candidates"</w:t>
      </w:r>
    </w:p>
    <w:p>
      <w:pPr>
        <w:pStyle w:val="ListParagraph"/>
        <w:numPr>
          <w:ilvl w:val="0"/>
          <w:numId w:val="2"/>
        </w:numPr>
        <w:spacing w:after="100" w:line="360"/>
      </w:pPr>
      <w:r>
        <w:rPr>
          <w:rFonts w:ascii="Arial" w:cs="Arial" w:eastAsia="Arial" w:hAnsi="Arial"/>
          <w:sz w:val="24"/>
          <w:szCs w:val="24"/>
        </w:rPr>
        <w:t xml:space="preserve">"Calculate target selectivity ratios: off-target IC50 / neuropathic target IC50; identify compounds with &gt;10-fold selectivity"</w:t>
      </w:r>
    </w:p>
    <w:p>
      <w:pPr>
        <w:pStyle w:val="ListParagraph"/>
        <w:numPr>
          <w:ilvl w:val="0"/>
          <w:numId w:val="2"/>
        </w:numPr>
        <w:spacing w:after="100" w:line="360"/>
      </w:pPr>
      <w:r>
        <w:rPr>
          <w:rFonts w:ascii="Arial" w:cs="Arial" w:eastAsia="Arial" w:hAnsi="Arial"/>
          <w:sz w:val="24"/>
          <w:szCs w:val="24"/>
        </w:rPr>
        <w:t xml:space="preserve">"Filter to retain compounds with no significant off-target hERG/Nav effects at 10× therapeutic neuropathic channel IC50"</w:t>
      </w:r>
    </w:p>
    <w:p>
      <w:pPr>
        <w:pStyle w:val="ListParagraph"/>
        <w:numPr>
          <w:ilvl w:val="0"/>
          <w:numId w:val="2"/>
        </w:numPr>
        <w:spacing w:after="100" w:line="360"/>
      </w:pPr>
      <w:r>
        <w:rPr>
          <w:rFonts w:ascii="Arial" w:cs="Arial" w:eastAsia="Arial" w:hAnsi="Arial"/>
          <w:sz w:val="24"/>
          <w:szCs w:val="24"/>
        </w:rPr>
        <w:t xml:space="preserve">"Test healthy sensory neuron selectivity: confirm compounds preserving healthy HCN/Kv7 function while targeting neuropathic ion channels"</w:t>
      </w:r>
    </w:p>
    <w:p>
      <w:pPr>
        <w:pStyle w:val="ListParagraph"/>
        <w:numPr>
          <w:ilvl w:val="0"/>
          <w:numId w:val="2"/>
        </w:numPr>
        <w:spacing w:after="100" w:line="360"/>
      </w:pPr>
      <w:r>
        <w:rPr>
          <w:rFonts w:ascii="Arial" w:cs="Arial" w:eastAsia="Arial" w:hAnsi="Arial"/>
          <w:sz w:val="24"/>
          <w:szCs w:val="24"/>
        </w:rPr>
        <w:t xml:space="preserve">"Rank 50-80 selectivity-filtered compounds by therapeutic index: neuropathic channel EC50 / minimum off-target IC50"</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Ion channel selectivity matrix: 100 compounds × neuropathic channels (HCN/Kv7/T-type/ASIC) + off-targets (hERG/Kv1.1/L-type) showing IC50 values</w:t>
      </w:r>
    </w:p>
    <w:p>
      <w:pPr>
        <w:pStyle w:val="ListParagraph"/>
        <w:numPr>
          <w:ilvl w:val="0"/>
          <w:numId w:val="2"/>
        </w:numPr>
        <w:spacing w:after="100" w:line="360"/>
      </w:pPr>
      <w:r>
        <w:rPr>
          <w:rFonts w:ascii="Arial" w:cs="Arial" w:eastAsia="Arial" w:hAnsi="Arial"/>
          <w:sz w:val="24"/>
          <w:szCs w:val="24"/>
        </w:rPr>
        <w:t xml:space="preserve">Selectivity heatmap: compounds × channels with color-coded selectivity indices highlighting neuropathic-selective agents</w:t>
      </w:r>
    </w:p>
    <w:p>
      <w:pPr>
        <w:pStyle w:val="ListParagraph"/>
        <w:numPr>
          <w:ilvl w:val="0"/>
          <w:numId w:val="2"/>
        </w:numPr>
        <w:spacing w:after="100" w:line="360"/>
      </w:pPr>
      <w:r>
        <w:rPr>
          <w:rFonts w:ascii="Arial" w:cs="Arial" w:eastAsia="Arial" w:hAnsi="Arial"/>
          <w:sz w:val="24"/>
          <w:szCs w:val="24"/>
        </w:rPr>
        <w:t xml:space="preserve">Off-target IC50 dose-response curves: hERG and key cardiac/neuronal channels for representative compounds</w:t>
      </w:r>
    </w:p>
    <w:p>
      <w:pPr>
        <w:pStyle w:val="ListParagraph"/>
        <w:numPr>
          <w:ilvl w:val="0"/>
          <w:numId w:val="2"/>
        </w:numPr>
        <w:spacing w:after="100" w:line="360"/>
      </w:pPr>
      <w:r>
        <w:rPr>
          <w:rFonts w:ascii="Arial" w:cs="Arial" w:eastAsia="Arial" w:hAnsi="Arial"/>
          <w:sz w:val="24"/>
          <w:szCs w:val="24"/>
        </w:rPr>
        <w:t xml:space="preserve">Healthy neuron selectivity profiles: HCN/Kv7 preservation in non-neuropathic sensory neurons at therapeutic concentrations</w:t>
      </w:r>
    </w:p>
    <w:p>
      <w:pPr>
        <w:pStyle w:val="ListParagraph"/>
        <w:numPr>
          <w:ilvl w:val="0"/>
          <w:numId w:val="2"/>
        </w:numPr>
        <w:spacing w:after="100" w:line="360"/>
      </w:pPr>
      <w:r>
        <w:rPr>
          <w:rFonts w:ascii="Arial" w:cs="Arial" w:eastAsia="Arial" w:hAnsi="Arial"/>
          <w:sz w:val="24"/>
          <w:szCs w:val="24"/>
        </w:rPr>
        <w:t xml:space="preserve">Therapeutic index ranking: 50-80 compounds with best neuropathic selectivity (ratio &gt;10-fold) and preserved healthy neuron function</w:t>
      </w:r>
    </w:p>
    <w:p>
      <w:pPr>
        <w:pStyle w:val="ListParagraph"/>
        <w:numPr>
          <w:ilvl w:val="0"/>
          <w:numId w:val="2"/>
        </w:numPr>
        <w:spacing w:after="100" w:line="360"/>
      </w:pPr>
      <w:r>
        <w:rPr>
          <w:rFonts w:ascii="Arial" w:cs="Arial" w:eastAsia="Arial" w:hAnsi="Arial"/>
          <w:sz w:val="24"/>
          <w:szCs w:val="24"/>
        </w:rPr>
        <w:t xml:space="preserve">Off-target exclusion report: compounds removed due to significant hERG, cardiac Nav, or CNS toxicity liability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selectivity matrix; PDF heatmaps and dose-response curves; CSV filtered compound list; Selectivity analysis report</w:t>
      </w:r>
    </w:p>
    <w:p>
      <w:pPr>
        <w:pStyle w:val="Heading2"/>
      </w:pPr>
      <w:r>
        <w:rPr>
          <w:rFonts w:ascii="Arial" w:cs="Arial" w:eastAsia="Arial" w:hAnsi="Arial"/>
          <w:b/>
          <w:bCs/>
          <w:sz w:val="28"/>
          <w:szCs w:val="28"/>
        </w:rPr>
        <w:t xml:space="preserve">Stage 4: Peripheral vs Central Sensitization Rescue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Evaluate top 50-80 ion channel modulators in primary sensory nociceptor models and spinal dorsal horn models to assess rescue of both peripheral sensitization (nociceptor hyperresponsiveness) and central sensitization (spinal amplification of pain signals).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50-80 ion channel modulators passing selectivity filtering from Stage 3</w:t>
      </w:r>
    </w:p>
    <w:p>
      <w:pPr>
        <w:pStyle w:val="ListParagraph"/>
        <w:numPr>
          <w:ilvl w:val="0"/>
          <w:numId w:val="2"/>
        </w:numPr>
        <w:spacing w:after="100" w:line="360"/>
      </w:pPr>
      <w:r>
        <w:rPr>
          <w:rFonts w:ascii="Arial" w:cs="Arial" w:eastAsia="Arial" w:hAnsi="Arial"/>
          <w:sz w:val="24"/>
          <w:szCs w:val="24"/>
        </w:rPr>
        <w:t xml:space="preserve">Neuropathic pain model primary sensory neurons for peripheral sensitization assessment</w:t>
      </w:r>
    </w:p>
    <w:p>
      <w:pPr>
        <w:pStyle w:val="ListParagraph"/>
        <w:numPr>
          <w:ilvl w:val="0"/>
          <w:numId w:val="2"/>
        </w:numPr>
        <w:spacing w:after="100" w:line="360"/>
      </w:pPr>
      <w:r>
        <w:rPr>
          <w:rFonts w:ascii="Arial" w:cs="Arial" w:eastAsia="Arial" w:hAnsi="Arial"/>
          <w:sz w:val="24"/>
          <w:szCs w:val="24"/>
        </w:rPr>
        <w:t xml:space="preserve">Spinal dorsal horn slice preparations or iPSC-derived spinal nociceptive synapse models for central sensitization profiling</w:t>
      </w:r>
    </w:p>
    <w:p>
      <w:pPr>
        <w:pStyle w:val="ListParagraph"/>
        <w:numPr>
          <w:ilvl w:val="0"/>
          <w:numId w:val="2"/>
        </w:numPr>
        <w:spacing w:after="100" w:line="360"/>
      </w:pPr>
      <w:r>
        <w:rPr>
          <w:rFonts w:ascii="Arial" w:cs="Arial" w:eastAsia="Arial" w:hAnsi="Arial"/>
          <w:sz w:val="24"/>
          <w:szCs w:val="24"/>
        </w:rPr>
        <w:t xml:space="preserve">Mechanical/thermal pain threshold measurements before and after compound exposure in neuropathic neurons</w:t>
      </w:r>
    </w:p>
    <w:p>
      <w:pPr>
        <w:pStyle w:val="ListParagraph"/>
        <w:numPr>
          <w:ilvl w:val="0"/>
          <w:numId w:val="2"/>
        </w:numPr>
        <w:spacing w:after="100" w:line="360"/>
      </w:pPr>
      <w:r>
        <w:rPr>
          <w:rFonts w:ascii="Arial" w:cs="Arial" w:eastAsia="Arial" w:hAnsi="Arial"/>
          <w:sz w:val="24"/>
          <w:szCs w:val="24"/>
        </w:rPr>
        <w:t xml:space="preserve">Multielectrode array recordings from spinal dorsal horn synapse to assess compound effects on nociceptive transmission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Neuropathic Pain Sensory/Spinal Model Database: Reference peripheral and central sensitization EP phenotypes</w:t>
      </w:r>
    </w:p>
    <w:p>
      <w:pPr>
        <w:pStyle w:val="ListParagraph"/>
        <w:numPr>
          <w:ilvl w:val="0"/>
          <w:numId w:val="2"/>
        </w:numPr>
        <w:spacing w:after="100" w:line="360"/>
      </w:pPr>
      <w:r>
        <w:rPr>
          <w:rFonts w:ascii="Arial" w:cs="Arial" w:eastAsia="Arial" w:hAnsi="Arial"/>
          <w:sz w:val="24"/>
          <w:szCs w:val="24"/>
        </w:rPr>
        <w:t xml:space="preserve">Fluo-4 Calcium Imaging: Peripheral nociceptor pain-evoked response measurement during compound exposure</w:t>
      </w:r>
    </w:p>
    <w:p>
      <w:pPr>
        <w:pStyle w:val="ListParagraph"/>
        <w:numPr>
          <w:ilvl w:val="0"/>
          <w:numId w:val="2"/>
        </w:numPr>
        <w:spacing w:after="100" w:line="360"/>
      </w:pPr>
      <w:r>
        <w:rPr>
          <w:rFonts w:ascii="Arial" w:cs="Arial" w:eastAsia="Arial" w:hAnsi="Arial"/>
          <w:sz w:val="24"/>
          <w:szCs w:val="24"/>
        </w:rPr>
        <w:t xml:space="preserve">Multi-Electrode Array (MEA) Systems: Spinal dorsal horn nociceptive synapse activity recording and pharmacological modulation</w:t>
      </w:r>
    </w:p>
    <w:p>
      <w:pPr>
        <w:pStyle w:val="ListParagraph"/>
        <w:numPr>
          <w:ilvl w:val="0"/>
          <w:numId w:val="2"/>
        </w:numPr>
        <w:spacing w:after="100" w:line="360"/>
      </w:pPr>
      <w:r>
        <w:rPr>
          <w:rFonts w:ascii="Arial" w:cs="Arial" w:eastAsia="Arial" w:hAnsi="Arial"/>
          <w:sz w:val="24"/>
          <w:szCs w:val="24"/>
        </w:rPr>
        <w:t xml:space="preserve">Python (peripheral vs central sensitization metrics): Quantify mechanical/thermal threshold changes and synapse firing suppression</w:t>
      </w:r>
    </w:p>
    <w:p>
      <w:pPr>
        <w:pStyle w:val="ListParagraph"/>
        <w:numPr>
          <w:ilvl w:val="0"/>
          <w:numId w:val="2"/>
        </w:numPr>
        <w:spacing w:after="100" w:line="360"/>
      </w:pPr>
      <w:r>
        <w:rPr>
          <w:rFonts w:ascii="Arial" w:cs="Arial" w:eastAsia="Arial" w:hAnsi="Arial"/>
          <w:sz w:val="24"/>
          <w:szCs w:val="24"/>
        </w:rPr>
        <w:t xml:space="preserve">R (sensitization rescue scoring): Combine peripheral and central efficacy metrics into integrated pain suppression index</w:t>
      </w:r>
    </w:p>
    <w:p>
      <w:pPr>
        <w:pStyle w:val="ListParagraph"/>
        <w:numPr>
          <w:ilvl w:val="0"/>
          <w:numId w:val="2"/>
        </w:numPr>
        <w:spacing w:after="100" w:line="360"/>
      </w:pPr>
      <w:r>
        <w:rPr>
          <w:rFonts w:ascii="Arial" w:cs="Arial" w:eastAsia="Arial" w:hAnsi="Arial"/>
          <w:sz w:val="24"/>
          <w:szCs w:val="24"/>
        </w:rPr>
        <w:t xml:space="preserve">KNIME (pain model integration): Automated workflow assessing all 50-80 compounds in both peripheral/central pain models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mechanical and thermal pain threshold in neuropathic sensory neurons at baseline and during ion channel modulator exposure"</w:t>
      </w:r>
    </w:p>
    <w:p>
      <w:pPr>
        <w:pStyle w:val="ListParagraph"/>
        <w:numPr>
          <w:ilvl w:val="0"/>
          <w:numId w:val="2"/>
        </w:numPr>
        <w:spacing w:after="100" w:line="360"/>
      </w:pPr>
      <w:r>
        <w:rPr>
          <w:rFonts w:ascii="Arial" w:cs="Arial" w:eastAsia="Arial" w:hAnsi="Arial"/>
          <w:sz w:val="24"/>
          <w:szCs w:val="24"/>
        </w:rPr>
        <w:t xml:space="preserve">"Quantify central sensitization: measure pain-evoked firing in spinal dorsal horn synapses at resting potential and during nociceptor input"</w:t>
      </w:r>
    </w:p>
    <w:p>
      <w:pPr>
        <w:pStyle w:val="ListParagraph"/>
        <w:numPr>
          <w:ilvl w:val="0"/>
          <w:numId w:val="2"/>
        </w:numPr>
        <w:spacing w:after="100" w:line="360"/>
      </w:pPr>
      <w:r>
        <w:rPr>
          <w:rFonts w:ascii="Arial" w:cs="Arial" w:eastAsia="Arial" w:hAnsi="Arial"/>
          <w:sz w:val="24"/>
          <w:szCs w:val="24"/>
        </w:rPr>
        <w:t xml:space="preserve">"Assess compound rescue of peripheral sensitization: % restoration of mechanical/thermal thresholds toward healthy baselines"</w:t>
      </w:r>
    </w:p>
    <w:p>
      <w:pPr>
        <w:pStyle w:val="ListParagraph"/>
        <w:numPr>
          <w:ilvl w:val="0"/>
          <w:numId w:val="2"/>
        </w:numPr>
        <w:spacing w:after="100" w:line="360"/>
      </w:pPr>
      <w:r>
        <w:rPr>
          <w:rFonts w:ascii="Arial" w:cs="Arial" w:eastAsia="Arial" w:hAnsi="Arial"/>
          <w:sz w:val="24"/>
          <w:szCs w:val="24"/>
        </w:rPr>
        <w:t xml:space="preserve">"Evaluate central sensitization suppression: % reduction in synaptic pain signal amplification at therapeutic compound concentrations"</w:t>
      </w:r>
    </w:p>
    <w:p>
      <w:pPr>
        <w:pStyle w:val="ListParagraph"/>
        <w:numPr>
          <w:ilvl w:val="0"/>
          <w:numId w:val="2"/>
        </w:numPr>
        <w:spacing w:after="100" w:line="360"/>
      </w:pPr>
      <w:r>
        <w:rPr>
          <w:rFonts w:ascii="Arial" w:cs="Arial" w:eastAsia="Arial" w:hAnsi="Arial"/>
          <w:sz w:val="24"/>
          <w:szCs w:val="24"/>
        </w:rPr>
        <w:t xml:space="preserve">"Rank compounds by integrated pain suppression efficacy: incorporate both peripheral threshold restoration and central sensitization suppression scores"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Peripheral sensitization rescue table: 50-80 compounds with % mechanical/thermal threshold restoration in neuropathic neurons</w:t>
      </w:r>
    </w:p>
    <w:p>
      <w:pPr>
        <w:pStyle w:val="ListParagraph"/>
        <w:numPr>
          <w:ilvl w:val="0"/>
          <w:numId w:val="2"/>
        </w:numPr>
        <w:spacing w:after="100" w:line="360"/>
      </w:pPr>
      <w:r>
        <w:rPr>
          <w:rFonts w:ascii="Arial" w:cs="Arial" w:eastAsia="Arial" w:hAnsi="Arial"/>
          <w:sz w:val="24"/>
          <w:szCs w:val="24"/>
        </w:rPr>
        <w:t xml:space="preserve">Central sensitization suppression profiles: spinal dorsal horn pain-evoked firing suppression for representative compounds</w:t>
      </w:r>
    </w:p>
    <w:p>
      <w:pPr>
        <w:pStyle w:val="ListParagraph"/>
        <w:numPr>
          <w:ilvl w:val="0"/>
          <w:numId w:val="2"/>
        </w:numPr>
        <w:spacing w:after="100" w:line="360"/>
      </w:pPr>
      <w:r>
        <w:rPr>
          <w:rFonts w:ascii="Arial" w:cs="Arial" w:eastAsia="Arial" w:hAnsi="Arial"/>
          <w:sz w:val="24"/>
          <w:szCs w:val="24"/>
        </w:rPr>
        <w:t xml:space="preserve">MEA recordings: spinal synapse activity traces showing dose-dependent pain signal amplification reduction</w:t>
      </w:r>
    </w:p>
    <w:p>
      <w:pPr>
        <w:pStyle w:val="ListParagraph"/>
        <w:numPr>
          <w:ilvl w:val="0"/>
          <w:numId w:val="2"/>
        </w:numPr>
        <w:spacing w:after="100" w:line="360"/>
      </w:pPr>
      <w:r>
        <w:rPr>
          <w:rFonts w:ascii="Arial" w:cs="Arial" w:eastAsia="Arial" w:hAnsi="Arial"/>
          <w:sz w:val="24"/>
          <w:szCs w:val="24"/>
        </w:rPr>
        <w:t xml:space="preserve">Integrated pain suppression ranking: compounds by combined peripheral + central sensitization rescue efficacy</w:t>
      </w:r>
    </w:p>
    <w:p>
      <w:pPr>
        <w:pStyle w:val="ListParagraph"/>
        <w:numPr>
          <w:ilvl w:val="0"/>
          <w:numId w:val="2"/>
        </w:numPr>
        <w:spacing w:after="100" w:line="360"/>
      </w:pPr>
      <w:r>
        <w:rPr>
          <w:rFonts w:ascii="Arial" w:cs="Arial" w:eastAsia="Arial" w:hAnsi="Arial"/>
          <w:sz w:val="24"/>
          <w:szCs w:val="24"/>
        </w:rPr>
        <w:t xml:space="preserve">Differential mechanism analysis: compounds selective for peripheral vs central pain reduction (mechanistic insights)</w:t>
      </w:r>
    </w:p>
    <w:p>
      <w:pPr>
        <w:pStyle w:val="ListParagraph"/>
        <w:numPr>
          <w:ilvl w:val="0"/>
          <w:numId w:val="2"/>
        </w:numPr>
        <w:spacing w:after="100" w:line="360"/>
      </w:pPr>
      <w:r>
        <w:rPr>
          <w:rFonts w:ascii="Arial" w:cs="Arial" w:eastAsia="Arial" w:hAnsi="Arial"/>
          <w:sz w:val="24"/>
          <w:szCs w:val="24"/>
        </w:rPr>
        <w:t xml:space="preserve">Filtered lead compound list: 20-30 compounds with excellent peripheral + central sensitization rescue and preserved selectivity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sensitization rescue metrics; PDF pain threshold and MEA analysis plots; CSV ranked compounds</w:t>
      </w:r>
    </w:p>
    <w:p>
      <w:pPr>
        <w:pStyle w:val="Heading2"/>
      </w:pPr>
      <w:r>
        <w:rPr>
          <w:rFonts w:ascii="Arial" w:cs="Arial" w:eastAsia="Arial" w:hAnsi="Arial"/>
          <w:b/>
          <w:bCs/>
          <w:sz w:val="28"/>
          <w:szCs w:val="28"/>
        </w:rPr>
        <w:t xml:space="preserve">Stage 5: Motor Function and Muscle Safety Profiling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Validate that top 20-30 ion channel modulators preserve motor neuron and skeletal muscle function to ensure no motor impairment liability.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20-30 neuropathic pain modulators from Stage 4 with excellent peripheral/central sensitization rescue</w:t>
      </w:r>
    </w:p>
    <w:p>
      <w:pPr>
        <w:pStyle w:val="ListParagraph"/>
        <w:numPr>
          <w:ilvl w:val="0"/>
          <w:numId w:val="2"/>
        </w:numPr>
        <w:spacing w:after="100" w:line="360"/>
      </w:pPr>
      <w:r>
        <w:rPr>
          <w:rFonts w:ascii="Arial" w:cs="Arial" w:eastAsia="Arial" w:hAnsi="Arial"/>
          <w:sz w:val="24"/>
          <w:szCs w:val="24"/>
        </w:rPr>
        <w:t xml:space="preserve">Motor neuron and skeletal muscle cultures with mature phenotype for functional assessment</w:t>
      </w:r>
    </w:p>
    <w:p>
      <w:pPr>
        <w:pStyle w:val="ListParagraph"/>
        <w:numPr>
          <w:ilvl w:val="0"/>
          <w:numId w:val="2"/>
        </w:numPr>
        <w:spacing w:after="100" w:line="360"/>
      </w:pPr>
      <w:r>
        <w:rPr>
          <w:rFonts w:ascii="Arial" w:cs="Arial" w:eastAsia="Arial" w:hAnsi="Arial"/>
          <w:sz w:val="24"/>
          <w:szCs w:val="24"/>
        </w:rPr>
        <w:t xml:space="preserve">MEA network activity and contractility force measurements at compound dose-response</w:t>
      </w:r>
    </w:p>
    <w:p>
      <w:pPr>
        <w:pStyle w:val="ListParagraph"/>
        <w:numPr>
          <w:ilvl w:val="0"/>
          <w:numId w:val="2"/>
        </w:numPr>
        <w:spacing w:after="100" w:line="360"/>
      </w:pPr>
      <w:r>
        <w:rPr>
          <w:rFonts w:ascii="Arial" w:cs="Arial" w:eastAsia="Arial" w:hAnsi="Arial"/>
          <w:sz w:val="24"/>
          <w:szCs w:val="24"/>
        </w:rPr>
        <w:t xml:space="preserve">Muscle fiber action potentials and force-frequency relationship testing at therapeutic concentrations</w:t>
      </w:r>
    </w:p>
    <w:p>
      <w:pPr>
        <w:pStyle w:val="ListParagraph"/>
        <w:numPr>
          <w:ilvl w:val="0"/>
          <w:numId w:val="2"/>
        </w:numPr>
        <w:spacing w:after="100" w:line="360"/>
      </w:pPr>
      <w:r>
        <w:rPr>
          <w:rFonts w:ascii="Arial" w:cs="Arial" w:eastAsia="Arial" w:hAnsi="Arial"/>
          <w:sz w:val="24"/>
          <w:szCs w:val="24"/>
        </w:rPr>
        <w:t xml:space="preserve">Viability and functional recovery kinetics in motor/muscle systems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Motor/Muscle Safety Database: Reference motor neuron and muscle EP signatures for baseline comparison</w:t>
      </w:r>
    </w:p>
    <w:p>
      <w:pPr>
        <w:pStyle w:val="ListParagraph"/>
        <w:numPr>
          <w:ilvl w:val="0"/>
          <w:numId w:val="2"/>
        </w:numPr>
        <w:spacing w:after="100" w:line="360"/>
      </w:pPr>
      <w:r>
        <w:rPr>
          <w:rFonts w:ascii="Arial" w:cs="Arial" w:eastAsia="Arial" w:hAnsi="Arial"/>
          <w:sz w:val="24"/>
          <w:szCs w:val="24"/>
        </w:rPr>
        <w:t xml:space="preserve">Multi-Electrode Array Systems: Motor network and muscle contractility recording</w:t>
      </w:r>
    </w:p>
    <w:p>
      <w:pPr>
        <w:pStyle w:val="ListParagraph"/>
        <w:numPr>
          <w:ilvl w:val="0"/>
          <w:numId w:val="2"/>
        </w:numPr>
        <w:spacing w:after="100" w:line="360"/>
      </w:pPr>
      <w:r>
        <w:rPr>
          <w:rFonts w:ascii="Arial" w:cs="Arial" w:eastAsia="Arial" w:hAnsi="Arial"/>
          <w:sz w:val="24"/>
          <w:szCs w:val="24"/>
        </w:rPr>
        <w:t xml:space="preserve">Python (motor safety metrics): Quantify motor firing suppression, muscle contractility reduction, functional recovery</w:t>
      </w:r>
    </w:p>
    <w:p>
      <w:pPr>
        <w:pStyle w:val="ListParagraph"/>
        <w:numPr>
          <w:ilvl w:val="0"/>
          <w:numId w:val="2"/>
        </w:numPr>
        <w:spacing w:after="100" w:line="360"/>
      </w:pPr>
      <w:r>
        <w:rPr>
          <w:rFonts w:ascii="Arial" w:cs="Arial" w:eastAsia="Arial" w:hAnsi="Arial"/>
          <w:sz w:val="24"/>
          <w:szCs w:val="24"/>
        </w:rPr>
        <w:t xml:space="preserve">R (motor safety profiling): Statistical analysis of motor vs neuropathic pain target selectivity</w:t>
      </w:r>
    </w:p>
    <w:p>
      <w:pPr>
        <w:pStyle w:val="ListParagraph"/>
        <w:numPr>
          <w:ilvl w:val="0"/>
          <w:numId w:val="2"/>
        </w:numPr>
        <w:spacing w:after="100" w:line="360"/>
      </w:pPr>
      <w:r>
        <w:rPr>
          <w:rFonts w:ascii="Arial" w:cs="Arial" w:eastAsia="Arial" w:hAnsi="Arial"/>
          <w:sz w:val="24"/>
          <w:szCs w:val="24"/>
        </w:rPr>
        <w:t xml:space="preserve">KNIME (motor safety assessment): Automated screening and pass/fail criteria for motor safety</w:t>
      </w:r>
    </w:p>
    <w:p>
      <w:pPr>
        <w:pStyle w:val="ListParagraph"/>
        <w:numPr>
          <w:ilvl w:val="0"/>
          <w:numId w:val="2"/>
        </w:numPr>
        <w:spacing w:after="100" w:line="360"/>
      </w:pPr>
      <w:r>
        <w:rPr>
          <w:rFonts w:ascii="Arial" w:cs="Arial" w:eastAsia="Arial" w:hAnsi="Arial"/>
          <w:sz w:val="24"/>
          <w:szCs w:val="24"/>
        </w:rPr>
        <w:t xml:space="preserve">Visualization (plotly, seaborn): Motor safety profiles and functional preservation plots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motor neuron network spontaneous activity and contractility force in muscle tissue at compound concentrations"</w:t>
      </w:r>
    </w:p>
    <w:p>
      <w:pPr>
        <w:pStyle w:val="ListParagraph"/>
        <w:numPr>
          <w:ilvl w:val="0"/>
          <w:numId w:val="2"/>
        </w:numPr>
        <w:spacing w:after="100" w:line="360"/>
      </w:pPr>
      <w:r>
        <w:rPr>
          <w:rFonts w:ascii="Arial" w:cs="Arial" w:eastAsia="Arial" w:hAnsi="Arial"/>
          <w:sz w:val="24"/>
          <w:szCs w:val="24"/>
        </w:rPr>
        <w:t xml:space="preserve">"Assess preservation of motor function: motor network activity &gt;80% baseline, muscle force &gt;85% baseline at therapeutic compound concentration"</w:t>
      </w:r>
    </w:p>
    <w:p>
      <w:pPr>
        <w:pStyle w:val="ListParagraph"/>
        <w:numPr>
          <w:ilvl w:val="0"/>
          <w:numId w:val="2"/>
        </w:numPr>
        <w:spacing w:after="100" w:line="360"/>
      </w:pPr>
      <w:r>
        <w:rPr>
          <w:rFonts w:ascii="Arial" w:cs="Arial" w:eastAsia="Arial" w:hAnsi="Arial"/>
          <w:sz w:val="24"/>
          <w:szCs w:val="24"/>
        </w:rPr>
        <w:t xml:space="preserve">"Measure functional recovery kinetics: time to restoration of motor/muscle activity after compound washout"</w:t>
      </w:r>
    </w:p>
    <w:p>
      <w:pPr>
        <w:pStyle w:val="ListParagraph"/>
        <w:numPr>
          <w:ilvl w:val="0"/>
          <w:numId w:val="2"/>
        </w:numPr>
        <w:spacing w:after="100" w:line="360"/>
      </w:pPr>
      <w:r>
        <w:rPr>
          <w:rFonts w:ascii="Arial" w:cs="Arial" w:eastAsia="Arial" w:hAnsi="Arial"/>
          <w:sz w:val="24"/>
          <w:szCs w:val="24"/>
        </w:rPr>
        <w:t xml:space="preserve">"Rank compounds by neuropathic ion channel selectivity vs motor system safety: identify motor-safe neuropathic modulators"</w:t>
      </w:r>
    </w:p>
    <w:p>
      <w:pPr>
        <w:pStyle w:val="ListParagraph"/>
        <w:numPr>
          <w:ilvl w:val="0"/>
          <w:numId w:val="2"/>
        </w:numPr>
        <w:spacing w:after="100" w:line="360"/>
      </w:pPr>
      <w:r>
        <w:rPr>
          <w:rFonts w:ascii="Arial" w:cs="Arial" w:eastAsia="Arial" w:hAnsi="Arial"/>
          <w:sz w:val="24"/>
          <w:szCs w:val="24"/>
        </w:rPr>
        <w:t xml:space="preserve">"Generate motor safety profiles: compounds preserving &gt;90% motor/muscle function at therapeutic neuropathic pain concentrations"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Motor neuron/muscle safety table: % activity preservation and contractility retention for all 20-30 compounds</w:t>
      </w:r>
    </w:p>
    <w:p>
      <w:pPr>
        <w:pStyle w:val="ListParagraph"/>
        <w:numPr>
          <w:ilvl w:val="0"/>
          <w:numId w:val="2"/>
        </w:numPr>
        <w:spacing w:after="100" w:line="360"/>
      </w:pPr>
      <w:r>
        <w:rPr>
          <w:rFonts w:ascii="Arial" w:cs="Arial" w:eastAsia="Arial" w:hAnsi="Arial"/>
          <w:sz w:val="24"/>
          <w:szCs w:val="24"/>
        </w:rPr>
        <w:t xml:space="preserve">MEA traces: motor network activity for motor-safe compounds showing preserved baseline firing patterns</w:t>
      </w:r>
    </w:p>
    <w:p>
      <w:pPr>
        <w:pStyle w:val="ListParagraph"/>
        <w:numPr>
          <w:ilvl w:val="0"/>
          <w:numId w:val="2"/>
        </w:numPr>
        <w:spacing w:after="100" w:line="360"/>
      </w:pPr>
      <w:r>
        <w:rPr>
          <w:rFonts w:ascii="Arial" w:cs="Arial" w:eastAsia="Arial" w:hAnsi="Arial"/>
          <w:sz w:val="24"/>
          <w:szCs w:val="24"/>
        </w:rPr>
        <w:t xml:space="preserve">Motor safety vs neuropathic efficacy scatter plot: compounds ranked by combined pain efficacy and motor safety</w:t>
      </w:r>
    </w:p>
    <w:p>
      <w:pPr>
        <w:pStyle w:val="ListParagraph"/>
        <w:numPr>
          <w:ilvl w:val="0"/>
          <w:numId w:val="2"/>
        </w:numPr>
        <w:spacing w:after="100" w:line="360"/>
      </w:pPr>
      <w:r>
        <w:rPr>
          <w:rFonts w:ascii="Arial" w:cs="Arial" w:eastAsia="Arial" w:hAnsi="Arial"/>
          <w:sz w:val="24"/>
          <w:szCs w:val="24"/>
        </w:rPr>
        <w:t xml:space="preserve">Functional recovery kinetics: time-dependent restoration of motor/muscle activity after compound washout</w:t>
      </w:r>
    </w:p>
    <w:p>
      <w:pPr>
        <w:pStyle w:val="ListParagraph"/>
        <w:numPr>
          <w:ilvl w:val="0"/>
          <w:numId w:val="2"/>
        </w:numPr>
        <w:spacing w:after="100" w:line="360"/>
      </w:pPr>
      <w:r>
        <w:rPr>
          <w:rFonts w:ascii="Arial" w:cs="Arial" w:eastAsia="Arial" w:hAnsi="Arial"/>
          <w:sz w:val="24"/>
          <w:szCs w:val="24"/>
        </w:rPr>
        <w:t xml:space="preserve">Motor-safe candidate list: 10-15 compounds preserving &gt;90% motor function with excellent neuropathic pain rescue</w:t>
      </w:r>
    </w:p>
    <w:p>
      <w:pPr>
        <w:pStyle w:val="ListParagraph"/>
        <w:numPr>
          <w:ilvl w:val="0"/>
          <w:numId w:val="2"/>
        </w:numPr>
        <w:spacing w:after="100" w:line="360"/>
      </w:pPr>
      <w:r>
        <w:rPr>
          <w:rFonts w:ascii="Arial" w:cs="Arial" w:eastAsia="Arial" w:hAnsi="Arial"/>
          <w:sz w:val="24"/>
          <w:szCs w:val="24"/>
        </w:rPr>
        <w:t xml:space="preserve">Safety/efficacy profiles: comprehensive comparison tables for motor-safe ion channel modulators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motor safety metrics; PDF MEA traces and safety profiles; CSV final motor-safe candidates</w:t>
      </w:r>
    </w:p>
    <w:p>
      <w:pPr>
        <w:pStyle w:val="Heading2"/>
      </w:pPr>
      <w:r>
        <w:rPr>
          <w:rFonts w:ascii="Arial" w:cs="Arial" w:eastAsia="Arial" w:hAnsi="Arial"/>
          <w:b/>
          <w:bCs/>
          <w:sz w:val="28"/>
          <w:szCs w:val="28"/>
        </w:rPr>
        <w:t xml:space="preserve">Stage 6: Final Candidate Ranking and Neuropathic Pain Clinical Development Roadmap</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ion channel efficacy, peripheral/central sensitization rescue, motor safety, and pharmacokinetic data to rank top 5-10 ion channel modulators for chronic neuropathic pain and generate clinical development roadmaps.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Complete efficacy/safety data from Stages 1-5 for all evaluated ion channel modulators</w:t>
      </w:r>
    </w:p>
    <w:p>
      <w:pPr>
        <w:pStyle w:val="ListParagraph"/>
        <w:numPr>
          <w:ilvl w:val="0"/>
          <w:numId w:val="2"/>
        </w:numPr>
        <w:spacing w:after="100" w:line="360"/>
      </w:pPr>
      <w:r>
        <w:rPr>
          <w:rFonts w:ascii="Arial" w:cs="Arial" w:eastAsia="Arial" w:hAnsi="Arial"/>
          <w:sz w:val="24"/>
          <w:szCs w:val="24"/>
        </w:rPr>
        <w:t xml:space="preserve">Ion channel target efficacy (HCN/Kv7/T-type/ASIC IC50), neuropathic phenotype rescue, peripheral/central sensitization suppression</w:t>
      </w:r>
    </w:p>
    <w:p>
      <w:pPr>
        <w:pStyle w:val="ListParagraph"/>
        <w:numPr>
          <w:ilvl w:val="0"/>
          <w:numId w:val="2"/>
        </w:numPr>
        <w:spacing w:after="100" w:line="360"/>
      </w:pPr>
      <w:r>
        <w:rPr>
          <w:rFonts w:ascii="Arial" w:cs="Arial" w:eastAsia="Arial" w:hAnsi="Arial"/>
          <w:sz w:val="24"/>
          <w:szCs w:val="24"/>
        </w:rPr>
        <w:t xml:space="preserve">Selectivity profiles vs off-target channels and motor neuron safety confirmation</w:t>
      </w:r>
    </w:p>
    <w:p>
      <w:pPr>
        <w:pStyle w:val="ListParagraph"/>
        <w:numPr>
          <w:ilvl w:val="0"/>
          <w:numId w:val="2"/>
        </w:numPr>
        <w:spacing w:after="100" w:line="360"/>
      </w:pPr>
      <w:r>
        <w:rPr>
          <w:rFonts w:ascii="Arial" w:cs="Arial" w:eastAsia="Arial" w:hAnsi="Arial"/>
          <w:sz w:val="24"/>
          <w:szCs w:val="24"/>
        </w:rPr>
        <w:t xml:space="preserve">Known clinical pharmacokinetics for compounds with prior development to enable dose projection</w:t>
      </w:r>
    </w:p>
    <w:p>
      <w:pPr>
        <w:pStyle w:val="ListParagraph"/>
        <w:numPr>
          <w:ilvl w:val="0"/>
          <w:numId w:val="2"/>
        </w:numPr>
        <w:spacing w:after="100" w:line="360"/>
      </w:pPr>
      <w:r>
        <w:rPr>
          <w:rFonts w:ascii="Arial" w:cs="Arial" w:eastAsia="Arial" w:hAnsi="Arial"/>
          <w:sz w:val="24"/>
          <w:szCs w:val="24"/>
        </w:rPr>
        <w:t xml:space="preserve">Regulatory guidance documents for neuropathic pain drug development (FDA, EMA) and nonclinical safety expectations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R (multi-criteria ranking): Weighted scoring integrating ion channel efficacy (35%), sensitization rescue (35%), motor safety (20%), selectivity (10%)</w:t>
      </w:r>
    </w:p>
    <w:p>
      <w:pPr>
        <w:pStyle w:val="ListParagraph"/>
        <w:numPr>
          <w:ilvl w:val="0"/>
          <w:numId w:val="2"/>
        </w:numPr>
        <w:spacing w:after="100" w:line="360"/>
      </w:pPr>
      <w:r>
        <w:rPr>
          <w:rFonts w:ascii="Arial" w:cs="Arial" w:eastAsia="Arial" w:hAnsi="Arial"/>
          <w:sz w:val="24"/>
          <w:szCs w:val="24"/>
        </w:rPr>
        <w:t xml:space="preserve">Python (visualization): Generate comprehensive efficacy-safety profiles and clinical development timelines</w:t>
      </w:r>
    </w:p>
    <w:p>
      <w:pPr>
        <w:pStyle w:val="ListParagraph"/>
        <w:numPr>
          <w:ilvl w:val="0"/>
          <w:numId w:val="2"/>
        </w:numPr>
        <w:spacing w:after="100" w:line="360"/>
      </w:pPr>
      <w:r>
        <w:rPr>
          <w:rFonts w:ascii="Arial" w:cs="Arial" w:eastAsia="Arial" w:hAnsi="Arial"/>
          <w:sz w:val="24"/>
          <w:szCs w:val="24"/>
        </w:rPr>
        <w:t xml:space="preserve">KNIME (IND briefing generator): Automated workflow generating regulatory-ready neuropathic pain pipeline summaries</w:t>
      </w:r>
    </w:p>
    <w:p>
      <w:pPr>
        <w:pStyle w:val="ListParagraph"/>
        <w:numPr>
          <w:ilvl w:val="0"/>
          <w:numId w:val="2"/>
        </w:numPr>
        <w:spacing w:after="100" w:line="360"/>
      </w:pPr>
      <w:r>
        <w:rPr>
          <w:rFonts w:ascii="Arial" w:cs="Arial" w:eastAsia="Arial" w:hAnsi="Arial"/>
          <w:sz w:val="24"/>
          <w:szCs w:val="24"/>
        </w:rPr>
        <w:t xml:space="preserve">DrugBank / FDA guidance: Neuropathic pain development pathways and regulatory precedents</w:t>
      </w:r>
    </w:p>
    <w:p>
      <w:pPr>
        <w:pStyle w:val="ListParagraph"/>
        <w:numPr>
          <w:ilvl w:val="0"/>
          <w:numId w:val="2"/>
        </w:numPr>
        <w:spacing w:after="100" w:line="360"/>
      </w:pPr>
      <w:r>
        <w:rPr>
          <w:rFonts w:ascii="Arial" w:cs="Arial" w:eastAsia="Arial" w:hAnsi="Arial"/>
          <w:sz w:val="24"/>
          <w:szCs w:val="24"/>
        </w:rPr>
        <w:t xml:space="preserve">Clinical trial simulation: Phase II neuropathic pain efficacy predictions from EP-derived potency estimates</w:t>
      </w:r>
    </w:p>
    <w:p>
      <w:pPr>
        <w:pStyle w:val="ListParagraph"/>
        <w:numPr>
          <w:ilvl w:val="0"/>
          <w:numId w:val="2"/>
        </w:numPr>
        <w:spacing w:after="100" w:line="360"/>
      </w:pPr>
      <w:r>
        <w:rPr>
          <w:rFonts w:ascii="Arial" w:cs="Arial" w:eastAsia="Arial" w:hAnsi="Arial"/>
          <w:sz w:val="24"/>
          <w:szCs w:val="24"/>
        </w:rPr>
        <w:t xml:space="preserve">IND briefing package tools (Word, python-docx): Regulatory submission document generation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"Implement weighted multi-criteria ranking: (ion channel efficacy score × 0.35) + (sensitization rescue × 0.35) + (motor safety × 0.2) + (selectivity × 0.1)"</w:t>
      </w:r>
    </w:p>
    <w:p>
      <w:pPr>
        <w:pStyle w:val="ListParagraph"/>
        <w:numPr>
          <w:ilvl w:val="0"/>
          <w:numId w:val="2"/>
        </w:numPr>
        <w:spacing w:after="100" w:line="360"/>
      </w:pPr>
      <w:r>
        <w:rPr>
          <w:rFonts w:ascii="Arial" w:cs="Arial" w:eastAsia="Arial" w:hAnsi="Arial"/>
          <w:sz w:val="24"/>
          <w:szCs w:val="24"/>
        </w:rPr>
        <w:t xml:space="preserve">"Rank all ion channel modulators and identify top 5-10 candidates with highest integrated neuropathic pain potential"</w:t>
      </w:r>
    </w:p>
    <w:p>
      <w:pPr>
        <w:pStyle w:val="ListParagraph"/>
        <w:numPr>
          <w:ilvl w:val="0"/>
          <w:numId w:val="2"/>
        </w:numPr>
        <w:spacing w:after="100" w:line="360"/>
      </w:pPr>
      <w:r>
        <w:rPr>
          <w:rFonts w:ascii="Arial" w:cs="Arial" w:eastAsia="Arial" w:hAnsi="Arial"/>
          <w:sz w:val="24"/>
          <w:szCs w:val="24"/>
        </w:rPr>
        <w:t xml:space="preserve">"Develop Phase I/IIa clinical dosing strategy: estimate human starting dose from EP-derived IC50 and known human PK data"</w:t>
      </w:r>
    </w:p>
    <w:p>
      <w:pPr>
        <w:pStyle w:val="ListParagraph"/>
        <w:numPr>
          <w:ilvl w:val="0"/>
          <w:numId w:val="2"/>
        </w:numPr>
        <w:spacing w:after="100" w:line="360"/>
      </w:pPr>
      <w:r>
        <w:rPr>
          <w:rFonts w:ascii="Arial" w:cs="Arial" w:eastAsia="Arial" w:hAnsi="Arial"/>
          <w:sz w:val="24"/>
          <w:szCs w:val="24"/>
        </w:rPr>
        <w:t xml:space="preserve">"Create neuropathic pain clinical development roadmap: proposed indications, Phase II endpoints, safety monitoring strategy"</w:t>
      </w:r>
    </w:p>
    <w:p>
      <w:pPr>
        <w:pStyle w:val="ListParagraph"/>
        <w:numPr>
          <w:ilvl w:val="0"/>
          <w:numId w:val="2"/>
        </w:numPr>
        <w:spacing w:after="100" w:line="360"/>
      </w:pPr>
      <w:r>
        <w:rPr>
          <w:rFonts w:ascii="Arial" w:cs="Arial" w:eastAsia="Arial" w:hAnsi="Arial"/>
          <w:sz w:val="24"/>
          <w:szCs w:val="24"/>
        </w:rPr>
        <w:t xml:space="preserve">"Generate IND briefing package with nonclinical pharmacology summary, ion channel mechanism rationale, and neuropathic pain efficacy predictions"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Comprehensive ion channel modulator ranking: all candidates with ion channel efficacy, sensitization rescue, motor safety, selectivity, integrated score</w:t>
      </w:r>
    </w:p>
    <w:p>
      <w:pPr>
        <w:pStyle w:val="ListParagraph"/>
        <w:numPr>
          <w:ilvl w:val="0"/>
          <w:numId w:val="2"/>
        </w:numPr>
        <w:spacing w:after="100" w:line="360"/>
      </w:pPr>
      <w:r>
        <w:rPr>
          <w:rFonts w:ascii="Arial" w:cs="Arial" w:eastAsia="Arial" w:hAnsi="Arial"/>
          <w:sz w:val="24"/>
          <w:szCs w:val="24"/>
        </w:rPr>
        <w:t xml:space="preserve">Top 5-10 modulator profiles: detailed neuropathic pain efficacy summaries and mechanism rationales</w:t>
      </w:r>
    </w:p>
    <w:p>
      <w:pPr>
        <w:pStyle w:val="ListParagraph"/>
        <w:numPr>
          <w:ilvl w:val="0"/>
          <w:numId w:val="2"/>
        </w:numPr>
        <w:spacing w:after="100" w:line="360"/>
      </w:pPr>
      <w:r>
        <w:rPr>
          <w:rFonts w:ascii="Arial" w:cs="Arial" w:eastAsia="Arial" w:hAnsi="Arial"/>
          <w:sz w:val="24"/>
          <w:szCs w:val="24"/>
        </w:rPr>
        <w:t xml:space="preserve">Efficacy-safety radar plots: visual multidimensional comparison of top candidates across all assessment dimensions</w:t>
      </w:r>
    </w:p>
    <w:p>
      <w:pPr>
        <w:pStyle w:val="ListParagraph"/>
        <w:numPr>
          <w:ilvl w:val="0"/>
          <w:numId w:val="2"/>
        </w:numPr>
        <w:spacing w:after="100" w:line="360"/>
      </w:pPr>
      <w:r>
        <w:rPr>
          <w:rFonts w:ascii="Arial" w:cs="Arial" w:eastAsia="Arial" w:hAnsi="Arial"/>
          <w:sz w:val="24"/>
          <w:szCs w:val="24"/>
        </w:rPr>
        <w:t xml:space="preserve">Clinical dosing recommendations: proposed Phase I starting doses and dose escalation strategy for top candidates</w:t>
      </w:r>
    </w:p>
    <w:p>
      <w:pPr>
        <w:pStyle w:val="ListParagraph"/>
        <w:numPr>
          <w:ilvl w:val="0"/>
          <w:numId w:val="2"/>
        </w:numPr>
        <w:spacing w:after="100" w:line="360"/>
      </w:pPr>
      <w:r>
        <w:rPr>
          <w:rFonts w:ascii="Arial" w:cs="Arial" w:eastAsia="Arial" w:hAnsi="Arial"/>
          <w:sz w:val="24"/>
          <w:szCs w:val="24"/>
        </w:rPr>
        <w:t xml:space="preserve">Neuropathic pain clinical development roadmap: Phase I/II timelines, endpoints, patient populations, biomarker strategies</w:t>
      </w:r>
    </w:p>
    <w:p>
      <w:pPr>
        <w:pStyle w:val="ListParagraph"/>
        <w:numPr>
          <w:ilvl w:val="0"/>
          <w:numId w:val="2"/>
        </w:numPr>
        <w:spacing w:after="100" w:line="360"/>
      </w:pPr>
      <w:r>
        <w:rPr>
          <w:rFonts w:ascii="Arial" w:cs="Arial" w:eastAsia="Arial" w:hAnsi="Arial"/>
          <w:sz w:val="24"/>
          <w:szCs w:val="24"/>
        </w:rPr>
        <w:t xml:space="preserve">IND briefing package: regulatory-ready neuropathic pain pharmacology summary and clinical development plan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comprehensive ranking table; PDF efficacy-safety profiles and radar plots; Clinical development roadmap document; IND briefing package</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Neuropathic Pain Ion Channel Atlas: 200+ ion channel modulators profiled in neuropathic vs healthy sensory neurons</w:t>
      </w:r>
    </w:p>
    <w:p>
      <w:pPr>
        <w:pStyle w:val="ListParagraph"/>
        <w:numPr>
          <w:ilvl w:val="0"/>
          <w:numId w:val="2"/>
        </w:numPr>
        <w:spacing w:after="100" w:line="360"/>
      </w:pPr>
      <w:r>
        <w:rPr>
          <w:rFonts w:ascii="Arial" w:cs="Arial" w:eastAsia="Arial" w:hAnsi="Arial"/>
          <w:sz w:val="24"/>
          <w:szCs w:val="24"/>
        </w:rPr>
        <w:t xml:space="preserve">Igor Pro (Wavemetrics): Voltage clamp analysis macros for ion channel kinetics and current quantification</w:t>
      </w:r>
    </w:p>
    <w:p>
      <w:pPr>
        <w:pStyle w:val="ListParagraph"/>
        <w:numPr>
          <w:ilvl w:val="0"/>
          <w:numId w:val="2"/>
        </w:numPr>
        <w:spacing w:after="100" w:line="360"/>
      </w:pPr>
      <w:r>
        <w:rPr>
          <w:rFonts w:ascii="Arial" w:cs="Arial" w:eastAsia="Arial" w:hAnsi="Arial"/>
          <w:sz w:val="24"/>
          <w:szCs w:val="24"/>
        </w:rPr>
        <w:t xml:space="preserve">Python (scipy, signal processing, pandas): Ectopic firing detection and neuropathic phenotype quantification</w:t>
      </w:r>
    </w:p>
    <w:p>
      <w:pPr>
        <w:pStyle w:val="ListParagraph"/>
        <w:numPr>
          <w:ilvl w:val="0"/>
          <w:numId w:val="2"/>
        </w:numPr>
        <w:spacing w:after="100" w:line="360"/>
      </w:pPr>
      <w:r>
        <w:rPr>
          <w:rFonts w:ascii="Arial" w:cs="Arial" w:eastAsia="Arial" w:hAnsi="Arial"/>
          <w:sz w:val="24"/>
          <w:szCs w:val="24"/>
        </w:rPr>
        <w:t xml:space="preserve">R (tidyverse, ggplot2, ComplexHeatmap): Statistical comparison and comprehensive visualization</w:t>
      </w:r>
    </w:p>
    <w:p>
      <w:pPr>
        <w:pStyle w:val="ListParagraph"/>
        <w:numPr>
          <w:ilvl w:val="0"/>
          <w:numId w:val="2"/>
        </w:numPr>
        <w:spacing w:after="100" w:line="360"/>
      </w:pPr>
      <w:r>
        <w:rPr>
          <w:rFonts w:ascii="Arial" w:cs="Arial" w:eastAsia="Arial" w:hAnsi="Arial"/>
          <w:sz w:val="24"/>
          <w:szCs w:val="24"/>
        </w:rPr>
        <w:t xml:space="preserve">Multi-Electrode Array (MEA) Systems: Sensory and spinal neuron network recordings</w:t>
      </w:r>
    </w:p>
    <w:p>
      <w:pPr>
        <w:pStyle w:val="ListParagraph"/>
        <w:numPr>
          <w:ilvl w:val="0"/>
          <w:numId w:val="2"/>
        </w:numPr>
        <w:spacing w:after="100" w:line="360"/>
      </w:pPr>
      <w:r>
        <w:rPr>
          <w:rFonts w:ascii="Arial" w:cs="Arial" w:eastAsia="Arial" w:hAnsi="Arial"/>
          <w:sz w:val="24"/>
          <w:szCs w:val="24"/>
        </w:rPr>
        <w:t xml:space="preserve">Fluo-4 Calcium Imaging: Pain-evoked nociceptor response measurement</w:t>
      </w:r>
    </w:p>
    <w:p>
      <w:pPr>
        <w:pStyle w:val="ListParagraph"/>
        <w:numPr>
          <w:ilvl w:val="0"/>
          <w:numId w:val="2"/>
        </w:numPr>
        <w:spacing w:after="100" w:line="360"/>
      </w:pPr>
      <w:r>
        <w:rPr>
          <w:rFonts w:ascii="Arial" w:cs="Arial" w:eastAsia="Arial" w:hAnsi="Arial"/>
          <w:sz w:val="24"/>
          <w:szCs w:val="24"/>
        </w:rPr>
        <w:t xml:space="preserve">SafetyDB / Ion Channel Pharmacology Database: Known selectivity and toxicity profiles</w:t>
      </w:r>
    </w:p>
    <w:p>
      <w:pPr>
        <w:pStyle w:val="ListParagraph"/>
        <w:numPr>
          <w:ilvl w:val="0"/>
          <w:numId w:val="2"/>
        </w:numPr>
        <w:spacing w:after="100" w:line="360"/>
      </w:pPr>
      <w:r>
        <w:rPr>
          <w:rFonts w:ascii="Arial" w:cs="Arial" w:eastAsia="Arial" w:hAnsi="Arial"/>
          <w:sz w:val="24"/>
          <w:szCs w:val="24"/>
        </w:rPr>
        <w:t xml:space="preserve">ChEMBL / PubChem: Compound structure and known pharmacology reference</w:t>
      </w:r>
    </w:p>
    <w:p>
      <w:pPr>
        <w:pStyle w:val="ListParagraph"/>
        <w:numPr>
          <w:ilvl w:val="0"/>
          <w:numId w:val="2"/>
        </w:numPr>
        <w:spacing w:after="100" w:line="360"/>
      </w:pPr>
      <w:r>
        <w:rPr>
          <w:rFonts w:ascii="Arial" w:cs="Arial" w:eastAsia="Arial" w:hAnsi="Arial"/>
          <w:sz w:val="24"/>
          <w:szCs w:val="24"/>
        </w:rPr>
        <w:t xml:space="preserve">KNIME Analytics Platform: Multi-stage automated workflow for compound screening and ranking</w:t>
      </w:r>
    </w:p>
    <w:p>
      <w:pPr>
        <w:pStyle w:val="ListParagraph"/>
        <w:numPr>
          <w:ilvl w:val="0"/>
          <w:numId w:val="2"/>
        </w:numPr>
        <w:spacing w:after="100" w:line="360"/>
      </w:pPr>
      <w:r>
        <w:rPr>
          <w:rFonts w:ascii="Arial" w:cs="Arial" w:eastAsia="Arial" w:hAnsi="Arial"/>
          <w:sz w:val="24"/>
          <w:szCs w:val="24"/>
        </w:rPr>
        <w:t xml:space="preserve">Prism (GraphPad): Dose-response curve fitting and statistical analysis</w:t>
      </w:r>
    </w:p>
    <w:p>
      <w:pPr>
        <w:pStyle w:val="ListParagraph"/>
        <w:numPr>
          <w:ilvl w:val="0"/>
          <w:numId w:val="2"/>
        </w:numPr>
        <w:spacing w:after="100" w:line="360"/>
      </w:pPr>
      <w:r>
        <w:rPr>
          <w:rFonts w:ascii="Arial" w:cs="Arial" w:eastAsia="Arial" w:hAnsi="Arial"/>
          <w:sz w:val="24"/>
          <w:szCs w:val="24"/>
        </w:rPr>
        <w:t xml:space="preserve">DrugBank: Known neuropathic pain drug mechanisms and clinical pharmacology</w:t>
      </w:r>
    </w:p>
    <w:p>
      <w:pPr>
        <w:pStyle w:val="ListParagraph"/>
        <w:numPr>
          <w:ilvl w:val="0"/>
          <w:numId w:val="2"/>
        </w:numPr>
        <w:spacing w:after="100" w:line="360"/>
      </w:pPr>
      <w:r>
        <w:rPr>
          <w:rFonts w:ascii="Arial" w:cs="Arial" w:eastAsia="Arial" w:hAnsi="Arial"/>
          <w:sz w:val="24"/>
          <w:szCs w:val="24"/>
        </w:rPr>
        <w:t xml:space="preserve">FDA/EMA Neuropathic Pain Guidance: Regulatory development pathways and efficacy endpoints</w:t>
      </w:r>
    </w:p>
    <w:p>
      <w:pPr>
        <w:pStyle w:val="ListParagraph"/>
        <w:numPr>
          <w:ilvl w:val="0"/>
          <w:numId w:val="2"/>
        </w:numPr>
        <w:spacing w:after="100" w:line="360"/>
      </w:pPr>
      <w:r>
        <w:rPr>
          <w:rFonts w:ascii="Arial" w:cs="Arial" w:eastAsia="Arial" w:hAnsi="Arial"/>
          <w:sz w:val="24"/>
          <w:szCs w:val="24"/>
        </w:rPr>
        <w:t xml:space="preserve">Clinical Trial Simulation Software: Phase II probability-of-success predictions</w:t>
      </w:r>
    </w:p>
    <w:p>
      <w:pPr>
        <w:pStyle w:val="ListParagraph"/>
        <w:numPr>
          <w:ilvl w:val="0"/>
          <w:numId w:val="2"/>
        </w:numPr>
        <w:spacing w:after="100" w:line="360"/>
      </w:pPr>
      <w:r>
        <w:rPr>
          <w:rFonts w:ascii="Arial" w:cs="Arial" w:eastAsia="Arial" w:hAnsi="Arial"/>
          <w:sz w:val="24"/>
          <w:szCs w:val="24"/>
        </w:rPr>
        <w:t xml:space="preserve">Python-docx / Word Templates: IND briefing package generation and regulatory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2026-03-04T14:21:28.248Z</dcterms:created>
  <dcterms:modified xsi:type="dcterms:W3CDTF">2026-03-04T14:21:28.248Z</dcterms:modified>
</cp:coreProperties>
</file>

<file path=docProps/custom.xml><?xml version="1.0" encoding="utf-8"?>
<Properties xmlns="http://schemas.openxmlformats.org/officeDocument/2006/custom-properties" xmlns:vt="http://schemas.openxmlformats.org/officeDocument/2006/docPropsVTypes"/>
</file>