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Rank Clinically De-Risked Compounds for Diabetic Neuropathy</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Rank clinically de-risked compounds for diabetic neuropathy.</w:t>
      </w:r>
    </w:p>
    <w:p>
      <w:pPr>
        <w:spacing w:after="200" w:line="360"/>
      </w:pPr>
      <w:r>
        <w:rPr>
          <w:rFonts w:ascii="Arial" w:cs="Arial" w:eastAsia="Arial" w:hAnsi="Arial"/>
          <w:sz w:val="24"/>
          <w:szCs w:val="24"/>
        </w:rPr>
        <w:t xml:space="preserve">This pipeline leverages Quiver Bioscience's electrophysiology CRISPR atlas to identify and rank clinically de-risked compounds predicted to rescue diabetic peripheral neuropathy (DPN) by targeting metabolic neuropathy-specific ion channel dysfunction and axonal degeneration phenotypes. Diabetic neuropathy involves glucose toxicity-induced ion channel remodeling, impaired mitochondrial function, axonal cytoskeletal disruption, and sensory neuron subtype-specific degeneration. The pipeline systematically profiles 100+ clinically-tested or clinically-adjacent compounds (duloxetine analogs, pregabalin analogs, metabolic modulators, antioxidants) in diabetic neuropathy models to identify candidates that normalize DPN-specific EP signatures, rescue axonal integrity markers, and restore sensory neuron subtype-specific function. De-risking focuses on compounds with prior Phase II/III clinical testing or known pharmacokinetics to accelerate translation to diabetic neuropathy indications.</w:t>
      </w:r>
    </w:p>
    <w:p>
      <w:pPr>
        <w:spacing w:after="200" w:line="360"/>
      </w:pPr>
      <w:r>
        <w:rPr>
          <w:rFonts w:ascii="Arial" w:cs="Arial" w:eastAsia="Arial" w:hAnsi="Arial"/>
          <w:sz w:val="24"/>
          <w:szCs w:val="24"/>
        </w:rPr>
        <w:t xml:space="preserve">The pipeline integrates metabolic neuropathy-specific EP profiling (glucose toxicity signatures, mitochondrial dysfunction markers, ion channel remodeling) with clinical safety/pharmacokinetic data and sensory neuron subtype-specific efficacy assessment. Compounds are ranked by efficacy in rescuing DPN EP phenotypes, preservation of healthy neuron function, clinical precedent (prior Phase II development, known human exposures), axonal health restoration, and sensory subtype-specific rescue. The final output comprises ranked clinically de-risked compounds with detailed DPN efficacy profiles, prior clinical/preclinical evidence summaries, and accelerated development recommendations for diabetic neuropathy therapeutics.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integrates diabetic neuropathy-specific disease modeling with clinical de-risking to enable rapid advancement of promising candidates. Beginning with comprehensive characterization of DPN-relevant sensory neurons (derived from patient-relevant diabetes models or metabolic stress-induced paradigms), the workflow establishes disease-specific EP and structural signatures including glucose-induced ion channel remodeling, mitochondrial dysfunction, impaired axonal transport, and sensory neuron subtype-specific degeneration patterns. This DPN phenotype profile serves as the therapeutic target against which 100+ clinically-tested compounds are systematically profiled.</w:t>
      </w:r>
    </w:p>
    <w:p>
      <w:pPr>
        <w:spacing w:after="200" w:line="360"/>
      </w:pPr>
      <w:r>
        <w:rPr>
          <w:rFonts w:ascii="Arial" w:cs="Arial" w:eastAsia="Arial" w:hAnsi="Arial"/>
          <w:sz w:val="24"/>
          <w:szCs w:val="24"/>
        </w:rPr>
        <w:t xml:space="preserve">Compounds are evaluated for DPN EP phenotype rescue (restoring glucose-dysregulated ion channels toward healthy baselines), preservation of non-nociceptor sensory neurons, axonal integrity restoration (microtubule stabilization, mitochondrial function recovery), sensory neuron subtype-specific efficacy, and clinical de-risking factors (prior Phase II/III development, known safety profile, established human pharmacokinetics). Multi-criteria ranking integrates DPN efficacy, clinical evidence, sensory subtype selectivity, and axonal rescue to identify lead candidates. The final deliverable comprises ranked clinically de-risked compounds with detailed DPN profiles, clinical evidence summaries, and development timelines for diabetes-adjacent indications.</w:t>
      </w:r>
    </w:p>
    <w:p>
      <w:pPr>
        <w:pStyle w:val="Heading2"/>
      </w:pPr>
      <w:r>
        <w:rPr>
          <w:rFonts w:ascii="Arial" w:cs="Arial" w:eastAsia="Arial" w:hAnsi="Arial"/>
          <w:b/>
          <w:bCs/>
          <w:sz w:val="28"/>
          <w:szCs w:val="28"/>
        </w:rPr>
        <w:t xml:space="preserve">Stage 1: Diabetic Neuropathy Metabolic and Ion Channel Phenotype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characterize glucose toxicity-induced ion channel remodeling, mitochondrial dysfunction, and axonal degeneration in sensory neurons to define the DPN phenotype that therapeutic compounds must rescue.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Sensory neurons from streptozotocin-induced diabetic (STZ-DM) animal models or high-glucose-treated iPSC-derived sensory neurons</w:t>
      </w:r>
    </w:p>
    <w:p>
      <w:pPr>
        <w:pStyle w:val="ListParagraph"/>
        <w:numPr>
          <w:ilvl w:val="0"/>
          <w:numId w:val="2"/>
        </w:numPr>
        <w:spacing w:after="100" w:line="360"/>
      </w:pPr>
      <w:r>
        <w:rPr>
          <w:rFonts w:ascii="Arial" w:cs="Arial" w:eastAsia="Arial" w:hAnsi="Arial"/>
          <w:sz w:val="24"/>
          <w:szCs w:val="24"/>
        </w:rPr>
        <w:t xml:space="preserve">Whole-cell voltage clamp recordings: ion channel current characterization (potassium, calcium, sodium channels dysregulated in DPN)</w:t>
      </w:r>
    </w:p>
    <w:p>
      <w:pPr>
        <w:pStyle w:val="ListParagraph"/>
        <w:numPr>
          <w:ilvl w:val="0"/>
          <w:numId w:val="2"/>
        </w:numPr>
        <w:spacing w:after="100" w:line="360"/>
      </w:pPr>
      <w:r>
        <w:rPr>
          <w:rFonts w:ascii="Arial" w:cs="Arial" w:eastAsia="Arial" w:hAnsi="Arial"/>
          <w:sz w:val="24"/>
          <w:szCs w:val="24"/>
        </w:rPr>
        <w:t xml:space="preserve">Mitochondrial function assessments: oxygen consumption rate (OCR), ATP/ADP ratios, membrane potential, calcium handling in DPN neurons</w:t>
      </w:r>
    </w:p>
    <w:p>
      <w:pPr>
        <w:pStyle w:val="ListParagraph"/>
        <w:numPr>
          <w:ilvl w:val="0"/>
          <w:numId w:val="2"/>
        </w:numPr>
        <w:spacing w:after="100" w:line="360"/>
      </w:pPr>
      <w:r>
        <w:rPr>
          <w:rFonts w:ascii="Arial" w:cs="Arial" w:eastAsia="Arial" w:hAnsi="Arial"/>
          <w:sz w:val="24"/>
          <w:szCs w:val="24"/>
        </w:rPr>
        <w:t xml:space="preserve">Axonal degeneration markers: microtubule stability (tau phosphorylation), axonal transport kinetics, synaptic integrity, dendritic degeneration</w:t>
      </w:r>
    </w:p>
    <w:p>
      <w:pPr>
        <w:pStyle w:val="ListParagraph"/>
        <w:numPr>
          <w:ilvl w:val="0"/>
          <w:numId w:val="2"/>
        </w:numPr>
        <w:spacing w:after="100" w:line="360"/>
      </w:pPr>
      <w:r>
        <w:rPr>
          <w:rFonts w:ascii="Arial" w:cs="Arial" w:eastAsia="Arial" w:hAnsi="Arial"/>
          <w:sz w:val="24"/>
          <w:szCs w:val="24"/>
        </w:rPr>
        <w:t xml:space="preserve">Sensory neuron subtype classification: nociceptor (TRPV1+, substance P+), proprioceptor (Parv+), mechanoreceptor phenotyping in diabetic vs control neurons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Diabetic Neuropathy Panel: STZ-DM and metabolic stress EP signatures for DPN phenotype baseline establishment</w:t>
      </w:r>
    </w:p>
    <w:p>
      <w:pPr>
        <w:pStyle w:val="ListParagraph"/>
        <w:numPr>
          <w:ilvl w:val="0"/>
          <w:numId w:val="2"/>
        </w:numPr>
        <w:spacing w:after="100" w:line="360"/>
      </w:pPr>
      <w:r>
        <w:rPr>
          <w:rFonts w:ascii="Arial" w:cs="Arial" w:eastAsia="Arial" w:hAnsi="Arial"/>
          <w:sz w:val="24"/>
          <w:szCs w:val="24"/>
        </w:rPr>
        <w:t xml:space="preserve">Igor Pro (Wavemetrics): Ion channel kinetics analysis and metabolic electrode data processing</w:t>
      </w:r>
    </w:p>
    <w:p>
      <w:pPr>
        <w:pStyle w:val="ListParagraph"/>
        <w:numPr>
          <w:ilvl w:val="0"/>
          <w:numId w:val="2"/>
        </w:numPr>
        <w:spacing w:after="100" w:line="360"/>
      </w:pPr>
      <w:r>
        <w:rPr>
          <w:rFonts w:ascii="Arial" w:cs="Arial" w:eastAsia="Arial" w:hAnsi="Arial"/>
          <w:sz w:val="24"/>
          <w:szCs w:val="24"/>
        </w:rPr>
        <w:t xml:space="preserve">Seahorse XF (Agilent): Mitochondrial OCR, ECAR, ATP synthesis measurement in DPN neurons</w:t>
      </w:r>
    </w:p>
    <w:p>
      <w:pPr>
        <w:pStyle w:val="ListParagraph"/>
        <w:numPr>
          <w:ilvl w:val="0"/>
          <w:numId w:val="2"/>
        </w:numPr>
        <w:spacing w:after="100" w:line="360"/>
      </w:pPr>
      <w:r>
        <w:rPr>
          <w:rFonts w:ascii="Arial" w:cs="Arial" w:eastAsia="Arial" w:hAnsi="Arial"/>
          <w:sz w:val="24"/>
          <w:szCs w:val="24"/>
        </w:rPr>
        <w:t xml:space="preserve">Immunofluorescence microscopy: Tau phosphorylation, microtubule (alpha-tubulin) visualization, axonal integrity assessment</w:t>
      </w:r>
    </w:p>
    <w:p>
      <w:pPr>
        <w:pStyle w:val="ListParagraph"/>
        <w:numPr>
          <w:ilvl w:val="0"/>
          <w:numId w:val="2"/>
        </w:numPr>
        <w:spacing w:after="100" w:line="360"/>
      </w:pPr>
      <w:r>
        <w:rPr>
          <w:rFonts w:ascii="Arial" w:cs="Arial" w:eastAsia="Arial" w:hAnsi="Arial"/>
          <w:sz w:val="24"/>
          <w:szCs w:val="24"/>
        </w:rPr>
        <w:t xml:space="preserve">Python (metabolic and morphological phenotyping): Quantify DPN-specific changes in ion channels, mitochondrial dysfunction, axonal pathology</w:t>
      </w:r>
    </w:p>
    <w:p>
      <w:pPr>
        <w:pStyle w:val="ListParagraph"/>
        <w:numPr>
          <w:ilvl w:val="0"/>
          <w:numId w:val="2"/>
        </w:numPr>
        <w:spacing w:after="100" w:line="360"/>
      </w:pPr>
      <w:r>
        <w:rPr>
          <w:rFonts w:ascii="Arial" w:cs="Arial" w:eastAsia="Arial" w:hAnsi="Arial"/>
          <w:sz w:val="24"/>
          <w:szCs w:val="24"/>
        </w:rPr>
        <w:t xml:space="preserve">R (DPN phenotype clustering): Statistical comparison of diabetic vs control neurons; sensory neuron subtype-specific DPN signature extraction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ion channel currents in STZ-DM sensory neurons: quantify fold-change in potassium, calcium, sodium currents vs healthy controls"</w:t>
      </w:r>
    </w:p>
    <w:p>
      <w:pPr>
        <w:pStyle w:val="ListParagraph"/>
        <w:numPr>
          <w:ilvl w:val="0"/>
          <w:numId w:val="2"/>
        </w:numPr>
        <w:spacing w:after="100" w:line="360"/>
      </w:pPr>
      <w:r>
        <w:rPr>
          <w:rFonts w:ascii="Arial" w:cs="Arial" w:eastAsia="Arial" w:hAnsi="Arial"/>
          <w:sz w:val="24"/>
          <w:szCs w:val="24"/>
        </w:rPr>
        <w:t xml:space="preserve">"Assess DPN mitochondrial dysfunction: measure basal OCR, ATP-linked OCR, proton leak in STZ neurons; calculate % reduction vs controls"</w:t>
      </w:r>
    </w:p>
    <w:p>
      <w:pPr>
        <w:pStyle w:val="ListParagraph"/>
        <w:numPr>
          <w:ilvl w:val="0"/>
          <w:numId w:val="2"/>
        </w:numPr>
        <w:spacing w:after="100" w:line="360"/>
      </w:pPr>
      <w:r>
        <w:rPr>
          <w:rFonts w:ascii="Arial" w:cs="Arial" w:eastAsia="Arial" w:hAnsi="Arial"/>
          <w:sz w:val="24"/>
          <w:szCs w:val="24"/>
        </w:rPr>
        <w:t xml:space="preserve">"Quantify axonal degeneration: measure axon length/number, microtubule stability (tau pS199/202 phosphorylation), synaptic density in DPN neurons"</w:t>
      </w:r>
    </w:p>
    <w:p>
      <w:pPr>
        <w:pStyle w:val="ListParagraph"/>
        <w:numPr>
          <w:ilvl w:val="0"/>
          <w:numId w:val="2"/>
        </w:numPr>
        <w:spacing w:after="100" w:line="360"/>
      </w:pPr>
      <w:r>
        <w:rPr>
          <w:rFonts w:ascii="Arial" w:cs="Arial" w:eastAsia="Arial" w:hAnsi="Arial"/>
          <w:sz w:val="24"/>
          <w:szCs w:val="24"/>
        </w:rPr>
        <w:t xml:space="preserve">"Classify DPN neuron subtypes: immunophenotype nociceptors (TRPV1+), proprioceptors (Parvalbumin+), mechanoreceptors and quantify subtype-specific degeneration"</w:t>
      </w:r>
    </w:p>
    <w:p>
      <w:pPr>
        <w:pStyle w:val="ListParagraph"/>
        <w:numPr>
          <w:ilvl w:val="0"/>
          <w:numId w:val="2"/>
        </w:numPr>
        <w:spacing w:after="100" w:line="360"/>
      </w:pPr>
      <w:r>
        <w:rPr>
          <w:rFonts w:ascii="Arial" w:cs="Arial" w:eastAsia="Arial" w:hAnsi="Arial"/>
          <w:sz w:val="24"/>
          <w:szCs w:val="24"/>
        </w:rPr>
        <w:t xml:space="preserve">"Integrate multi-parameter DPN phenotype: construct signature combining ion channel remodeling + mitochondrial dysfunction + axonal pathology + subtype-specific changes"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DPN ion channel remodeling profile: fold-changes in potassium, calcium, sodium currents in STZ neurons vs healthy baselines</w:t>
      </w:r>
    </w:p>
    <w:p>
      <w:pPr>
        <w:pStyle w:val="ListParagraph"/>
        <w:numPr>
          <w:ilvl w:val="0"/>
          <w:numId w:val="2"/>
        </w:numPr>
        <w:spacing w:after="100" w:line="360"/>
      </w:pPr>
      <w:r>
        <w:rPr>
          <w:rFonts w:ascii="Arial" w:cs="Arial" w:eastAsia="Arial" w:hAnsi="Arial"/>
          <w:sz w:val="24"/>
          <w:szCs w:val="24"/>
        </w:rPr>
        <w:t xml:space="preserve">Mitochondrial dysfunction markers: basal/ATP-linked OCR, proton leak, ATP/ADP ratios in DPN neurons with % reduction quantified</w:t>
      </w:r>
    </w:p>
    <w:p>
      <w:pPr>
        <w:pStyle w:val="ListParagraph"/>
        <w:numPr>
          <w:ilvl w:val="0"/>
          <w:numId w:val="2"/>
        </w:numPr>
        <w:spacing w:after="100" w:line="360"/>
      </w:pPr>
      <w:r>
        <w:rPr>
          <w:rFonts w:ascii="Arial" w:cs="Arial" w:eastAsia="Arial" w:hAnsi="Arial"/>
          <w:sz w:val="24"/>
          <w:szCs w:val="24"/>
        </w:rPr>
        <w:t xml:space="preserve">Axonal pathology quantification: axon length/number reduction, microtubule destabilization (phospho-tau elevation), synaptic density loss</w:t>
      </w:r>
    </w:p>
    <w:p>
      <w:pPr>
        <w:pStyle w:val="ListParagraph"/>
        <w:numPr>
          <w:ilvl w:val="0"/>
          <w:numId w:val="2"/>
        </w:numPr>
        <w:spacing w:after="100" w:line="360"/>
      </w:pPr>
      <w:r>
        <w:rPr>
          <w:rFonts w:ascii="Arial" w:cs="Arial" w:eastAsia="Arial" w:hAnsi="Arial"/>
          <w:sz w:val="24"/>
          <w:szCs w:val="24"/>
        </w:rPr>
        <w:t xml:space="preserve">Sensory neuron subtype DPN profiles: nociceptor, proprioceptor, mechanoreceptor subtype-specific degeneration patterns</w:t>
      </w:r>
    </w:p>
    <w:p>
      <w:pPr>
        <w:pStyle w:val="ListParagraph"/>
        <w:numPr>
          <w:ilvl w:val="0"/>
          <w:numId w:val="2"/>
        </w:numPr>
        <w:spacing w:after="100" w:line="360"/>
      </w:pPr>
      <w:r>
        <w:rPr>
          <w:rFonts w:ascii="Arial" w:cs="Arial" w:eastAsia="Arial" w:hAnsi="Arial"/>
          <w:sz w:val="24"/>
          <w:szCs w:val="24"/>
        </w:rPr>
        <w:t xml:space="preserve">Immunofluorescence images: microtubule disruption, tau phosphorylation, axonal degeneration visible markers in DPN neurons</w:t>
      </w:r>
    </w:p>
    <w:p>
      <w:pPr>
        <w:pStyle w:val="ListParagraph"/>
        <w:numPr>
          <w:ilvl w:val="0"/>
          <w:numId w:val="2"/>
        </w:numPr>
        <w:spacing w:after="100" w:line="360"/>
      </w:pPr>
      <w:r>
        <w:rPr>
          <w:rFonts w:ascii="Arial" w:cs="Arial" w:eastAsia="Arial" w:hAnsi="Arial"/>
          <w:sz w:val="24"/>
          <w:szCs w:val="24"/>
        </w:rPr>
        <w:t xml:space="preserve">Integrated DPN phenotype signature: composite multi-parameter profile for therapeutic target definition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DPN phenotype summary tables; PDF ion channel and mitochondrial analysis plots; Immunofluorescence images; Axonal morphometry data</w:t>
      </w:r>
    </w:p>
    <w:p>
      <w:pPr>
        <w:pStyle w:val="Heading2"/>
      </w:pPr>
      <w:r>
        <w:rPr>
          <w:rFonts w:ascii="Arial" w:cs="Arial" w:eastAsia="Arial" w:hAnsi="Arial"/>
          <w:b/>
          <w:bCs/>
          <w:sz w:val="28"/>
          <w:szCs w:val="28"/>
        </w:rPr>
        <w:t xml:space="preserve">Stage 2: Clinically De-Risked Compound Library Screening in DPN Models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100+ clinically-tested or clinical-adjacent compounds (duloxetine analogs, pregabalin analogs, metabolic modulators, antioxidants) in DPN sensory neurons to identify candidates rescuing glucose-induced ion channel dysfunction and mitochondrial pathology.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100+ clinically-tested compounds: approved diabetes drugs, Phase II DPN compounds (duloxetine, pregabalin analogs, metabolic agents)</w:t>
      </w:r>
    </w:p>
    <w:p>
      <w:pPr>
        <w:pStyle w:val="ListParagraph"/>
        <w:numPr>
          <w:ilvl w:val="0"/>
          <w:numId w:val="2"/>
        </w:numPr>
        <w:spacing w:after="100" w:line="360"/>
      </w:pPr>
      <w:r>
        <w:rPr>
          <w:rFonts w:ascii="Arial" w:cs="Arial" w:eastAsia="Arial" w:hAnsi="Arial"/>
          <w:sz w:val="24"/>
          <w:szCs w:val="24"/>
        </w:rPr>
        <w:t xml:space="preserve">STZ-DM sensory neurons for dose-response screening and DPN phenotype rescue assessment</w:t>
      </w:r>
    </w:p>
    <w:p>
      <w:pPr>
        <w:pStyle w:val="ListParagraph"/>
        <w:numPr>
          <w:ilvl w:val="0"/>
          <w:numId w:val="2"/>
        </w:numPr>
        <w:spacing w:after="100" w:line="360"/>
      </w:pPr>
      <w:r>
        <w:rPr>
          <w:rFonts w:ascii="Arial" w:cs="Arial" w:eastAsia="Arial" w:hAnsi="Arial"/>
          <w:sz w:val="24"/>
          <w:szCs w:val="24"/>
        </w:rPr>
        <w:t xml:space="preserve">Voltage clamp recordings: ion channel current measurement at dose-response range in DPN neurons</w:t>
      </w:r>
    </w:p>
    <w:p>
      <w:pPr>
        <w:pStyle w:val="ListParagraph"/>
        <w:numPr>
          <w:ilvl w:val="0"/>
          <w:numId w:val="2"/>
        </w:numPr>
        <w:spacing w:after="100" w:line="360"/>
      </w:pPr>
      <w:r>
        <w:rPr>
          <w:rFonts w:ascii="Arial" w:cs="Arial" w:eastAsia="Arial" w:hAnsi="Arial"/>
          <w:sz w:val="24"/>
          <w:szCs w:val="24"/>
        </w:rPr>
        <w:t xml:space="preserve">Seahorse metabolic profiling: mitochondrial OCR recovery assessment at compound dose-response</w:t>
      </w:r>
    </w:p>
    <w:p>
      <w:pPr>
        <w:pStyle w:val="ListParagraph"/>
        <w:numPr>
          <w:ilvl w:val="0"/>
          <w:numId w:val="2"/>
        </w:numPr>
        <w:spacing w:after="100" w:line="360"/>
      </w:pPr>
      <w:r>
        <w:rPr>
          <w:rFonts w:ascii="Arial" w:cs="Arial" w:eastAsia="Arial" w:hAnsi="Arial"/>
          <w:sz w:val="24"/>
          <w:szCs w:val="24"/>
        </w:rPr>
        <w:t xml:space="preserve">Axonal morphology assessment: microtubule stabilization, axon length recovery, dendritic regrowth at compound concentrations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Diabetes Drug Library: 100+ clinically-tested compounds with prior development history</w:t>
      </w:r>
    </w:p>
    <w:p>
      <w:pPr>
        <w:pStyle w:val="ListParagraph"/>
        <w:numPr>
          <w:ilvl w:val="0"/>
          <w:numId w:val="2"/>
        </w:numPr>
        <w:spacing w:after="100" w:line="360"/>
      </w:pPr>
      <w:r>
        <w:rPr>
          <w:rFonts w:ascii="Arial" w:cs="Arial" w:eastAsia="Arial" w:hAnsi="Arial"/>
          <w:sz w:val="24"/>
          <w:szCs w:val="24"/>
        </w:rPr>
        <w:t xml:space="preserve">Python (DPN rescue efficacy scoring): Quantify ion channel restoration, mitochondrial recovery, axonal morphology improvement</w:t>
      </w:r>
    </w:p>
    <w:p>
      <w:pPr>
        <w:pStyle w:val="ListParagraph"/>
        <w:numPr>
          <w:ilvl w:val="0"/>
          <w:numId w:val="2"/>
        </w:numPr>
        <w:spacing w:after="100" w:line="360"/>
      </w:pPr>
      <w:r>
        <w:rPr>
          <w:rFonts w:ascii="Arial" w:cs="Arial" w:eastAsia="Arial" w:hAnsi="Arial"/>
          <w:sz w:val="24"/>
          <w:szCs w:val="24"/>
        </w:rPr>
        <w:t xml:space="preserve">R (clinical de-risking integration): Score compounds by DPN efficacy × clinical precedent (Phase II/III data, known PK/safety)</w:t>
      </w:r>
    </w:p>
    <w:p>
      <w:pPr>
        <w:pStyle w:val="ListParagraph"/>
        <w:numPr>
          <w:ilvl w:val="0"/>
          <w:numId w:val="2"/>
        </w:numPr>
        <w:spacing w:after="100" w:line="360"/>
      </w:pPr>
      <w:r>
        <w:rPr>
          <w:rFonts w:ascii="Arial" w:cs="Arial" w:eastAsia="Arial" w:hAnsi="Arial"/>
          <w:sz w:val="24"/>
          <w:szCs w:val="24"/>
        </w:rPr>
        <w:t xml:space="preserve">KNIME (DPN/clinical integration workflow): Automated screening of 100+ compounds for DPN efficacy and de-risking factors</w:t>
      </w:r>
    </w:p>
    <w:p>
      <w:pPr>
        <w:pStyle w:val="ListParagraph"/>
        <w:numPr>
          <w:ilvl w:val="0"/>
          <w:numId w:val="2"/>
        </w:numPr>
        <w:spacing w:after="100" w:line="360"/>
      </w:pPr>
      <w:r>
        <w:rPr>
          <w:rFonts w:ascii="Arial" w:cs="Arial" w:eastAsia="Arial" w:hAnsi="Arial"/>
          <w:sz w:val="24"/>
          <w:szCs w:val="24"/>
        </w:rPr>
        <w:t xml:space="preserve">Prism (GraphPad): Dose-response curve fitting for ion channel and mitochondrial rescue endpoints</w:t>
      </w:r>
    </w:p>
    <w:p>
      <w:pPr>
        <w:pStyle w:val="ListParagraph"/>
        <w:numPr>
          <w:ilvl w:val="0"/>
          <w:numId w:val="2"/>
        </w:numPr>
        <w:spacing w:after="100" w:line="360"/>
      </w:pPr>
      <w:r>
        <w:rPr>
          <w:rFonts w:ascii="Arial" w:cs="Arial" w:eastAsia="Arial" w:hAnsi="Arial"/>
          <w:sz w:val="24"/>
          <w:szCs w:val="24"/>
        </w:rPr>
        <w:t xml:space="preserve">DrugBank / ClinicalTrials.gov: Clinical development history, prior trial data, and known safety profiles for compounds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compound-mediated restoration of glucose-dysregulated ion currents in STZ neurons; extract EC50 for DPN phenotype rescue"</w:t>
      </w:r>
    </w:p>
    <w:p>
      <w:pPr>
        <w:pStyle w:val="ListParagraph"/>
        <w:numPr>
          <w:ilvl w:val="0"/>
          <w:numId w:val="2"/>
        </w:numPr>
        <w:spacing w:after="100" w:line="360"/>
      </w:pPr>
      <w:r>
        <w:rPr>
          <w:rFonts w:ascii="Arial" w:cs="Arial" w:eastAsia="Arial" w:hAnsi="Arial"/>
          <w:sz w:val="24"/>
          <w:szCs w:val="24"/>
        </w:rPr>
        <w:t xml:space="preserve">"Assess mitochondrial function recovery: measure % restoration of basal/ATP-linked OCR in STZ neurons at compound concentrations"</w:t>
      </w:r>
    </w:p>
    <w:p>
      <w:pPr>
        <w:pStyle w:val="ListParagraph"/>
        <w:numPr>
          <w:ilvl w:val="0"/>
          <w:numId w:val="2"/>
        </w:numPr>
        <w:spacing w:after="100" w:line="360"/>
      </w:pPr>
      <w:r>
        <w:rPr>
          <w:rFonts w:ascii="Arial" w:cs="Arial" w:eastAsia="Arial" w:hAnsi="Arial"/>
          <w:sz w:val="24"/>
          <w:szCs w:val="24"/>
        </w:rPr>
        <w:t xml:space="preserve">"Quantify axonal morphology rescue: measure axon length/number restoration and microtubule stability improvement with compound exposure"</w:t>
      </w:r>
    </w:p>
    <w:p>
      <w:pPr>
        <w:pStyle w:val="ListParagraph"/>
        <w:numPr>
          <w:ilvl w:val="0"/>
          <w:numId w:val="2"/>
        </w:numPr>
        <w:spacing w:after="100" w:line="360"/>
      </w:pPr>
      <w:r>
        <w:rPr>
          <w:rFonts w:ascii="Arial" w:cs="Arial" w:eastAsia="Arial" w:hAnsi="Arial"/>
          <w:sz w:val="24"/>
          <w:szCs w:val="24"/>
        </w:rPr>
        <w:t xml:space="preserve">"Score compounds by integrated DPN efficacy: (ion channel rescue score × 0.4) + (mitochondrial recovery × 0.3) + (axonal morphology × 0.3)"</w:t>
      </w:r>
    </w:p>
    <w:p>
      <w:pPr>
        <w:pStyle w:val="ListParagraph"/>
        <w:numPr>
          <w:ilvl w:val="0"/>
          <w:numId w:val="2"/>
        </w:numPr>
        <w:spacing w:after="100" w:line="360"/>
      </w:pPr>
      <w:r>
        <w:rPr>
          <w:rFonts w:ascii="Arial" w:cs="Arial" w:eastAsia="Arial" w:hAnsi="Arial"/>
          <w:sz w:val="24"/>
          <w:szCs w:val="24"/>
        </w:rPr>
        <w:t xml:space="preserve">"Rank 50-80 compounds by combined DPN efficacy × clinical de-risking factors (Phase II/III development, known safety, established PK)"</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DPN phenotype rescue efficacy table: 100+ compounds with ion channel restoration EC50, mitochondrial recovery %, axonal morphology rescue score</w:t>
      </w:r>
    </w:p>
    <w:p>
      <w:pPr>
        <w:pStyle w:val="ListParagraph"/>
        <w:numPr>
          <w:ilvl w:val="0"/>
          <w:numId w:val="2"/>
        </w:numPr>
        <w:spacing w:after="100" w:line="360"/>
      </w:pPr>
      <w:r>
        <w:rPr>
          <w:rFonts w:ascii="Arial" w:cs="Arial" w:eastAsia="Arial" w:hAnsi="Arial"/>
          <w:sz w:val="24"/>
          <w:szCs w:val="24"/>
        </w:rPr>
        <w:t xml:space="preserve">Ion channel dose-response curves: restoration of glucose-dysregulated potassium/calcium/sodium currents for representative compounds</w:t>
      </w:r>
    </w:p>
    <w:p>
      <w:pPr>
        <w:pStyle w:val="ListParagraph"/>
        <w:numPr>
          <w:ilvl w:val="0"/>
          <w:numId w:val="2"/>
        </w:numPr>
        <w:spacing w:after="100" w:line="360"/>
      </w:pPr>
      <w:r>
        <w:rPr>
          <w:rFonts w:ascii="Arial" w:cs="Arial" w:eastAsia="Arial" w:hAnsi="Arial"/>
          <w:sz w:val="24"/>
          <w:szCs w:val="24"/>
        </w:rPr>
        <w:t xml:space="preserve">Mitochondrial OCR recovery plots: basal OCR restoration at compound concentrations showing metabolic dysfunction rescue</w:t>
      </w:r>
    </w:p>
    <w:p>
      <w:pPr>
        <w:pStyle w:val="ListParagraph"/>
        <w:numPr>
          <w:ilvl w:val="0"/>
          <w:numId w:val="2"/>
        </w:numPr>
        <w:spacing w:after="100" w:line="360"/>
      </w:pPr>
      <w:r>
        <w:rPr>
          <w:rFonts w:ascii="Arial" w:cs="Arial" w:eastAsia="Arial" w:hAnsi="Arial"/>
          <w:sz w:val="24"/>
          <w:szCs w:val="24"/>
        </w:rPr>
        <w:t xml:space="preserve">Clinical de-risking summary: phase of development, known safety profile, human exposures for top 50-80 candidates</w:t>
      </w:r>
    </w:p>
    <w:p>
      <w:pPr>
        <w:pStyle w:val="ListParagraph"/>
        <w:numPr>
          <w:ilvl w:val="0"/>
          <w:numId w:val="2"/>
        </w:numPr>
        <w:spacing w:after="100" w:line="360"/>
      </w:pPr>
      <w:r>
        <w:rPr>
          <w:rFonts w:ascii="Arial" w:cs="Arial" w:eastAsia="Arial" w:hAnsi="Arial"/>
          <w:sz w:val="24"/>
          <w:szCs w:val="24"/>
        </w:rPr>
        <w:t xml:space="preserve">Integrated DPN + de-risking ranking: compounds ranked by combined DPN efficacy and clinical precedent</w:t>
      </w:r>
    </w:p>
    <w:p>
      <w:pPr>
        <w:pStyle w:val="ListParagraph"/>
        <w:numPr>
          <w:ilvl w:val="0"/>
          <w:numId w:val="2"/>
        </w:numPr>
        <w:spacing w:after="100" w:line="360"/>
      </w:pPr>
      <w:r>
        <w:rPr>
          <w:rFonts w:ascii="Arial" w:cs="Arial" w:eastAsia="Arial" w:hAnsi="Arial"/>
          <w:sz w:val="24"/>
          <w:szCs w:val="24"/>
        </w:rPr>
        <w:t xml:space="preserve">Filtered lead compounds: 30-50 agents with excellent DPN phenotype rescue and strong clinical de-risking evidence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DPN efficacy + clinical de-risking table; PDF dose-response and metabolic rescue plots; CSV ranked compounds; Clinical history summary document</w:t>
      </w:r>
    </w:p>
    <w:p>
      <w:pPr>
        <w:pStyle w:val="Heading2"/>
      </w:pPr>
      <w:r>
        <w:rPr>
          <w:rFonts w:ascii="Arial" w:cs="Arial" w:eastAsia="Arial" w:hAnsi="Arial"/>
          <w:b/>
          <w:bCs/>
          <w:sz w:val="28"/>
          <w:szCs w:val="28"/>
        </w:rPr>
        <w:t xml:space="preserve">Stage 3: Sensory Neuron Subtype-Specific Rescue and Healthy Cell Selectivity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Filter top 30-50 compounds by subtype-specific rescue efficacy (nociceptor, proprioceptor, mechanoreceptor) and verify preservation of healthy sensory neuron function to ensure selectivity for DPN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30-50 DPN efficacy compounds from Stage 2</w:t>
      </w:r>
    </w:p>
    <w:p>
      <w:pPr>
        <w:pStyle w:val="ListParagraph"/>
        <w:numPr>
          <w:ilvl w:val="0"/>
          <w:numId w:val="2"/>
        </w:numPr>
        <w:spacing w:after="100" w:line="360"/>
      </w:pPr>
      <w:r>
        <w:rPr>
          <w:rFonts w:ascii="Arial" w:cs="Arial" w:eastAsia="Arial" w:hAnsi="Arial"/>
          <w:sz w:val="24"/>
          <w:szCs w:val="24"/>
        </w:rPr>
        <w:t xml:space="preserve">Subtype-classified DPN neurons: nociceptor (TRPV1+, substance P+), proprioceptor (Parv+), mechanoreceptor (Piezo2+) isolated from STZ-DM models</w:t>
      </w:r>
    </w:p>
    <w:p>
      <w:pPr>
        <w:pStyle w:val="ListParagraph"/>
        <w:numPr>
          <w:ilvl w:val="0"/>
          <w:numId w:val="2"/>
        </w:numPr>
        <w:spacing w:after="100" w:line="360"/>
      </w:pPr>
      <w:r>
        <w:rPr>
          <w:rFonts w:ascii="Arial" w:cs="Arial" w:eastAsia="Arial" w:hAnsi="Arial"/>
          <w:sz w:val="24"/>
          <w:szCs w:val="24"/>
        </w:rPr>
        <w:t xml:space="preserve">Healthy control neurons: non-diabetic sensory neuron subtypes for selectivity confirmation</w:t>
      </w:r>
    </w:p>
    <w:p>
      <w:pPr>
        <w:pStyle w:val="ListParagraph"/>
        <w:numPr>
          <w:ilvl w:val="0"/>
          <w:numId w:val="2"/>
        </w:numPr>
        <w:spacing w:after="100" w:line="360"/>
      </w:pPr>
      <w:r>
        <w:rPr>
          <w:rFonts w:ascii="Arial" w:cs="Arial" w:eastAsia="Arial" w:hAnsi="Arial"/>
          <w:sz w:val="24"/>
          <w:szCs w:val="24"/>
        </w:rPr>
        <w:t xml:space="preserve">Ion channel and mitochondrial profiling in DPN subtype-specific neurons at compound optimal concentrations</w:t>
      </w:r>
    </w:p>
    <w:p>
      <w:pPr>
        <w:pStyle w:val="ListParagraph"/>
        <w:numPr>
          <w:ilvl w:val="0"/>
          <w:numId w:val="2"/>
        </w:numPr>
        <w:spacing w:after="100" w:line="360"/>
      </w:pPr>
      <w:r>
        <w:rPr>
          <w:rFonts w:ascii="Arial" w:cs="Arial" w:eastAsia="Arial" w:hAnsi="Arial"/>
          <w:sz w:val="24"/>
          <w:szCs w:val="24"/>
        </w:rPr>
        <w:t xml:space="preserve">Axonal morphology assessment in diseased vs healthy subtypes to confirm subtype-specific rescue selectivity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Sensory Subtype Panel: DPN nociceptor, proprioceptor, mechanoreceptor recordings</w:t>
      </w:r>
    </w:p>
    <w:p>
      <w:pPr>
        <w:pStyle w:val="ListParagraph"/>
        <w:numPr>
          <w:ilvl w:val="0"/>
          <w:numId w:val="2"/>
        </w:numPr>
        <w:spacing w:after="100" w:line="360"/>
      </w:pPr>
      <w:r>
        <w:rPr>
          <w:rFonts w:ascii="Arial" w:cs="Arial" w:eastAsia="Arial" w:hAnsi="Arial"/>
          <w:sz w:val="24"/>
          <w:szCs w:val="24"/>
        </w:rPr>
        <w:t xml:space="preserve">Flow cytometry: Subtype-specific cell sorting (TRPV1, Parvalbumin, Piezo2 immunofluorescence)</w:t>
      </w:r>
    </w:p>
    <w:p>
      <w:pPr>
        <w:pStyle w:val="ListParagraph"/>
        <w:numPr>
          <w:ilvl w:val="0"/>
          <w:numId w:val="2"/>
        </w:numPr>
        <w:spacing w:after="100" w:line="360"/>
      </w:pPr>
      <w:r>
        <w:rPr>
          <w:rFonts w:ascii="Arial" w:cs="Arial" w:eastAsia="Arial" w:hAnsi="Arial"/>
          <w:sz w:val="24"/>
          <w:szCs w:val="24"/>
        </w:rPr>
        <w:t xml:space="preserve">Python (subtype-specific rescue scoring): Calculate compound efficacy differential between DPN vs healthy subtypes</w:t>
      </w:r>
    </w:p>
    <w:p>
      <w:pPr>
        <w:pStyle w:val="ListParagraph"/>
        <w:numPr>
          <w:ilvl w:val="0"/>
          <w:numId w:val="2"/>
        </w:numPr>
        <w:spacing w:after="100" w:line="360"/>
      </w:pPr>
      <w:r>
        <w:rPr>
          <w:rFonts w:ascii="Arial" w:cs="Arial" w:eastAsia="Arial" w:hAnsi="Arial"/>
          <w:sz w:val="24"/>
          <w:szCs w:val="24"/>
        </w:rPr>
        <w:t xml:space="preserve">R (selectivity analysis): Statistical comparison of subtype-specific rescue profiles</w:t>
      </w:r>
    </w:p>
    <w:p>
      <w:pPr>
        <w:pStyle w:val="ListParagraph"/>
        <w:numPr>
          <w:ilvl w:val="0"/>
          <w:numId w:val="2"/>
        </w:numPr>
        <w:spacing w:after="100" w:line="360"/>
      </w:pPr>
      <w:r>
        <w:rPr>
          <w:rFonts w:ascii="Arial" w:cs="Arial" w:eastAsia="Arial" w:hAnsi="Arial"/>
          <w:sz w:val="24"/>
          <w:szCs w:val="24"/>
        </w:rPr>
        <w:t xml:space="preserve">KNIME (subtype integration): Automated assessment of all 30-50 compounds across sensory neuron subtypes</w:t>
      </w:r>
    </w:p>
    <w:p>
      <w:pPr>
        <w:pStyle w:val="ListParagraph"/>
        <w:numPr>
          <w:ilvl w:val="0"/>
          <w:numId w:val="2"/>
        </w:numPr>
        <w:spacing w:after="100" w:line="360"/>
      </w:pPr>
      <w:r>
        <w:rPr>
          <w:rFonts w:ascii="Arial" w:cs="Arial" w:eastAsia="Arial" w:hAnsi="Arial"/>
          <w:sz w:val="24"/>
          <w:szCs w:val="24"/>
        </w:rPr>
        <w:t xml:space="preserve">Visualization (plotly, seaborn): Subtype-specific efficacy heatmaps and profiles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compound DPN rescue efficacy (ion channel + mitochondrial + axonal metrics) in nociceptors, proprioceptors, mechanoreceptors separately"</w:t>
      </w:r>
    </w:p>
    <w:p>
      <w:pPr>
        <w:pStyle w:val="ListParagraph"/>
        <w:numPr>
          <w:ilvl w:val="0"/>
          <w:numId w:val="2"/>
        </w:numPr>
        <w:spacing w:after="100" w:line="360"/>
      </w:pPr>
      <w:r>
        <w:rPr>
          <w:rFonts w:ascii="Arial" w:cs="Arial" w:eastAsia="Arial" w:hAnsi="Arial"/>
          <w:sz w:val="24"/>
          <w:szCs w:val="24"/>
        </w:rPr>
        <w:t xml:space="preserve">"Assess selectivity: verify compounds preferentially rescue DPN subtypes while preserving healthy neuron function"</w:t>
      </w:r>
    </w:p>
    <w:p>
      <w:pPr>
        <w:pStyle w:val="ListParagraph"/>
        <w:numPr>
          <w:ilvl w:val="0"/>
          <w:numId w:val="2"/>
        </w:numPr>
        <w:spacing w:after="100" w:line="360"/>
      </w:pPr>
      <w:r>
        <w:rPr>
          <w:rFonts w:ascii="Arial" w:cs="Arial" w:eastAsia="Arial" w:hAnsi="Arial"/>
          <w:sz w:val="24"/>
          <w:szCs w:val="24"/>
        </w:rPr>
        <w:t xml:space="preserve">"Identify subtype-selective compounds: agents optimally rescuing nociceptors vs proprioceptors vs mechanoreceptors in DPN context"</w:t>
      </w:r>
    </w:p>
    <w:p>
      <w:pPr>
        <w:pStyle w:val="ListParagraph"/>
        <w:numPr>
          <w:ilvl w:val="0"/>
          <w:numId w:val="2"/>
        </w:numPr>
        <w:spacing w:after="100" w:line="360"/>
      </w:pPr>
      <w:r>
        <w:rPr>
          <w:rFonts w:ascii="Arial" w:cs="Arial" w:eastAsia="Arial" w:hAnsi="Arial"/>
          <w:sz w:val="24"/>
          <w:szCs w:val="24"/>
        </w:rPr>
        <w:t xml:space="preserve">"Rank 20-30 compounds with excellent DPN subtype rescue and healthy neuron preservation"</w:t>
      </w:r>
    </w:p>
    <w:p>
      <w:pPr>
        <w:pStyle w:val="ListParagraph"/>
        <w:numPr>
          <w:ilvl w:val="0"/>
          <w:numId w:val="2"/>
        </w:numPr>
        <w:spacing w:after="100" w:line="360"/>
      </w:pPr>
      <w:r>
        <w:rPr>
          <w:rFonts w:ascii="Arial" w:cs="Arial" w:eastAsia="Arial" w:hAnsi="Arial"/>
          <w:sz w:val="24"/>
          <w:szCs w:val="24"/>
        </w:rPr>
        <w:t xml:space="preserve">"Generate subtype-selectivity profiles: identify compounds with broad vs nociceptor-specific DPN rescue patterns"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Subtype-specific DPN rescue table: compounds with nociceptor, proprioceptor, mechanoreceptor rescue scores</w:t>
      </w:r>
    </w:p>
    <w:p>
      <w:pPr>
        <w:pStyle w:val="ListParagraph"/>
        <w:numPr>
          <w:ilvl w:val="0"/>
          <w:numId w:val="2"/>
        </w:numPr>
        <w:spacing w:after="100" w:line="360"/>
      </w:pPr>
      <w:r>
        <w:rPr>
          <w:rFonts w:ascii="Arial" w:cs="Arial" w:eastAsia="Arial" w:hAnsi="Arial"/>
          <w:sz w:val="24"/>
          <w:szCs w:val="24"/>
        </w:rPr>
        <w:t xml:space="preserve">Subtype selectivity heatmap: compounds × sensory subtypes showing rescue efficacy across cell types</w:t>
      </w:r>
    </w:p>
    <w:p>
      <w:pPr>
        <w:pStyle w:val="ListParagraph"/>
        <w:numPr>
          <w:ilvl w:val="0"/>
          <w:numId w:val="2"/>
        </w:numPr>
        <w:spacing w:after="100" w:line="360"/>
      </w:pPr>
      <w:r>
        <w:rPr>
          <w:rFonts w:ascii="Arial" w:cs="Arial" w:eastAsia="Arial" w:hAnsi="Arial"/>
          <w:sz w:val="24"/>
          <w:szCs w:val="24"/>
        </w:rPr>
        <w:t xml:space="preserve">Healthy neuron preservation data: confirmation that compounds don't negatively impact normal sensory neuron function</w:t>
      </w:r>
    </w:p>
    <w:p>
      <w:pPr>
        <w:pStyle w:val="ListParagraph"/>
        <w:numPr>
          <w:ilvl w:val="0"/>
          <w:numId w:val="2"/>
        </w:numPr>
        <w:spacing w:after="100" w:line="360"/>
      </w:pPr>
      <w:r>
        <w:rPr>
          <w:rFonts w:ascii="Arial" w:cs="Arial" w:eastAsia="Arial" w:hAnsi="Arial"/>
          <w:sz w:val="24"/>
          <w:szCs w:val="24"/>
        </w:rPr>
        <w:t xml:space="preserve">Subtype-specific efficacy profiles: compounds ranked by broad vs selective (nociceptor-focused) DPN rescue</w:t>
      </w:r>
    </w:p>
    <w:p>
      <w:pPr>
        <w:pStyle w:val="ListParagraph"/>
        <w:numPr>
          <w:ilvl w:val="0"/>
          <w:numId w:val="2"/>
        </w:numPr>
        <w:spacing w:after="100" w:line="360"/>
      </w:pPr>
      <w:r>
        <w:rPr>
          <w:rFonts w:ascii="Arial" w:cs="Arial" w:eastAsia="Arial" w:hAnsi="Arial"/>
          <w:sz w:val="24"/>
          <w:szCs w:val="24"/>
        </w:rPr>
        <w:t xml:space="preserve">Final candidates list: 15-25 compounds with excellent subtype-specific DPN rescue and healthy neuron selectivity</w:t>
      </w:r>
    </w:p>
    <w:p>
      <w:pPr>
        <w:pStyle w:val="ListParagraph"/>
        <w:numPr>
          <w:ilvl w:val="0"/>
          <w:numId w:val="2"/>
        </w:numPr>
        <w:spacing w:after="100" w:line="360"/>
      </w:pPr>
      <w:r>
        <w:rPr>
          <w:rFonts w:ascii="Arial" w:cs="Arial" w:eastAsia="Arial" w:hAnsi="Arial"/>
          <w:sz w:val="24"/>
          <w:szCs w:val="24"/>
        </w:rPr>
        <w:t xml:space="preserve">Mechanistic insights: compounds preferentially targeting nociceptor vs proprioceptor vs mechanoreceptor-specific DPN pathology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subtype-specific efficacy table; PDF heatmaps and selectivity profiles; Immunofluorescence validation images</w:t>
      </w:r>
    </w:p>
    <w:p>
      <w:pPr>
        <w:pStyle w:val="Heading2"/>
      </w:pPr>
      <w:r>
        <w:rPr>
          <w:rFonts w:ascii="Arial" w:cs="Arial" w:eastAsia="Arial" w:hAnsi="Arial"/>
          <w:b/>
          <w:bCs/>
          <w:sz w:val="28"/>
          <w:szCs w:val="28"/>
        </w:rPr>
        <w:t xml:space="preserve">Stage 4: Cardiac and Motor Safety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that top 15-25 DPN compounds preserve cardiac and motor function, leveraging prior clinical safety data where available.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15-25 DPN subtype-selective compounds from Stage 3</w:t>
      </w:r>
    </w:p>
    <w:p>
      <w:pPr>
        <w:pStyle w:val="ListParagraph"/>
        <w:numPr>
          <w:ilvl w:val="0"/>
          <w:numId w:val="2"/>
        </w:numPr>
        <w:spacing w:after="100" w:line="360"/>
      </w:pPr>
      <w:r>
        <w:rPr>
          <w:rFonts w:ascii="Arial" w:cs="Arial" w:eastAsia="Arial" w:hAnsi="Arial"/>
          <w:sz w:val="24"/>
          <w:szCs w:val="24"/>
        </w:rPr>
        <w:t xml:space="preserve">Cardiac myocytes and motor neurons with functional EP recording capability</w:t>
      </w:r>
    </w:p>
    <w:p>
      <w:pPr>
        <w:pStyle w:val="ListParagraph"/>
        <w:numPr>
          <w:ilvl w:val="0"/>
          <w:numId w:val="2"/>
        </w:numPr>
        <w:spacing w:after="100" w:line="360"/>
      </w:pPr>
      <w:r>
        <w:rPr>
          <w:rFonts w:ascii="Arial" w:cs="Arial" w:eastAsia="Arial" w:hAnsi="Arial"/>
          <w:sz w:val="24"/>
          <w:szCs w:val="24"/>
        </w:rPr>
        <w:t xml:space="preserve">hERG patch clamp and cardiomyocyte APD measurement at therapeutic compound concentrations</w:t>
      </w:r>
    </w:p>
    <w:p>
      <w:pPr>
        <w:pStyle w:val="ListParagraph"/>
        <w:numPr>
          <w:ilvl w:val="0"/>
          <w:numId w:val="2"/>
        </w:numPr>
        <w:spacing w:after="100" w:line="360"/>
      </w:pPr>
      <w:r>
        <w:rPr>
          <w:rFonts w:ascii="Arial" w:cs="Arial" w:eastAsia="Arial" w:hAnsi="Arial"/>
          <w:sz w:val="24"/>
          <w:szCs w:val="24"/>
        </w:rPr>
        <w:t xml:space="preserve">Multi-electrode array motor neuron recordings to confirm motor function preservation</w:t>
      </w:r>
    </w:p>
    <w:p>
      <w:pPr>
        <w:pStyle w:val="ListParagraph"/>
        <w:numPr>
          <w:ilvl w:val="0"/>
          <w:numId w:val="2"/>
        </w:numPr>
        <w:spacing w:after="100" w:line="360"/>
      </w:pPr>
      <w:r>
        <w:rPr>
          <w:rFonts w:ascii="Arial" w:cs="Arial" w:eastAsia="Arial" w:hAnsi="Arial"/>
          <w:sz w:val="24"/>
          <w:szCs w:val="24"/>
        </w:rPr>
        <w:t xml:space="preserve">Clinical safety database for compounds with prior Phase II/III development (known cardiac/motor safety profile)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Cardiac/Motor Safety Panels: Reference EP signatures for hERG, cardiomyocyte APD, motor neuron function</w:t>
      </w:r>
    </w:p>
    <w:p>
      <w:pPr>
        <w:pStyle w:val="ListParagraph"/>
        <w:numPr>
          <w:ilvl w:val="0"/>
          <w:numId w:val="2"/>
        </w:numPr>
        <w:spacing w:after="100" w:line="360"/>
      </w:pPr>
      <w:r>
        <w:rPr>
          <w:rFonts w:ascii="Arial" w:cs="Arial" w:eastAsia="Arial" w:hAnsi="Arial"/>
          <w:sz w:val="24"/>
          <w:szCs w:val="24"/>
        </w:rPr>
        <w:t xml:space="preserve">DrugBank / FDA Label Data: Known cardiac safety profile for compounds with prior clinical development</w:t>
      </w:r>
    </w:p>
    <w:p>
      <w:pPr>
        <w:pStyle w:val="ListParagraph"/>
        <w:numPr>
          <w:ilvl w:val="0"/>
          <w:numId w:val="2"/>
        </w:numPr>
        <w:spacing w:after="100" w:line="360"/>
      </w:pPr>
      <w:r>
        <w:rPr>
          <w:rFonts w:ascii="Arial" w:cs="Arial" w:eastAsia="Arial" w:hAnsi="Arial"/>
          <w:sz w:val="24"/>
          <w:szCs w:val="24"/>
        </w:rPr>
        <w:t xml:space="preserve">Python (cardiac/motor safety assessment): Quantify hERG IC50, APD prolongation, motor function preservation</w:t>
      </w:r>
    </w:p>
    <w:p>
      <w:pPr>
        <w:pStyle w:val="ListParagraph"/>
        <w:numPr>
          <w:ilvl w:val="0"/>
          <w:numId w:val="2"/>
        </w:numPr>
        <w:spacing w:after="100" w:line="360"/>
      </w:pPr>
      <w:r>
        <w:rPr>
          <w:rFonts w:ascii="Arial" w:cs="Arial" w:eastAsia="Arial" w:hAnsi="Arial"/>
          <w:sz w:val="24"/>
          <w:szCs w:val="24"/>
        </w:rPr>
        <w:t xml:space="preserve">R (integrated safety profiling): Statistical analysis and de-risking scoring using clinical precedent</w:t>
      </w:r>
    </w:p>
    <w:p>
      <w:pPr>
        <w:pStyle w:val="ListParagraph"/>
        <w:numPr>
          <w:ilvl w:val="0"/>
          <w:numId w:val="2"/>
        </w:numPr>
        <w:spacing w:after="100" w:line="360"/>
      </w:pPr>
      <w:r>
        <w:rPr>
          <w:rFonts w:ascii="Arial" w:cs="Arial" w:eastAsia="Arial" w:hAnsi="Arial"/>
          <w:sz w:val="24"/>
          <w:szCs w:val="24"/>
        </w:rPr>
        <w:t xml:space="preserve">KNIME (cardiac/motor safety module): Automated assessment with clinical data integration</w:t>
      </w:r>
    </w:p>
    <w:p>
      <w:pPr>
        <w:pStyle w:val="ListParagraph"/>
        <w:numPr>
          <w:ilvl w:val="0"/>
          <w:numId w:val="2"/>
        </w:numPr>
        <w:spacing w:after="100" w:line="360"/>
      </w:pPr>
      <w:r>
        <w:rPr>
          <w:rFonts w:ascii="Arial" w:cs="Arial" w:eastAsia="Arial" w:hAnsi="Arial"/>
          <w:sz w:val="24"/>
          <w:szCs w:val="24"/>
        </w:rPr>
        <w:t xml:space="preserve">CiPA Database (when applicable): Proarrhythmia risk assessment for cardiac-relevant compounds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hERG IC50, cardiomyocyte APD prolongation, and motor neuron firing preservation at therapeutic DPN compound concentrations"</w:t>
      </w:r>
    </w:p>
    <w:p>
      <w:pPr>
        <w:pStyle w:val="ListParagraph"/>
        <w:numPr>
          <w:ilvl w:val="0"/>
          <w:numId w:val="2"/>
        </w:numPr>
        <w:spacing w:after="100" w:line="360"/>
      </w:pPr>
      <w:r>
        <w:rPr>
          <w:rFonts w:ascii="Arial" w:cs="Arial" w:eastAsia="Arial" w:hAnsi="Arial"/>
          <w:sz w:val="24"/>
          <w:szCs w:val="24"/>
        </w:rPr>
        <w:t xml:space="preserve">"Confirm compounds with clinical de-risking have predicted acceptable cardiac/motor safety based on prior trial data"</w:t>
      </w:r>
    </w:p>
    <w:p>
      <w:pPr>
        <w:pStyle w:val="ListParagraph"/>
        <w:numPr>
          <w:ilvl w:val="0"/>
          <w:numId w:val="2"/>
        </w:numPr>
        <w:spacing w:after="100" w:line="360"/>
      </w:pPr>
      <w:r>
        <w:rPr>
          <w:rFonts w:ascii="Arial" w:cs="Arial" w:eastAsia="Arial" w:hAnsi="Arial"/>
          <w:sz w:val="24"/>
          <w:szCs w:val="24"/>
        </w:rPr>
        <w:t xml:space="preserve">"Filter 10-15 compounds with excellent DPN efficacy and confirmed cardiac/motor safety"</w:t>
      </w:r>
    </w:p>
    <w:p>
      <w:pPr>
        <w:pStyle w:val="ListParagraph"/>
        <w:numPr>
          <w:ilvl w:val="0"/>
          <w:numId w:val="2"/>
        </w:numPr>
        <w:spacing w:after="100" w:line="360"/>
      </w:pPr>
      <w:r>
        <w:rPr>
          <w:rFonts w:ascii="Arial" w:cs="Arial" w:eastAsia="Arial" w:hAnsi="Arial"/>
          <w:sz w:val="24"/>
          <w:szCs w:val="24"/>
        </w:rPr>
        <w:t xml:space="preserve">"Rank candidates by integrated DPN efficacy × clinical de-risking factor (prior Phase II/III development + known safety)"</w:t>
      </w:r>
    </w:p>
    <w:p>
      <w:pPr>
        <w:pStyle w:val="ListParagraph"/>
        <w:numPr>
          <w:ilvl w:val="0"/>
          <w:numId w:val="2"/>
        </w:numPr>
        <w:spacing w:after="100" w:line="360"/>
      </w:pPr>
      <w:r>
        <w:rPr>
          <w:rFonts w:ascii="Arial" w:cs="Arial" w:eastAsia="Arial" w:hAnsi="Arial"/>
          <w:sz w:val="24"/>
          <w:szCs w:val="24"/>
        </w:rPr>
        <w:t xml:space="preserve">"Generate clinical safety summary: compounds with acceptable hERG, APD, motor profiles for IND advancement"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Cardiac/motor safety assessment table: hERG IC50, APD prolongation %, motor function preservation for all 15-25 compounds</w:t>
      </w:r>
    </w:p>
    <w:p>
      <w:pPr>
        <w:pStyle w:val="ListParagraph"/>
        <w:numPr>
          <w:ilvl w:val="0"/>
          <w:numId w:val="2"/>
        </w:numPr>
        <w:spacing w:after="100" w:line="360"/>
      </w:pPr>
      <w:r>
        <w:rPr>
          <w:rFonts w:ascii="Arial" w:cs="Arial" w:eastAsia="Arial" w:hAnsi="Arial"/>
          <w:sz w:val="24"/>
          <w:szCs w:val="24"/>
        </w:rPr>
        <w:t xml:space="preserve">Clinical precedent summary: prior Phase II/III development stage, known safety/efficacy profile for compounds</w:t>
      </w:r>
    </w:p>
    <w:p>
      <w:pPr>
        <w:pStyle w:val="ListParagraph"/>
        <w:numPr>
          <w:ilvl w:val="0"/>
          <w:numId w:val="2"/>
        </w:numPr>
        <w:spacing w:after="100" w:line="360"/>
      </w:pPr>
      <w:r>
        <w:rPr>
          <w:rFonts w:ascii="Arial" w:cs="Arial" w:eastAsia="Arial" w:hAnsi="Arial"/>
          <w:sz w:val="24"/>
          <w:szCs w:val="24"/>
        </w:rPr>
        <w:t xml:space="preserve">Integrated DPN efficacy × clinical de-risking ranking: compounds scored by pain efficacy and development history</w:t>
      </w:r>
    </w:p>
    <w:p>
      <w:pPr>
        <w:pStyle w:val="ListParagraph"/>
        <w:numPr>
          <w:ilvl w:val="0"/>
          <w:numId w:val="2"/>
        </w:numPr>
        <w:spacing w:after="100" w:line="360"/>
      </w:pPr>
      <w:r>
        <w:rPr>
          <w:rFonts w:ascii="Arial" w:cs="Arial" w:eastAsia="Arial" w:hAnsi="Arial"/>
          <w:sz w:val="24"/>
          <w:szCs w:val="24"/>
        </w:rPr>
        <w:t xml:space="preserve">Final lead candidates: 10-15 compounds with excellent DPN rescue, cardiac/motor safety, and strong clinical precedent</w:t>
      </w:r>
    </w:p>
    <w:p>
      <w:pPr>
        <w:pStyle w:val="ListParagraph"/>
        <w:numPr>
          <w:ilvl w:val="0"/>
          <w:numId w:val="2"/>
        </w:numPr>
        <w:spacing w:after="100" w:line="360"/>
      </w:pPr>
      <w:r>
        <w:rPr>
          <w:rFonts w:ascii="Arial" w:cs="Arial" w:eastAsia="Arial" w:hAnsi="Arial"/>
          <w:sz w:val="24"/>
          <w:szCs w:val="24"/>
        </w:rPr>
        <w:t xml:space="preserve">Clinical development acceleration assessment: candidates suitable for rapid IND advancement (diabetes-adjacent indication reactivation)</w:t>
      </w:r>
    </w:p>
    <w:p>
      <w:pPr>
        <w:pStyle w:val="ListParagraph"/>
        <w:numPr>
          <w:ilvl w:val="0"/>
          <w:numId w:val="2"/>
        </w:numPr>
        <w:spacing w:after="100" w:line="360"/>
      </w:pPr>
      <w:r>
        <w:rPr>
          <w:rFonts w:ascii="Arial" w:cs="Arial" w:eastAsia="Arial" w:hAnsi="Arial"/>
          <w:sz w:val="24"/>
          <w:szCs w:val="24"/>
        </w:rPr>
        <w:t xml:space="preserve">Regulatory pathway recommendations: Type B/Type C designation predictions based on prior development data</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cardiac/motor + DPN ranking table; PDF hERG/APD analysis; Clinical precedent summary document; CSV final lead compounds</w:t>
      </w:r>
    </w:p>
    <w:p>
      <w:pPr>
        <w:pStyle w:val="Heading2"/>
      </w:pPr>
      <w:r>
        <w:rPr>
          <w:rFonts w:ascii="Arial" w:cs="Arial" w:eastAsia="Arial" w:hAnsi="Arial"/>
          <w:b/>
          <w:bCs/>
          <w:sz w:val="28"/>
          <w:szCs w:val="28"/>
        </w:rPr>
        <w:t xml:space="preserve">Stage 5: Clinical Pharmacokinetics and Human Dose Projection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Leverage known human pharmacokinetics for clinically de-risked compounds to project clinical doses directly from EP-derived efficacy data, enabling rapid Phase II study design.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10-15 final lead candidates from Stage 4 with clinical data</w:t>
      </w:r>
    </w:p>
    <w:p>
      <w:pPr>
        <w:pStyle w:val="ListParagraph"/>
        <w:numPr>
          <w:ilvl w:val="0"/>
          <w:numId w:val="2"/>
        </w:numPr>
        <w:spacing w:after="100" w:line="360"/>
      </w:pPr>
      <w:r>
        <w:rPr>
          <w:rFonts w:ascii="Arial" w:cs="Arial" w:eastAsia="Arial" w:hAnsi="Arial"/>
          <w:sz w:val="24"/>
          <w:szCs w:val="24"/>
        </w:rPr>
        <w:t xml:space="preserve">Known human pharmacokinetics: Cmax, Tmax, half-life, volume of distribution for prior clinical trials</w:t>
      </w:r>
    </w:p>
    <w:p>
      <w:pPr>
        <w:pStyle w:val="ListParagraph"/>
        <w:numPr>
          <w:ilvl w:val="0"/>
          <w:numId w:val="2"/>
        </w:numPr>
        <w:spacing w:after="100" w:line="360"/>
      </w:pPr>
      <w:r>
        <w:rPr>
          <w:rFonts w:ascii="Arial" w:cs="Arial" w:eastAsia="Arial" w:hAnsi="Arial"/>
          <w:sz w:val="24"/>
          <w:szCs w:val="24"/>
        </w:rPr>
        <w:t xml:space="preserve">EP-derived DPN efficacy EC50 values from Stage 2 dose-response experiments</w:t>
      </w:r>
    </w:p>
    <w:p>
      <w:pPr>
        <w:pStyle w:val="ListParagraph"/>
        <w:numPr>
          <w:ilvl w:val="0"/>
          <w:numId w:val="2"/>
        </w:numPr>
        <w:spacing w:after="100" w:line="360"/>
      </w:pPr>
      <w:r>
        <w:rPr>
          <w:rFonts w:ascii="Arial" w:cs="Arial" w:eastAsia="Arial" w:hAnsi="Arial"/>
          <w:sz w:val="24"/>
          <w:szCs w:val="24"/>
        </w:rPr>
        <w:t xml:space="preserve">Preclinical in vivo DPN efficacy data (if available) for cross-validation</w:t>
      </w:r>
    </w:p>
    <w:p>
      <w:pPr>
        <w:pStyle w:val="ListParagraph"/>
        <w:numPr>
          <w:ilvl w:val="0"/>
          <w:numId w:val="2"/>
        </w:numPr>
        <w:spacing w:after="100" w:line="360"/>
      </w:pPr>
      <w:r>
        <w:rPr>
          <w:rFonts w:ascii="Arial" w:cs="Arial" w:eastAsia="Arial" w:hAnsi="Arial"/>
          <w:sz w:val="24"/>
          <w:szCs w:val="24"/>
        </w:rPr>
        <w:t xml:space="preserve">FDA guidance documents for diabetic neuropathy development (defining relevant efficacy endpoints, acceptable safety margins)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DrugBank / FDA Label Database: Known human PK parameters and approved dosing for compounds</w:t>
      </w:r>
    </w:p>
    <w:p>
      <w:pPr>
        <w:pStyle w:val="ListParagraph"/>
        <w:numPr>
          <w:ilvl w:val="0"/>
          <w:numId w:val="2"/>
        </w:numPr>
        <w:spacing w:after="100" w:line="360"/>
      </w:pPr>
      <w:r>
        <w:rPr>
          <w:rFonts w:ascii="Arial" w:cs="Arial" w:eastAsia="Arial" w:hAnsi="Arial"/>
          <w:sz w:val="24"/>
          <w:szCs w:val="24"/>
        </w:rPr>
        <w:t xml:space="preserve">ClinicalTrials.gov: Prior trial dosing, efficacy readouts, and protocol designs for compounds</w:t>
      </w:r>
    </w:p>
    <w:p>
      <w:pPr>
        <w:pStyle w:val="ListParagraph"/>
        <w:numPr>
          <w:ilvl w:val="0"/>
          <w:numId w:val="2"/>
        </w:numPr>
        <w:spacing w:after="100" w:line="360"/>
      </w:pPr>
      <w:r>
        <w:rPr>
          <w:rFonts w:ascii="Arial" w:cs="Arial" w:eastAsia="Arial" w:hAnsi="Arial"/>
          <w:sz w:val="24"/>
          <w:szCs w:val="24"/>
        </w:rPr>
        <w:t xml:space="preserve">Python (PK/PD modeling): Simulate human blood exposure from EP-derived Cmax and predicted efficacy for DPN endpoints</w:t>
      </w:r>
    </w:p>
    <w:p>
      <w:pPr>
        <w:pStyle w:val="ListParagraph"/>
        <w:numPr>
          <w:ilvl w:val="0"/>
          <w:numId w:val="2"/>
        </w:numPr>
        <w:spacing w:after="100" w:line="360"/>
      </w:pPr>
      <w:r>
        <w:rPr>
          <w:rFonts w:ascii="Arial" w:cs="Arial" w:eastAsia="Arial" w:hAnsi="Arial"/>
          <w:sz w:val="24"/>
          <w:szCs w:val="24"/>
        </w:rPr>
        <w:t xml:space="preserve">R (clinical dose projection): Allometric scaling and PK/PD relationships to estimate Phase II starting doses</w:t>
      </w:r>
    </w:p>
    <w:p>
      <w:pPr>
        <w:pStyle w:val="ListParagraph"/>
        <w:numPr>
          <w:ilvl w:val="0"/>
          <w:numId w:val="2"/>
        </w:numPr>
        <w:spacing w:after="100" w:line="360"/>
      </w:pPr>
      <w:r>
        <w:rPr>
          <w:rFonts w:ascii="Arial" w:cs="Arial" w:eastAsia="Arial" w:hAnsi="Arial"/>
          <w:sz w:val="24"/>
          <w:szCs w:val="24"/>
        </w:rPr>
        <w:t xml:space="preserve">CompuSyn / DoseExplore: Optimal dose level prediction for Phase IIa DPN efficacy studies</w:t>
      </w:r>
    </w:p>
    <w:p>
      <w:pPr>
        <w:pStyle w:val="ListParagraph"/>
        <w:numPr>
          <w:ilvl w:val="0"/>
          <w:numId w:val="2"/>
        </w:numPr>
        <w:spacing w:after="100" w:line="360"/>
      </w:pPr>
      <w:r>
        <w:rPr>
          <w:rFonts w:ascii="Arial" w:cs="Arial" w:eastAsia="Arial" w:hAnsi="Arial"/>
          <w:sz w:val="24"/>
          <w:szCs w:val="24"/>
        </w:rPr>
        <w:t xml:space="preserve">FDA Guidance: Diabetic neuropathy endpoint definitions and expected effect sizes for regulatory strategy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"Extract known human PK (Cmax, half-life) for clinically-tested compounds and correlate with EP-derived DPN efficacy EC50"</w:t>
      </w:r>
    </w:p>
    <w:p>
      <w:pPr>
        <w:pStyle w:val="ListParagraph"/>
        <w:numPr>
          <w:ilvl w:val="0"/>
          <w:numId w:val="2"/>
        </w:numPr>
        <w:spacing w:after="100" w:line="360"/>
      </w:pPr>
      <w:r>
        <w:rPr>
          <w:rFonts w:ascii="Arial" w:cs="Arial" w:eastAsia="Arial" w:hAnsi="Arial"/>
          <w:sz w:val="24"/>
          <w:szCs w:val="24"/>
        </w:rPr>
        <w:t xml:space="preserve">"Project human steady-state plasma exposure at various oral doses and compare to DPN efficacy EC50 for target organ (sensory neuron)"</w:t>
      </w:r>
    </w:p>
    <w:p>
      <w:pPr>
        <w:pStyle w:val="ListParagraph"/>
        <w:numPr>
          <w:ilvl w:val="0"/>
          <w:numId w:val="2"/>
        </w:numPr>
        <w:spacing w:after="100" w:line="360"/>
      </w:pPr>
      <w:r>
        <w:rPr>
          <w:rFonts w:ascii="Arial" w:cs="Arial" w:eastAsia="Arial" w:hAnsi="Arial"/>
          <w:sz w:val="24"/>
          <w:szCs w:val="24"/>
        </w:rPr>
        <w:t xml:space="preserve">"Calculate estimated Phase II starting dose: dose achieving predicted Cmax matching DPN EC50 in human blood (accounting for protein binding, blood-nerve barrier penetrance)"</w:t>
      </w:r>
    </w:p>
    <w:p>
      <w:pPr>
        <w:pStyle w:val="ListParagraph"/>
        <w:numPr>
          <w:ilvl w:val="0"/>
          <w:numId w:val="2"/>
        </w:numPr>
        <w:spacing w:after="100" w:line="360"/>
      </w:pPr>
      <w:r>
        <w:rPr>
          <w:rFonts w:ascii="Arial" w:cs="Arial" w:eastAsia="Arial" w:hAnsi="Arial"/>
          <w:sz w:val="24"/>
          <w:szCs w:val="24"/>
        </w:rPr>
        <w:t xml:space="preserve">"Compare projected human efficacy with prior trial data for validation and generate Phase II dosing strategy"</w:t>
      </w:r>
    </w:p>
    <w:p>
      <w:pPr>
        <w:pStyle w:val="ListParagraph"/>
        <w:numPr>
          <w:ilvl w:val="0"/>
          <w:numId w:val="2"/>
        </w:numPr>
        <w:spacing w:after="100" w:line="360"/>
      </w:pPr>
      <w:r>
        <w:rPr>
          <w:rFonts w:ascii="Arial" w:cs="Arial" w:eastAsia="Arial" w:hAnsi="Arial"/>
          <w:sz w:val="24"/>
          <w:szCs w:val="24"/>
        </w:rPr>
        <w:t xml:space="preserve">"Create Phase II protocol recommendations: starting dose, dose escalation path, predicted efficacy at each level, relevant DPN endpoints"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Pharmacokinetic summary: known human PK parameters for clinically de-risked compounds</w:t>
      </w:r>
    </w:p>
    <w:p>
      <w:pPr>
        <w:pStyle w:val="ListParagraph"/>
        <w:numPr>
          <w:ilvl w:val="0"/>
          <w:numId w:val="2"/>
        </w:numPr>
        <w:spacing w:after="100" w:line="360"/>
      </w:pPr>
      <w:r>
        <w:rPr>
          <w:rFonts w:ascii="Arial" w:cs="Arial" w:eastAsia="Arial" w:hAnsi="Arial"/>
          <w:sz w:val="24"/>
          <w:szCs w:val="24"/>
        </w:rPr>
        <w:t xml:space="preserve">PK/PD projections: predicted human blood exposure vs DPN efficacy EC50 at various doses</w:t>
      </w:r>
    </w:p>
    <w:p>
      <w:pPr>
        <w:pStyle w:val="ListParagraph"/>
        <w:numPr>
          <w:ilvl w:val="0"/>
          <w:numId w:val="2"/>
        </w:numPr>
        <w:spacing w:after="100" w:line="360"/>
      </w:pPr>
      <w:r>
        <w:rPr>
          <w:rFonts w:ascii="Arial" w:cs="Arial" w:eastAsia="Arial" w:hAnsi="Arial"/>
          <w:sz w:val="24"/>
          <w:szCs w:val="24"/>
        </w:rPr>
        <w:t xml:space="preserve">Proposed Phase II starting doses: dose recommendations for each lead compound with supporting PK/PD rationale</w:t>
      </w:r>
    </w:p>
    <w:p>
      <w:pPr>
        <w:pStyle w:val="ListParagraph"/>
        <w:numPr>
          <w:ilvl w:val="0"/>
          <w:numId w:val="2"/>
        </w:numPr>
        <w:spacing w:after="100" w:line="360"/>
      </w:pPr>
      <w:r>
        <w:rPr>
          <w:rFonts w:ascii="Arial" w:cs="Arial" w:eastAsia="Arial" w:hAnsi="Arial"/>
          <w:sz w:val="24"/>
          <w:szCs w:val="24"/>
        </w:rPr>
        <w:t xml:space="preserve">Phase II protocol outline: dosing strategy, relevant DPN endpoints (monofilament sensitivity, vibration threshold, etc.), expected efficacy at projected doses</w:t>
      </w:r>
    </w:p>
    <w:p>
      <w:pPr>
        <w:pStyle w:val="ListParagraph"/>
        <w:numPr>
          <w:ilvl w:val="0"/>
          <w:numId w:val="2"/>
        </w:numPr>
        <w:spacing w:after="100" w:line="360"/>
      </w:pPr>
      <w:r>
        <w:rPr>
          <w:rFonts w:ascii="Arial" w:cs="Arial" w:eastAsia="Arial" w:hAnsi="Arial"/>
          <w:sz w:val="24"/>
          <w:szCs w:val="24"/>
        </w:rPr>
        <w:t xml:space="preserve">Clinical trial acceleration assessment: candidates ready for rapid IND/CTA filing given prior clinical data</w:t>
      </w:r>
    </w:p>
    <w:p>
      <w:pPr>
        <w:pStyle w:val="ListParagraph"/>
        <w:numPr>
          <w:ilvl w:val="0"/>
          <w:numId w:val="2"/>
        </w:numPr>
        <w:spacing w:after="100" w:line="360"/>
      </w:pPr>
      <w:r>
        <w:rPr>
          <w:rFonts w:ascii="Arial" w:cs="Arial" w:eastAsia="Arial" w:hAnsi="Arial"/>
          <w:sz w:val="24"/>
          <w:szCs w:val="24"/>
        </w:rPr>
        <w:t xml:space="preserve">Regulatory submission recommendations: IND/CTA strategy leveraging prior clinical evidence for expedited approval pathway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PK/PD projections; PDF clinical dose recommendations; Phase II protocol outline document; Regulatory strategy summary</w:t>
      </w:r>
    </w:p>
    <w:p>
      <w:pPr>
        <w:pStyle w:val="Heading2"/>
      </w:pPr>
      <w:r>
        <w:rPr>
          <w:rFonts w:ascii="Arial" w:cs="Arial" w:eastAsia="Arial" w:hAnsi="Arial"/>
          <w:b/>
          <w:bCs/>
          <w:sz w:val="28"/>
          <w:szCs w:val="28"/>
        </w:rPr>
        <w:t xml:space="preserve">Stage 6: Final Ranking, Development Acceleration Plan, and Regulatory Pathway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all DPN efficacy, clinical de-risking, safety, PK, and regulatory data to rank final candidates and generate accelerated development roadmaps for diabetic neuropathy indications.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Complete multi-stage data from Stages 1-5 for all 10-15 final lead candidates</w:t>
      </w:r>
    </w:p>
    <w:p>
      <w:pPr>
        <w:pStyle w:val="ListParagraph"/>
        <w:numPr>
          <w:ilvl w:val="0"/>
          <w:numId w:val="2"/>
        </w:numPr>
        <w:spacing w:after="100" w:line="360"/>
      </w:pPr>
      <w:r>
        <w:rPr>
          <w:rFonts w:ascii="Arial" w:cs="Arial" w:eastAsia="Arial" w:hAnsi="Arial"/>
          <w:sz w:val="24"/>
          <w:szCs w:val="24"/>
        </w:rPr>
        <w:t xml:space="preserve">DPN EP efficacy metrics, subtype-specific rescue, cardiac/motor safety, clinical precedent, human PK, Phase II dose projections</w:t>
      </w:r>
    </w:p>
    <w:p>
      <w:pPr>
        <w:pStyle w:val="ListParagraph"/>
        <w:numPr>
          <w:ilvl w:val="0"/>
          <w:numId w:val="2"/>
        </w:numPr>
        <w:spacing w:after="100" w:line="360"/>
      </w:pPr>
      <w:r>
        <w:rPr>
          <w:rFonts w:ascii="Arial" w:cs="Arial" w:eastAsia="Arial" w:hAnsi="Arial"/>
          <w:sz w:val="24"/>
          <w:szCs w:val="24"/>
        </w:rPr>
        <w:t xml:space="preserve">FDA/EMA guidance for diabetic neuropathy development pathways and regulatory expectations</w:t>
      </w:r>
    </w:p>
    <w:p>
      <w:pPr>
        <w:pStyle w:val="ListParagraph"/>
        <w:numPr>
          <w:ilvl w:val="0"/>
          <w:numId w:val="2"/>
        </w:numPr>
        <w:spacing w:after="100" w:line="360"/>
      </w:pPr>
      <w:r>
        <w:rPr>
          <w:rFonts w:ascii="Arial" w:cs="Arial" w:eastAsia="Arial" w:hAnsi="Arial"/>
          <w:sz w:val="24"/>
          <w:szCs w:val="24"/>
        </w:rPr>
        <w:t xml:space="preserve">Prior clinical trial designs and efficacy readouts for compounds with development history</w:t>
      </w:r>
    </w:p>
    <w:p>
      <w:pPr>
        <w:pStyle w:val="ListParagraph"/>
        <w:numPr>
          <w:ilvl w:val="0"/>
          <w:numId w:val="2"/>
        </w:numPr>
        <w:spacing w:after="100" w:line="360"/>
      </w:pPr>
      <w:r>
        <w:rPr>
          <w:rFonts w:ascii="Arial" w:cs="Arial" w:eastAsia="Arial" w:hAnsi="Arial"/>
          <w:sz w:val="24"/>
          <w:szCs w:val="24"/>
        </w:rPr>
        <w:t xml:space="preserve">Probability-of-success estimates for Phase II based on EP potency and prior efficacy data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 (multi-criteria ranking): Weighted scoring (DPN efficacy 40%, clinical precedent 30%, subtype selectivity 15%, safety 15%)</w:t>
      </w:r>
    </w:p>
    <w:p>
      <w:pPr>
        <w:pStyle w:val="ListParagraph"/>
        <w:numPr>
          <w:ilvl w:val="0"/>
          <w:numId w:val="2"/>
        </w:numPr>
        <w:spacing w:after="100" w:line="360"/>
      </w:pPr>
      <w:r>
        <w:rPr>
          <w:rFonts w:ascii="Arial" w:cs="Arial" w:eastAsia="Arial" w:hAnsi="Arial"/>
          <w:sz w:val="24"/>
          <w:szCs w:val="24"/>
        </w:rPr>
        <w:t xml:space="preserve">Python (visualization and reporting): Generate comprehensive DPN + regulatory profiles for lead compounds</w:t>
      </w:r>
    </w:p>
    <w:p>
      <w:pPr>
        <w:pStyle w:val="ListParagraph"/>
        <w:numPr>
          <w:ilvl w:val="0"/>
          <w:numId w:val="2"/>
        </w:numPr>
        <w:spacing w:after="100" w:line="360"/>
      </w:pPr>
      <w:r>
        <w:rPr>
          <w:rFonts w:ascii="Arial" w:cs="Arial" w:eastAsia="Arial" w:hAnsi="Arial"/>
          <w:sz w:val="24"/>
          <w:szCs w:val="24"/>
        </w:rPr>
        <w:t xml:space="preserve">KNIME (final integration and briefing package): Automated workflow for regulatory-ready clinical development plans</w:t>
      </w:r>
    </w:p>
    <w:p>
      <w:pPr>
        <w:pStyle w:val="ListParagraph"/>
        <w:numPr>
          <w:ilvl w:val="0"/>
          <w:numId w:val="2"/>
        </w:numPr>
        <w:spacing w:after="100" w:line="360"/>
      </w:pPr>
      <w:r>
        <w:rPr>
          <w:rFonts w:ascii="Arial" w:cs="Arial" w:eastAsia="Arial" w:hAnsi="Arial"/>
          <w:sz w:val="24"/>
          <w:szCs w:val="24"/>
        </w:rPr>
        <w:t xml:space="preserve">ClinicalTrials.gov / FDA Precedents: Regulatory pathway and approval expectations for DPN indications</w:t>
      </w:r>
    </w:p>
    <w:p>
      <w:pPr>
        <w:pStyle w:val="ListParagraph"/>
        <w:numPr>
          <w:ilvl w:val="0"/>
          <w:numId w:val="2"/>
        </w:numPr>
        <w:spacing w:after="100" w:line="360"/>
      </w:pPr>
      <w:r>
        <w:rPr>
          <w:rFonts w:ascii="Arial" w:cs="Arial" w:eastAsia="Arial" w:hAnsi="Arial"/>
          <w:sz w:val="24"/>
          <w:szCs w:val="24"/>
        </w:rPr>
        <w:t xml:space="preserve">Clinical trial simulation: Phase II probability-of-success predictions from EP efficacy and prior trial data</w:t>
      </w:r>
    </w:p>
    <w:p>
      <w:pPr>
        <w:pStyle w:val="ListParagraph"/>
        <w:numPr>
          <w:ilvl w:val="0"/>
          <w:numId w:val="2"/>
        </w:numPr>
        <w:spacing w:after="100" w:line="360"/>
      </w:pPr>
      <w:r>
        <w:rPr>
          <w:rFonts w:ascii="Arial" w:cs="Arial" w:eastAsia="Arial" w:hAnsi="Arial"/>
          <w:sz w:val="24"/>
          <w:szCs w:val="24"/>
        </w:rPr>
        <w:t xml:space="preserve">IND briefing package tools (Word, python-docx): Regulatory submission document generation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"Implement weighted multi-criteria ranking: (DPN efficacy × 0.4) + (clinical precedent × 0.3) + (subtype selectivity × 0.15) + (safety × 0.15)"</w:t>
      </w:r>
    </w:p>
    <w:p>
      <w:pPr>
        <w:pStyle w:val="ListParagraph"/>
        <w:numPr>
          <w:ilvl w:val="0"/>
          <w:numId w:val="2"/>
        </w:numPr>
        <w:spacing w:after="100" w:line="360"/>
      </w:pPr>
      <w:r>
        <w:rPr>
          <w:rFonts w:ascii="Arial" w:cs="Arial" w:eastAsia="Arial" w:hAnsi="Arial"/>
          <w:sz w:val="24"/>
          <w:szCs w:val="24"/>
        </w:rPr>
        <w:t xml:space="preserve">"Rank all 10-15 candidates and identify top 3-5 for accelerated development (highest DPN efficacy + clinical de-risking)"</w:t>
      </w:r>
    </w:p>
    <w:p>
      <w:pPr>
        <w:pStyle w:val="ListParagraph"/>
        <w:numPr>
          <w:ilvl w:val="0"/>
          <w:numId w:val="2"/>
        </w:numPr>
        <w:spacing w:after="100" w:line="360"/>
      </w:pPr>
      <w:r>
        <w:rPr>
          <w:rFonts w:ascii="Arial" w:cs="Arial" w:eastAsia="Arial" w:hAnsi="Arial"/>
          <w:sz w:val="24"/>
          <w:szCs w:val="24"/>
        </w:rPr>
        <w:t xml:space="preserve">"Determine optimal regulatory pathway: Type B/Type C designation, relevant precedent comparators, probability-of-success for Phase II"</w:t>
      </w:r>
    </w:p>
    <w:p>
      <w:pPr>
        <w:pStyle w:val="ListParagraph"/>
        <w:numPr>
          <w:ilvl w:val="0"/>
          <w:numId w:val="2"/>
        </w:numPr>
        <w:spacing w:after="100" w:line="360"/>
      </w:pPr>
      <w:r>
        <w:rPr>
          <w:rFonts w:ascii="Arial" w:cs="Arial" w:eastAsia="Arial" w:hAnsi="Arial"/>
          <w:sz w:val="24"/>
          <w:szCs w:val="24"/>
        </w:rPr>
        <w:t xml:space="preserve">"Generate accelerated development roadmap: IND/CTA timeline, Phase II protocol, regulatory submission strategy"</w:t>
      </w:r>
    </w:p>
    <w:p>
      <w:pPr>
        <w:pStyle w:val="ListParagraph"/>
        <w:numPr>
          <w:ilvl w:val="0"/>
          <w:numId w:val="2"/>
        </w:numPr>
        <w:spacing w:after="100" w:line="360"/>
      </w:pPr>
      <w:r>
        <w:rPr>
          <w:rFonts w:ascii="Arial" w:cs="Arial" w:eastAsia="Arial" w:hAnsi="Arial"/>
          <w:sz w:val="24"/>
          <w:szCs w:val="24"/>
        </w:rPr>
        <w:t xml:space="preserve">"Create clinical briefing package with DPN efficacy summary, prior trial evidence, projected Phase II dosing, regulatory rationale for diabetic neuropathy indication"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DPN + de-risking ranking: all 10-15 compounds with integrated DPN efficacy, clinical precedent, subtype selectivity, safety scores</w:t>
      </w:r>
    </w:p>
    <w:p>
      <w:pPr>
        <w:pStyle w:val="ListParagraph"/>
        <w:numPr>
          <w:ilvl w:val="0"/>
          <w:numId w:val="2"/>
        </w:numPr>
        <w:spacing w:after="100" w:line="360"/>
      </w:pPr>
      <w:r>
        <w:rPr>
          <w:rFonts w:ascii="Arial" w:cs="Arial" w:eastAsia="Arial" w:hAnsi="Arial"/>
          <w:sz w:val="24"/>
          <w:szCs w:val="24"/>
        </w:rPr>
        <w:t xml:space="preserve">Top 3-5 accelerated development candidates: detailed DPN efficacy profiles, clinical evidence summaries, Phase II protocol recommendations</w:t>
      </w:r>
    </w:p>
    <w:p>
      <w:pPr>
        <w:pStyle w:val="ListParagraph"/>
        <w:numPr>
          <w:ilvl w:val="0"/>
          <w:numId w:val="2"/>
        </w:numPr>
        <w:spacing w:after="100" w:line="360"/>
      </w:pPr>
      <w:r>
        <w:rPr>
          <w:rFonts w:ascii="Arial" w:cs="Arial" w:eastAsia="Arial" w:hAnsi="Arial"/>
          <w:sz w:val="24"/>
          <w:szCs w:val="24"/>
        </w:rPr>
        <w:t xml:space="preserve">Multi-dimensional comparison plots: radar plots, efficacy-safety scatter plots comparing lead candidates</w:t>
      </w:r>
    </w:p>
    <w:p>
      <w:pPr>
        <w:pStyle w:val="ListParagraph"/>
        <w:numPr>
          <w:ilvl w:val="0"/>
          <w:numId w:val="2"/>
        </w:numPr>
        <w:spacing w:after="100" w:line="360"/>
      </w:pPr>
      <w:r>
        <w:rPr>
          <w:rFonts w:ascii="Arial" w:cs="Arial" w:eastAsia="Arial" w:hAnsi="Arial"/>
          <w:sz w:val="24"/>
          <w:szCs w:val="24"/>
        </w:rPr>
        <w:t xml:space="preserve">Regulatory pathway recommendations: Type B/Type C designation, precedent comparators, estimated timeline to Phase II IND/CTA</w:t>
      </w:r>
    </w:p>
    <w:p>
      <w:pPr>
        <w:pStyle w:val="ListParagraph"/>
        <w:numPr>
          <w:ilvl w:val="0"/>
          <w:numId w:val="2"/>
        </w:numPr>
        <w:spacing w:after="100" w:line="360"/>
      </w:pPr>
      <w:r>
        <w:rPr>
          <w:rFonts w:ascii="Arial" w:cs="Arial" w:eastAsia="Arial" w:hAnsi="Arial"/>
          <w:sz w:val="24"/>
          <w:szCs w:val="24"/>
        </w:rPr>
        <w:t xml:space="preserve">Accelerated development roadmap: 18-24 month timeline from IND to Phase II initiation, leveraging clinical precedent</w:t>
      </w:r>
    </w:p>
    <w:p>
      <w:pPr>
        <w:pStyle w:val="ListParagraph"/>
        <w:numPr>
          <w:ilvl w:val="0"/>
          <w:numId w:val="2"/>
        </w:numPr>
        <w:spacing w:after="100" w:line="360"/>
      </w:pPr>
      <w:r>
        <w:rPr>
          <w:rFonts w:ascii="Arial" w:cs="Arial" w:eastAsia="Arial" w:hAnsi="Arial"/>
          <w:sz w:val="24"/>
          <w:szCs w:val="24"/>
        </w:rPr>
        <w:t xml:space="preserve">Phase II clinical protocol: starting dose, escalation strategy, relevant DPN endpoints, expected efficacy window</w:t>
      </w:r>
    </w:p>
    <w:p>
      <w:pPr>
        <w:pStyle w:val="ListParagraph"/>
        <w:numPr>
          <w:ilvl w:val="0"/>
          <w:numId w:val="2"/>
        </w:numPr>
        <w:spacing w:after="100" w:line="360"/>
      </w:pPr>
      <w:r>
        <w:rPr>
          <w:rFonts w:ascii="Arial" w:cs="Arial" w:eastAsia="Arial" w:hAnsi="Arial"/>
          <w:sz w:val="24"/>
          <w:szCs w:val="24"/>
        </w:rPr>
        <w:t xml:space="preserve">Clinical briefing package: regulatory-ready DPN summary, prior trial evidence, IND strategy, market opportunity assessment for diabetic neuropathy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comprehensive ranking table; PDF efficacy-safety and regulatory profiles; Development roadmap timeline; Clinical briefing package (Word/PDF)</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Diabetic Neuropathy + Clinically De-Risked Compound Library: 100+ clinically-tested agents profiled in DPN models</w:t>
      </w:r>
    </w:p>
    <w:p>
      <w:pPr>
        <w:pStyle w:val="ListParagraph"/>
        <w:numPr>
          <w:ilvl w:val="0"/>
          <w:numId w:val="2"/>
        </w:numPr>
        <w:spacing w:after="100" w:line="360"/>
      </w:pPr>
      <w:r>
        <w:rPr>
          <w:rFonts w:ascii="Arial" w:cs="Arial" w:eastAsia="Arial" w:hAnsi="Arial"/>
          <w:sz w:val="24"/>
          <w:szCs w:val="24"/>
        </w:rPr>
        <w:t xml:space="preserve">Igor Pro (Wavemetrics): Ion channel kinetics and metabolic electrode analysis</w:t>
      </w:r>
    </w:p>
    <w:p>
      <w:pPr>
        <w:pStyle w:val="ListParagraph"/>
        <w:numPr>
          <w:ilvl w:val="0"/>
          <w:numId w:val="2"/>
        </w:numPr>
        <w:spacing w:after="100" w:line="360"/>
      </w:pPr>
      <w:r>
        <w:rPr>
          <w:rFonts w:ascii="Arial" w:cs="Arial" w:eastAsia="Arial" w:hAnsi="Arial"/>
          <w:sz w:val="24"/>
          <w:szCs w:val="24"/>
        </w:rPr>
        <w:t xml:space="preserve">Seahorse XF (Agilent): Mitochondrial OCR and metabolic dysfunction assessment</w:t>
      </w:r>
    </w:p>
    <w:p>
      <w:pPr>
        <w:pStyle w:val="ListParagraph"/>
        <w:numPr>
          <w:ilvl w:val="0"/>
          <w:numId w:val="2"/>
        </w:numPr>
        <w:spacing w:after="100" w:line="360"/>
      </w:pPr>
      <w:r>
        <w:rPr>
          <w:rFonts w:ascii="Arial" w:cs="Arial" w:eastAsia="Arial" w:hAnsi="Arial"/>
          <w:sz w:val="24"/>
          <w:szCs w:val="24"/>
        </w:rPr>
        <w:t xml:space="preserve">Immunofluorescence microscopy: Microtubule, tau phosphorylation, and axonal integrity visualization</w:t>
      </w:r>
    </w:p>
    <w:p>
      <w:pPr>
        <w:pStyle w:val="ListParagraph"/>
        <w:numPr>
          <w:ilvl w:val="0"/>
          <w:numId w:val="2"/>
        </w:numPr>
        <w:spacing w:after="100" w:line="360"/>
      </w:pPr>
      <w:r>
        <w:rPr>
          <w:rFonts w:ascii="Arial" w:cs="Arial" w:eastAsia="Arial" w:hAnsi="Arial"/>
          <w:sz w:val="24"/>
          <w:szCs w:val="24"/>
        </w:rPr>
        <w:t xml:space="preserve">Python (metabolic and morphological phenotyping, DPN scoring): Quantitative DPN signature extraction</w:t>
      </w:r>
    </w:p>
    <w:p>
      <w:pPr>
        <w:pStyle w:val="ListParagraph"/>
        <w:numPr>
          <w:ilvl w:val="0"/>
          <w:numId w:val="2"/>
        </w:numPr>
        <w:spacing w:after="100" w:line="360"/>
      </w:pPr>
      <w:r>
        <w:rPr>
          <w:rFonts w:ascii="Arial" w:cs="Arial" w:eastAsia="Arial" w:hAnsi="Arial"/>
          <w:sz w:val="24"/>
          <w:szCs w:val="24"/>
        </w:rPr>
        <w:t xml:space="preserve">R (statistical analysis, multi-criteria ranking): DPN efficacy and clinical de-risking profiling</w:t>
      </w:r>
    </w:p>
    <w:p>
      <w:pPr>
        <w:pStyle w:val="ListParagraph"/>
        <w:numPr>
          <w:ilvl w:val="0"/>
          <w:numId w:val="2"/>
        </w:numPr>
        <w:spacing w:after="100" w:line="360"/>
      </w:pPr>
      <w:r>
        <w:rPr>
          <w:rFonts w:ascii="Arial" w:cs="Arial" w:eastAsia="Arial" w:hAnsi="Arial"/>
          <w:sz w:val="24"/>
          <w:szCs w:val="24"/>
        </w:rPr>
        <w:t xml:space="preserve">KNIME Analytics Platform: Automated multi-stage DPN screening and regulatory package generation</w:t>
      </w:r>
    </w:p>
    <w:p>
      <w:pPr>
        <w:pStyle w:val="ListParagraph"/>
        <w:numPr>
          <w:ilvl w:val="0"/>
          <w:numId w:val="2"/>
        </w:numPr>
        <w:spacing w:after="100" w:line="360"/>
      </w:pPr>
      <w:r>
        <w:rPr>
          <w:rFonts w:ascii="Arial" w:cs="Arial" w:eastAsia="Arial" w:hAnsi="Arial"/>
          <w:sz w:val="24"/>
          <w:szCs w:val="24"/>
        </w:rPr>
        <w:t xml:space="preserve">Prism (GraphPad): Dose-response curve fitting for DPN rescue endpoints</w:t>
      </w:r>
    </w:p>
    <w:p>
      <w:pPr>
        <w:pStyle w:val="ListParagraph"/>
        <w:numPr>
          <w:ilvl w:val="0"/>
          <w:numId w:val="2"/>
        </w:numPr>
        <w:spacing w:after="100" w:line="360"/>
      </w:pPr>
      <w:r>
        <w:rPr>
          <w:rFonts w:ascii="Arial" w:cs="Arial" w:eastAsia="Arial" w:hAnsi="Arial"/>
          <w:sz w:val="24"/>
          <w:szCs w:val="24"/>
        </w:rPr>
        <w:t xml:space="preserve">DrugBank / FDA Label Database: Clinical pharmacology and safety profiles for de-risked compounds</w:t>
      </w:r>
    </w:p>
    <w:p>
      <w:pPr>
        <w:pStyle w:val="ListParagraph"/>
        <w:numPr>
          <w:ilvl w:val="0"/>
          <w:numId w:val="2"/>
        </w:numPr>
        <w:spacing w:after="100" w:line="360"/>
      </w:pPr>
      <w:r>
        <w:rPr>
          <w:rFonts w:ascii="Arial" w:cs="Arial" w:eastAsia="Arial" w:hAnsi="Arial"/>
          <w:sz w:val="24"/>
          <w:szCs w:val="24"/>
        </w:rPr>
        <w:t xml:space="preserve">ClinicalTrials.gov: Prior DPN trial designs and efficacy readouts for regulatory strategy</w:t>
      </w:r>
    </w:p>
    <w:p>
      <w:pPr>
        <w:pStyle w:val="ListParagraph"/>
        <w:numPr>
          <w:ilvl w:val="0"/>
          <w:numId w:val="2"/>
        </w:numPr>
        <w:spacing w:after="100" w:line="360"/>
      </w:pPr>
      <w:r>
        <w:rPr>
          <w:rFonts w:ascii="Arial" w:cs="Arial" w:eastAsia="Arial" w:hAnsi="Arial"/>
          <w:sz w:val="24"/>
          <w:szCs w:val="24"/>
        </w:rPr>
        <w:t xml:space="preserve">FDA Diabetic Neuropathy Guidance: Regulatory development pathways and endpoint requirements</w:t>
      </w:r>
    </w:p>
    <w:p>
      <w:pPr>
        <w:pStyle w:val="ListParagraph"/>
        <w:numPr>
          <w:ilvl w:val="0"/>
          <w:numId w:val="2"/>
        </w:numPr>
        <w:spacing w:after="100" w:line="360"/>
      </w:pPr>
      <w:r>
        <w:rPr>
          <w:rFonts w:ascii="Arial" w:cs="Arial" w:eastAsia="Arial" w:hAnsi="Arial"/>
          <w:sz w:val="24"/>
          <w:szCs w:val="24"/>
        </w:rPr>
        <w:t xml:space="preserve">Clinical Trial Simulation: Phase II probability-of-success and dose-efficacy predictions</w:t>
      </w:r>
    </w:p>
    <w:p>
      <w:pPr>
        <w:pStyle w:val="ListParagraph"/>
        <w:numPr>
          <w:ilvl w:val="0"/>
          <w:numId w:val="2"/>
        </w:numPr>
        <w:spacing w:after="100" w:line="360"/>
      </w:pPr>
      <w:r>
        <w:rPr>
          <w:rFonts w:ascii="Arial" w:cs="Arial" w:eastAsia="Arial" w:hAnsi="Arial"/>
          <w:sz w:val="24"/>
          <w:szCs w:val="24"/>
        </w:rPr>
        <w:t xml:space="preserve">IND Briefing Package Tools (Word, python-docx): Regulatory submission document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2026-03-04T14:23:24.601Z</dcterms:created>
  <dcterms:modified xsi:type="dcterms:W3CDTF">2026-03-04T14:23:24.601Z</dcterms:modified>
</cp:coreProperties>
</file>

<file path=docProps/custom.xml><?xml version="1.0" encoding="utf-8"?>
<Properties xmlns="http://schemas.openxmlformats.org/officeDocument/2006/custom-properties" xmlns:vt="http://schemas.openxmlformats.org/officeDocument/2006/docPropsVTypes"/>
</file>