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CRISPR Suppressor Druggability and BBB Feasibility Ranking</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CRISPR suppressor hits by druggability and BBB feasibility.</w:t>
      </w:r>
    </w:p>
    <w:p>
      <w:pPr>
        <w:spacing w:after="200" w:line="360"/>
      </w:pPr>
      <w:r>
        <w:rPr>
          <w:rFonts w:ascii="Arial" w:cs="Arial" w:eastAsia="Arial" w:hAnsi="Arial"/>
          <w:sz w:val="24"/>
          <w:szCs w:val="24"/>
        </w:rPr>
        <w:t xml:space="preserve">This pipeline identifies genetic suppressor genes that rescue disease-associated CRISPR losses and ranks them by pharmaceutical tractability and blood-brain barrier (BBB) penetration feasibility. Genetic suppression screens systematically test thousands of gene perturbations against disease-causing mutations, identifying suppressor genes that reverse pathological phenotypes. However, not all suppressors are viable drug targets: many are transcription factors (difficult to modulate), lack BBB access routes, or have tissue expression patterns incompatible with CNS-specific targeting. This pipeline maps suppressor hits from Quiver's CRISPR atlas to druggable gene products and BBB-permeable drug modalities, enabling prioritization of suppressors with pharmaceutical potential.</w:t>
      </w:r>
    </w:p>
    <w:p>
      <w:pPr>
        <w:spacing w:after="200" w:line="360"/>
      </w:pPr>
      <w:r>
        <w:rPr>
          <w:rFonts w:ascii="Arial" w:cs="Arial" w:eastAsia="Arial" w:hAnsi="Arial"/>
          <w:sz w:val="24"/>
          <w:szCs w:val="24"/>
        </w:rPr>
        <w:t xml:space="preserve">The pipeline systematically screens CRISPR suppressor datasets for disease-relevant mutations, characterizes each suppressor's druggability (target class, modulation strategy, existing tool compounds), and evaluates BBB penetration feasibility. BBB feasibility encompasses: predicted CNS drug permeability for small molecule inhibitors/activators, potential for viral vector or gene therapy approaches, antibody-based therapeutics with BBB-penetrating formats, and cell-intrinsic BBB transporter interactions. Final outputs are ranked suppressor lists stratified by drug modality tractability, BBB feasibility, and translational timeline.</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CRISPR suppressor druggability pipeline systematically identifies genetic suppressors of disease mutations, prioritizes suppressors by druggability potential, and ranks them by BBB feasibility. The workflow integrates genetic suppression screens with large-scale CRISPR datasets, disease-specific mutation databases, and pharmaceutical tractability assessment frameworks. The pipeline begins by defining disease-causing mutations and associated phenotypes, screens for suppressor genes via comprehensive CRISPR loss-of-function studies, then characterizes each suppressor for drug development potential.</w:t>
      </w:r>
    </w:p>
    <w:p>
      <w:pPr>
        <w:spacing w:after="200" w:line="360"/>
      </w:pPr>
      <w:r>
        <w:rPr>
          <w:rFonts w:ascii="Arial" w:cs="Arial" w:eastAsia="Arial" w:hAnsi="Arial"/>
          <w:sz w:val="24"/>
          <w:szCs w:val="24"/>
        </w:rPr>
        <w:t xml:space="preserve">Druggability assessment incorporates target class classification, identification of existing small molecules or tool compounds, assessment of protein-protein interaction modulation potential, and precedent for therapeutic targeting. BBB feasibility evaluation integrates predicted small molecule permeability (MDCK-MDR assays, Caco-2 models, computational predictions), viral vector compatibility for AAV/lentiviral gene therapy, and engineered therapeutic modalities (blood-brain barrier penetrating antibodies, exosome-based delivery). The final output is a ranked suppressor list with distinct tiers for each drug modality type (small molecule, gene therapy, biologics), enabling selection of suppressors aligned with available pharmaceutical approaches.</w:t>
      </w:r>
    </w:p>
    <w:p>
      <w:pPr>
        <w:pStyle w:val="Heading2"/>
      </w:pPr>
      <w:r>
        <w:rPr>
          <w:rFonts w:ascii="Arial" w:cs="Arial" w:eastAsia="Arial" w:hAnsi="Arial"/>
          <w:b/>
          <w:bCs/>
          <w:sz w:val="28"/>
          <w:szCs w:val="28"/>
        </w:rPr>
        <w:t xml:space="preserve">Stage 1: Disease Mutation Definition and Suppressor Screen Setup</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disease-causing mutations and establish CRISPR suppressor screening framework to identify rescue genes.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Disease-causing mutation list from genetic databases (ClinVar, gnomAD, dbSNP) and published disease studies with functional validation</w:t>
      </w:r>
    </w:p>
    <w:p>
      <w:pPr>
        <w:pStyle w:val="ListParagraph"/>
        <w:numPr>
          <w:ilvl w:val="0"/>
          <w:numId w:val="2"/>
        </w:numPr>
        <w:spacing w:after="100" w:line="360"/>
      </w:pPr>
      <w:r>
        <w:rPr>
          <w:rFonts w:ascii="Arial" w:cs="Arial" w:eastAsia="Arial" w:hAnsi="Arial"/>
          <w:sz w:val="24"/>
          <w:szCs w:val="24"/>
        </w:rPr>
        <w:t xml:space="preserve">Patient-derived cellular phenotypes associated with disease mutations (organoid models, iPSC-derived neurons with disease mutations)</w:t>
      </w:r>
    </w:p>
    <w:p>
      <w:pPr>
        <w:pStyle w:val="ListParagraph"/>
        <w:numPr>
          <w:ilvl w:val="0"/>
          <w:numId w:val="2"/>
        </w:numPr>
        <w:spacing w:after="100" w:line="360"/>
      </w:pPr>
      <w:r>
        <w:rPr>
          <w:rFonts w:ascii="Arial" w:cs="Arial" w:eastAsia="Arial" w:hAnsi="Arial"/>
          <w:sz w:val="24"/>
          <w:szCs w:val="24"/>
        </w:rPr>
        <w:t xml:space="preserve">Animal disease model phenotypes (transgenic, knockout, or knockin models carrying disease mutations) with quantifiable readouts</w:t>
      </w:r>
    </w:p>
    <w:p>
      <w:pPr>
        <w:pStyle w:val="ListParagraph"/>
        <w:numPr>
          <w:ilvl w:val="0"/>
          <w:numId w:val="2"/>
        </w:numPr>
        <w:spacing w:after="100" w:line="360"/>
      </w:pPr>
      <w:r>
        <w:rPr>
          <w:rFonts w:ascii="Arial" w:cs="Arial" w:eastAsia="Arial" w:hAnsi="Arial"/>
          <w:sz w:val="24"/>
          <w:szCs w:val="24"/>
        </w:rPr>
        <w:t xml:space="preserve">Quiver CRISPR atlas perturbation data for comprehensive single-gene loss screening (all ~18,000 genes)</w:t>
      </w:r>
    </w:p>
    <w:p>
      <w:pPr>
        <w:pStyle w:val="ListParagraph"/>
        <w:numPr>
          <w:ilvl w:val="0"/>
          <w:numId w:val="2"/>
        </w:numPr>
        <w:spacing w:after="100" w:line="360"/>
      </w:pPr>
      <w:r>
        <w:rPr>
          <w:rFonts w:ascii="Arial" w:cs="Arial" w:eastAsia="Arial" w:hAnsi="Arial"/>
          <w:sz w:val="24"/>
          <w:szCs w:val="24"/>
        </w:rPr>
        <w:t xml:space="preserve">Episodic phenotype definitions and quantification metrics linking suppressor hits to disease-relevant cellular dysfunctions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Disease mutation databases (ClinVar, gnomAD, dbSNP, disease-specific variant databases)</w:t>
      </w:r>
    </w:p>
    <w:p>
      <w:pPr>
        <w:pStyle w:val="ListParagraph"/>
        <w:numPr>
          <w:ilvl w:val="0"/>
          <w:numId w:val="2"/>
        </w:numPr>
        <w:spacing w:after="100" w:line="360"/>
      </w:pPr>
      <w:r>
        <w:rPr>
          <w:rFonts w:ascii="Arial" w:cs="Arial" w:eastAsia="Arial" w:hAnsi="Arial"/>
          <w:sz w:val="24"/>
          <w:szCs w:val="24"/>
        </w:rPr>
        <w:t xml:space="preserve">Patient-derived cellular systems and disease model resources (IPSCELL, WormBase, FlyBase for model organisms)</w:t>
      </w:r>
    </w:p>
    <w:p>
      <w:pPr>
        <w:pStyle w:val="ListParagraph"/>
        <w:numPr>
          <w:ilvl w:val="0"/>
          <w:numId w:val="2"/>
        </w:numPr>
        <w:spacing w:after="100" w:line="360"/>
      </w:pPr>
      <w:r>
        <w:rPr>
          <w:rFonts w:ascii="Arial" w:cs="Arial" w:eastAsia="Arial" w:hAnsi="Arial"/>
          <w:sz w:val="24"/>
          <w:szCs w:val="24"/>
        </w:rPr>
        <w:t xml:space="preserve">Quiver CRISPR Atlas single and suppressor screen phenotype data</w:t>
      </w:r>
    </w:p>
    <w:p>
      <w:pPr>
        <w:pStyle w:val="ListParagraph"/>
        <w:numPr>
          <w:ilvl w:val="0"/>
          <w:numId w:val="2"/>
        </w:numPr>
        <w:spacing w:after="100" w:line="360"/>
      </w:pPr>
      <w:r>
        <w:rPr>
          <w:rFonts w:ascii="Arial" w:cs="Arial" w:eastAsia="Arial" w:hAnsi="Arial"/>
          <w:sz w:val="24"/>
          <w:szCs w:val="24"/>
        </w:rPr>
        <w:t xml:space="preserve">Phenotype quantification and statistical analysis tools (machine learning classifiers, feature importance ranking)</w:t>
      </w:r>
    </w:p>
    <w:p>
      <w:pPr>
        <w:pStyle w:val="ListParagraph"/>
        <w:numPr>
          <w:ilvl w:val="0"/>
          <w:numId w:val="2"/>
        </w:numPr>
        <w:spacing w:after="100" w:line="360"/>
      </w:pPr>
      <w:r>
        <w:rPr>
          <w:rFonts w:ascii="Arial" w:cs="Arial" w:eastAsia="Arial" w:hAnsi="Arial"/>
          <w:sz w:val="24"/>
          <w:szCs w:val="24"/>
        </w:rPr>
        <w:t xml:space="preserve">CRISPR screening quality control and sgRNA effectiveness prediction tools (Cas-OFFinder, CRISPOR)</w:t>
      </w:r>
    </w:p>
    <w:p>
      <w:pPr>
        <w:pStyle w:val="ListParagraph"/>
        <w:numPr>
          <w:ilvl w:val="0"/>
          <w:numId w:val="2"/>
        </w:numPr>
        <w:spacing w:after="100" w:line="360"/>
      </w:pPr>
      <w:r>
        <w:rPr>
          <w:rFonts w:ascii="Arial" w:cs="Arial" w:eastAsia="Arial" w:hAnsi="Arial"/>
          <w:sz w:val="24"/>
          <w:szCs w:val="24"/>
        </w:rPr>
        <w:t xml:space="preserve">Data integration and pathway analysis frameworks for suppressor characterization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Compile disease mutation list from epilepsy, ASD, schizophrenia genetic studies with functional impact scores</w:t>
      </w:r>
    </w:p>
    <w:p>
      <w:pPr>
        <w:pStyle w:val="ListParagraph"/>
        <w:numPr>
          <w:ilvl w:val="0"/>
          <w:numId w:val="2"/>
        </w:numPr>
        <w:spacing w:after="100" w:line="360"/>
      </w:pPr>
      <w:r>
        <w:rPr>
          <w:rFonts w:ascii="Arial" w:cs="Arial" w:eastAsia="Arial" w:hAnsi="Arial"/>
          <w:sz w:val="24"/>
          <w:szCs w:val="24"/>
        </w:rPr>
        <w:t xml:space="preserve">Define quantifiable phenotypes from disease models: seizure frequency, neuronal electrophysiology, synaptic strength, network synchronization</w:t>
      </w:r>
    </w:p>
    <w:p>
      <w:pPr>
        <w:pStyle w:val="ListParagraph"/>
        <w:numPr>
          <w:ilvl w:val="0"/>
          <w:numId w:val="2"/>
        </w:numPr>
        <w:spacing w:after="100" w:line="360"/>
      </w:pPr>
      <w:r>
        <w:rPr>
          <w:rFonts w:ascii="Arial" w:cs="Arial" w:eastAsia="Arial" w:hAnsi="Arial"/>
          <w:sz w:val="24"/>
          <w:szCs w:val="24"/>
        </w:rPr>
        <w:t xml:space="preserve">Map disease mutations to Quiver CRISPR atlas genes and identify equivalent loss-of-function phenotypes</w:t>
      </w:r>
    </w:p>
    <w:p>
      <w:pPr>
        <w:pStyle w:val="ListParagraph"/>
        <w:numPr>
          <w:ilvl w:val="0"/>
          <w:numId w:val="2"/>
        </w:numPr>
        <w:spacing w:after="100" w:line="360"/>
      </w:pPr>
      <w:r>
        <w:rPr>
          <w:rFonts w:ascii="Arial" w:cs="Arial" w:eastAsia="Arial" w:hAnsi="Arial"/>
          <w:sz w:val="24"/>
          <w:szCs w:val="24"/>
        </w:rPr>
        <w:t xml:space="preserve">Design CRISPR suppression screen: systematically test CRISPR inactivation of all 18k genes against disease mutation phenotypes</w:t>
      </w:r>
    </w:p>
    <w:p>
      <w:pPr>
        <w:pStyle w:val="ListParagraph"/>
        <w:numPr>
          <w:ilvl w:val="0"/>
          <w:numId w:val="2"/>
        </w:numPr>
        <w:spacing w:after="100" w:line="360"/>
      </w:pPr>
      <w:r>
        <w:rPr>
          <w:rFonts w:ascii="Arial" w:cs="Arial" w:eastAsia="Arial" w:hAnsi="Arial"/>
          <w:sz w:val="24"/>
          <w:szCs w:val="24"/>
        </w:rPr>
        <w:t xml:space="preserve">Establish reproducibility and statistical thresholds for suppressor hit calling (effect size, multiple testing correction)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Curated disease mutation list with functional validation status and associated phenotype descriptions</w:t>
      </w:r>
    </w:p>
    <w:p>
      <w:pPr>
        <w:pStyle w:val="ListParagraph"/>
        <w:numPr>
          <w:ilvl w:val="0"/>
          <w:numId w:val="2"/>
        </w:numPr>
        <w:spacing w:after="100" w:line="360"/>
      </w:pPr>
      <w:r>
        <w:rPr>
          <w:rFonts w:ascii="Arial" w:cs="Arial" w:eastAsia="Arial" w:hAnsi="Arial"/>
          <w:sz w:val="24"/>
          <w:szCs w:val="24"/>
        </w:rPr>
        <w:t xml:space="preserve">Standardized phenotype quantification metrics and baseline phenotype values for disease models</w:t>
      </w:r>
    </w:p>
    <w:p>
      <w:pPr>
        <w:pStyle w:val="ListParagraph"/>
        <w:numPr>
          <w:ilvl w:val="0"/>
          <w:numId w:val="2"/>
        </w:numPr>
        <w:spacing w:after="100" w:line="360"/>
      </w:pPr>
      <w:r>
        <w:rPr>
          <w:rFonts w:ascii="Arial" w:cs="Arial" w:eastAsia="Arial" w:hAnsi="Arial"/>
          <w:sz w:val="24"/>
          <w:szCs w:val="24"/>
        </w:rPr>
        <w:t xml:space="preserve">CRISPR screen design specifications: targeted gene list, phenotyping methodology, statistical power analysis</w:t>
      </w:r>
    </w:p>
    <w:p>
      <w:pPr>
        <w:pStyle w:val="ListParagraph"/>
        <w:numPr>
          <w:ilvl w:val="0"/>
          <w:numId w:val="2"/>
        </w:numPr>
        <w:spacing w:after="100" w:line="360"/>
      </w:pPr>
      <w:r>
        <w:rPr>
          <w:rFonts w:ascii="Arial" w:cs="Arial" w:eastAsia="Arial" w:hAnsi="Arial"/>
          <w:sz w:val="24"/>
          <w:szCs w:val="24"/>
        </w:rPr>
        <w:t xml:space="preserve">Baseline suppressor hit calling methodology with reproducibility metrics and effect size thresholds</w:t>
      </w:r>
    </w:p>
    <w:p>
      <w:pPr>
        <w:pStyle w:val="ListParagraph"/>
        <w:numPr>
          <w:ilvl w:val="0"/>
          <w:numId w:val="2"/>
        </w:numPr>
        <w:spacing w:after="100" w:line="360"/>
      </w:pPr>
      <w:r>
        <w:rPr>
          <w:rFonts w:ascii="Arial" w:cs="Arial" w:eastAsia="Arial" w:hAnsi="Arial"/>
          <w:sz w:val="24"/>
          <w:szCs w:val="24"/>
        </w:rPr>
        <w:t xml:space="preserve">Phenotype-to-mutation mapping defining disease-model equivalency and expected suppressor phenotypic rescue</w:t>
      </w:r>
    </w:p>
    <w:p>
      <w:pPr>
        <w:pStyle w:val="ListParagraph"/>
        <w:numPr>
          <w:ilvl w:val="0"/>
          <w:numId w:val="2"/>
        </w:numPr>
        <w:spacing w:after="100" w:line="360"/>
      </w:pPr>
      <w:r>
        <w:rPr>
          <w:rFonts w:ascii="Arial" w:cs="Arial" w:eastAsia="Arial" w:hAnsi="Arial"/>
          <w:sz w:val="24"/>
          <w:szCs w:val="24"/>
        </w:rPr>
        <w:t xml:space="preserve">Quality control metrics: screen consistency, sgRNA efficacy, phenotyping assay robustness and reproducibility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 mutation database with functional annotations, phenotype specifications document, CRISPR screen protocol, QC metrics report.</w:t>
      </w:r>
    </w:p>
    <w:p>
      <w:pPr>
        <w:pStyle w:val="Heading2"/>
      </w:pPr>
      <w:r>
        <w:rPr>
          <w:rFonts w:ascii="Arial" w:cs="Arial" w:eastAsia="Arial" w:hAnsi="Arial"/>
          <w:b/>
          <w:bCs/>
          <w:sz w:val="28"/>
          <w:szCs w:val="28"/>
        </w:rPr>
        <w:t xml:space="preserve">Stage 2: CRISPR Suppressor Hit Identification and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characterize genetic suppressor hits that rescue disease phenotypes from comprehensive CRISPR screens.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CRISPR loss-of-function phenotype data for all ~18,000 genes from Quiver atlas</w:t>
      </w:r>
    </w:p>
    <w:p>
      <w:pPr>
        <w:pStyle w:val="ListParagraph"/>
        <w:numPr>
          <w:ilvl w:val="0"/>
          <w:numId w:val="2"/>
        </w:numPr>
        <w:spacing w:after="100" w:line="360"/>
      </w:pPr>
      <w:r>
        <w:rPr>
          <w:rFonts w:ascii="Arial" w:cs="Arial" w:eastAsia="Arial" w:hAnsi="Arial"/>
          <w:sz w:val="24"/>
          <w:szCs w:val="24"/>
        </w:rPr>
        <w:t xml:space="preserve">Disease mutation-induced phenotypes from Stage 1 (baseline disease cellular dysfunction)</w:t>
      </w:r>
    </w:p>
    <w:p>
      <w:pPr>
        <w:pStyle w:val="ListParagraph"/>
        <w:numPr>
          <w:ilvl w:val="0"/>
          <w:numId w:val="2"/>
        </w:numPr>
        <w:spacing w:after="100" w:line="360"/>
      </w:pPr>
      <w:r>
        <w:rPr>
          <w:rFonts w:ascii="Arial" w:cs="Arial" w:eastAsia="Arial" w:hAnsi="Arial"/>
          <w:sz w:val="24"/>
          <w:szCs w:val="24"/>
        </w:rPr>
        <w:t xml:space="preserve">Phenotype vectors and effect size measurements (log2 fold-change, Z-scores relative to controls)</w:t>
      </w:r>
    </w:p>
    <w:p>
      <w:pPr>
        <w:pStyle w:val="ListParagraph"/>
        <w:numPr>
          <w:ilvl w:val="0"/>
          <w:numId w:val="2"/>
        </w:numPr>
        <w:spacing w:after="100" w:line="360"/>
      </w:pPr>
      <w:r>
        <w:rPr>
          <w:rFonts w:ascii="Arial" w:cs="Arial" w:eastAsia="Arial" w:hAnsi="Arial"/>
          <w:sz w:val="24"/>
          <w:szCs w:val="24"/>
        </w:rPr>
        <w:t xml:space="preserve">Biological replication data and statistical significance assessments for hit validation</w:t>
      </w:r>
    </w:p>
    <w:p>
      <w:pPr>
        <w:pStyle w:val="ListParagraph"/>
        <w:numPr>
          <w:ilvl w:val="0"/>
          <w:numId w:val="2"/>
        </w:numPr>
        <w:spacing w:after="100" w:line="360"/>
      </w:pPr>
      <w:r>
        <w:rPr>
          <w:rFonts w:ascii="Arial" w:cs="Arial" w:eastAsia="Arial" w:hAnsi="Arial"/>
          <w:sz w:val="24"/>
          <w:szCs w:val="24"/>
        </w:rPr>
        <w:t xml:space="preserve">Genetic and functional interaction datasets (STRING, BioGrid) for suppressor mechanism prediction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CRISPR hit calling algorithms (MAGeCK, BAGEL, RANKS) with false discovery rate control</w:t>
      </w:r>
    </w:p>
    <w:p>
      <w:pPr>
        <w:pStyle w:val="ListParagraph"/>
        <w:numPr>
          <w:ilvl w:val="0"/>
          <w:numId w:val="2"/>
        </w:numPr>
        <w:spacing w:after="100" w:line="360"/>
      </w:pPr>
      <w:r>
        <w:rPr>
          <w:rFonts w:ascii="Arial" w:cs="Arial" w:eastAsia="Arial" w:hAnsi="Arial"/>
          <w:sz w:val="24"/>
          <w:szCs w:val="24"/>
        </w:rPr>
        <w:t xml:space="preserve">Phenotype similarity scoring (Euclidean distance, cosine similarity) for rescue quantification</w:t>
      </w:r>
    </w:p>
    <w:p>
      <w:pPr>
        <w:pStyle w:val="ListParagraph"/>
        <w:numPr>
          <w:ilvl w:val="0"/>
          <w:numId w:val="2"/>
        </w:numPr>
        <w:spacing w:after="100" w:line="360"/>
      </w:pPr>
      <w:r>
        <w:rPr>
          <w:rFonts w:ascii="Arial" w:cs="Arial" w:eastAsia="Arial" w:hAnsi="Arial"/>
          <w:sz w:val="24"/>
          <w:szCs w:val="24"/>
        </w:rPr>
        <w:t xml:space="preserve">Genetic interaction databases (SynLethDB, DRYGIN) and protein interaction networks (STRING, BioGrid, BioPlex)</w:t>
      </w:r>
    </w:p>
    <w:p>
      <w:pPr>
        <w:pStyle w:val="ListParagraph"/>
        <w:numPr>
          <w:ilvl w:val="0"/>
          <w:numId w:val="2"/>
        </w:numPr>
        <w:spacing w:after="100" w:line="360"/>
      </w:pPr>
      <w:r>
        <w:rPr>
          <w:rFonts w:ascii="Arial" w:cs="Arial" w:eastAsia="Arial" w:hAnsi="Arial"/>
          <w:sz w:val="24"/>
          <w:szCs w:val="24"/>
        </w:rPr>
        <w:t xml:space="preserve">Pathway analysis tools (Reactome, KEGG) for suppressor mechanism classification</w:t>
      </w:r>
    </w:p>
    <w:p>
      <w:pPr>
        <w:pStyle w:val="ListParagraph"/>
        <w:numPr>
          <w:ilvl w:val="0"/>
          <w:numId w:val="2"/>
        </w:numPr>
        <w:spacing w:after="100" w:line="360"/>
      </w:pPr>
      <w:r>
        <w:rPr>
          <w:rFonts w:ascii="Arial" w:cs="Arial" w:eastAsia="Arial" w:hAnsi="Arial"/>
          <w:sz w:val="24"/>
          <w:szCs w:val="24"/>
        </w:rPr>
        <w:t xml:space="preserve">Statistical validation frameworks (permutation testing, cross-validation) for suppressor hit robustness</w:t>
      </w:r>
    </w:p>
    <w:p>
      <w:pPr>
        <w:pStyle w:val="ListParagraph"/>
        <w:numPr>
          <w:ilvl w:val="0"/>
          <w:numId w:val="2"/>
        </w:numPr>
        <w:spacing w:after="100" w:line="360"/>
      </w:pPr>
      <w:r>
        <w:rPr>
          <w:rFonts w:ascii="Arial" w:cs="Arial" w:eastAsia="Arial" w:hAnsi="Arial"/>
          <w:sz w:val="24"/>
          <w:szCs w:val="24"/>
        </w:rPr>
        <w:t xml:space="preserve">Visualization tools (volcano plots, heatmaps, network diagrams) for suppressor landscape characterization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Apply hit calling algorithms to identify genes whose loss significantly rescues disease mutation phenotypes (p&lt;0.05, |effect size|&gt;1)</w:t>
      </w:r>
    </w:p>
    <w:p>
      <w:pPr>
        <w:pStyle w:val="ListParagraph"/>
        <w:numPr>
          <w:ilvl w:val="0"/>
          <w:numId w:val="2"/>
        </w:numPr>
        <w:spacing w:after="100" w:line="360"/>
      </w:pPr>
      <w:r>
        <w:rPr>
          <w:rFonts w:ascii="Arial" w:cs="Arial" w:eastAsia="Arial" w:hAnsi="Arial"/>
          <w:sz w:val="24"/>
          <w:szCs w:val="24"/>
        </w:rPr>
        <w:t xml:space="preserve">Quantify rescue magnitude: calculate phenotypic distance between single-mutation and mutation+suppressor-knockout cellular states</w:t>
      </w:r>
    </w:p>
    <w:p>
      <w:pPr>
        <w:pStyle w:val="ListParagraph"/>
        <w:numPr>
          <w:ilvl w:val="0"/>
          <w:numId w:val="2"/>
        </w:numPr>
        <w:spacing w:after="100" w:line="360"/>
      </w:pPr>
      <w:r>
        <w:rPr>
          <w:rFonts w:ascii="Arial" w:cs="Arial" w:eastAsia="Arial" w:hAnsi="Arial"/>
          <w:sz w:val="24"/>
          <w:szCs w:val="24"/>
        </w:rPr>
        <w:t xml:space="preserve">Classify suppressors by rescue mechanism: pathway-level (same biological process), epistatic (direct interaction), indirect (network rescue)</w:t>
      </w:r>
    </w:p>
    <w:p>
      <w:pPr>
        <w:pStyle w:val="ListParagraph"/>
        <w:numPr>
          <w:ilvl w:val="0"/>
          <w:numId w:val="2"/>
        </w:numPr>
        <w:spacing w:after="100" w:line="360"/>
      </w:pPr>
      <w:r>
        <w:rPr>
          <w:rFonts w:ascii="Arial" w:cs="Arial" w:eastAsia="Arial" w:hAnsi="Arial"/>
          <w:sz w:val="24"/>
          <w:szCs w:val="24"/>
        </w:rPr>
        <w:t xml:space="preserve">Validate hits: cross-reference with published suppression screens, test reproducibility across cellular contexts, check orthologous gene conservation</w:t>
      </w:r>
    </w:p>
    <w:p>
      <w:pPr>
        <w:pStyle w:val="ListParagraph"/>
        <w:numPr>
          <w:ilvl w:val="0"/>
          <w:numId w:val="2"/>
        </w:numPr>
        <w:spacing w:after="100" w:line="360"/>
      </w:pPr>
      <w:r>
        <w:rPr>
          <w:rFonts w:ascii="Arial" w:cs="Arial" w:eastAsia="Arial" w:hAnsi="Arial"/>
          <w:sz w:val="24"/>
          <w:szCs w:val="24"/>
        </w:rPr>
        <w:t xml:space="preserve">Generate suppressor ranking by rescue strength: top suppressors showing &gt;50% phenotype normalization toward wild-type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suppressor hit list (all statistically significant hits) with effect sizes and rescue magnitude scores</w:t>
      </w:r>
    </w:p>
    <w:p>
      <w:pPr>
        <w:pStyle w:val="ListParagraph"/>
        <w:numPr>
          <w:ilvl w:val="0"/>
          <w:numId w:val="2"/>
        </w:numPr>
        <w:spacing w:after="100" w:line="360"/>
      </w:pPr>
      <w:r>
        <w:rPr>
          <w:rFonts w:ascii="Arial" w:cs="Arial" w:eastAsia="Arial" w:hAnsi="Arial"/>
          <w:sz w:val="24"/>
          <w:szCs w:val="24"/>
        </w:rPr>
        <w:t xml:space="preserve">High-confidence suppressor ranking (top 200-300 hits) stratified by rescue strength</w:t>
      </w:r>
    </w:p>
    <w:p>
      <w:pPr>
        <w:pStyle w:val="ListParagraph"/>
        <w:numPr>
          <w:ilvl w:val="0"/>
          <w:numId w:val="2"/>
        </w:numPr>
        <w:spacing w:after="100" w:line="360"/>
      </w:pPr>
      <w:r>
        <w:rPr>
          <w:rFonts w:ascii="Arial" w:cs="Arial" w:eastAsia="Arial" w:hAnsi="Arial"/>
          <w:sz w:val="24"/>
          <w:szCs w:val="24"/>
        </w:rPr>
        <w:t xml:space="preserve">Mechanistic classification of suppressors by rescue pathway (direct epistasis, pathway-level, network-level rescue)</w:t>
      </w:r>
    </w:p>
    <w:p>
      <w:pPr>
        <w:pStyle w:val="ListParagraph"/>
        <w:numPr>
          <w:ilvl w:val="0"/>
          <w:numId w:val="2"/>
        </w:numPr>
        <w:spacing w:after="100" w:line="360"/>
      </w:pPr>
      <w:r>
        <w:rPr>
          <w:rFonts w:ascii="Arial" w:cs="Arial" w:eastAsia="Arial" w:hAnsi="Arial"/>
          <w:sz w:val="24"/>
          <w:szCs w:val="24"/>
        </w:rPr>
        <w:t xml:space="preserve">Statistical validation results (false discovery rates, cross-validation performance, reproducibility metrics)</w:t>
      </w:r>
    </w:p>
    <w:p>
      <w:pPr>
        <w:pStyle w:val="ListParagraph"/>
        <w:numPr>
          <w:ilvl w:val="0"/>
          <w:numId w:val="2"/>
        </w:numPr>
        <w:spacing w:after="100" w:line="360"/>
      </w:pPr>
      <w:r>
        <w:rPr>
          <w:rFonts w:ascii="Arial" w:cs="Arial" w:eastAsia="Arial" w:hAnsi="Arial"/>
          <w:sz w:val="24"/>
          <w:szCs w:val="24"/>
        </w:rPr>
        <w:t xml:space="preserve">Suppressor-disease phenotype rescue profiles (phenotypic signatures showing rescue magnitude across measured features)</w:t>
      </w:r>
    </w:p>
    <w:p>
      <w:pPr>
        <w:pStyle w:val="ListParagraph"/>
        <w:numPr>
          <w:ilvl w:val="0"/>
          <w:numId w:val="2"/>
        </w:numPr>
        <w:spacing w:after="100" w:line="360"/>
      </w:pPr>
      <w:r>
        <w:rPr>
          <w:rFonts w:ascii="Arial" w:cs="Arial" w:eastAsia="Arial" w:hAnsi="Arial"/>
          <w:sz w:val="24"/>
          <w:szCs w:val="24"/>
        </w:rPr>
        <w:t xml:space="preserve">Network visualizations showing suppressor-gene interactions and rescue mechanism pathways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Suppressor hit list spreadsheet with effect sizes and rankings, mechanistic classifications, validation statistics, network diagrams and volcano plots (PNG/PDF).</w:t>
      </w:r>
    </w:p>
    <w:p>
      <w:pPr>
        <w:pStyle w:val="Heading2"/>
      </w:pPr>
      <w:r>
        <w:rPr>
          <w:rFonts w:ascii="Arial" w:cs="Arial" w:eastAsia="Arial" w:hAnsi="Arial"/>
          <w:b/>
          <w:bCs/>
          <w:sz w:val="28"/>
          <w:szCs w:val="28"/>
        </w:rPr>
        <w:t xml:space="preserve">Stage 3: Druggability Assessment and Target Class Stratification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pharmaceutical tractability for each suppressor hit and stratify by drug modality potential (small molecule, biologics, gene 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High-confidence suppressor gene list from Stage 2 with rescue strength rankings</w:t>
      </w:r>
    </w:p>
    <w:p>
      <w:pPr>
        <w:pStyle w:val="ListParagraph"/>
        <w:numPr>
          <w:ilvl w:val="0"/>
          <w:numId w:val="2"/>
        </w:numPr>
        <w:spacing w:after="100" w:line="360"/>
      </w:pPr>
      <w:r>
        <w:rPr>
          <w:rFonts w:ascii="Arial" w:cs="Arial" w:eastAsia="Arial" w:hAnsi="Arial"/>
          <w:sz w:val="24"/>
          <w:szCs w:val="24"/>
        </w:rPr>
        <w:t xml:space="preserve">Gene function annotations, protein class, cellular localization, and tissue expression data for each suppressor</w:t>
      </w:r>
    </w:p>
    <w:p>
      <w:pPr>
        <w:pStyle w:val="ListParagraph"/>
        <w:numPr>
          <w:ilvl w:val="0"/>
          <w:numId w:val="2"/>
        </w:numPr>
        <w:spacing w:after="100" w:line="360"/>
      </w:pPr>
      <w:r>
        <w:rPr>
          <w:rFonts w:ascii="Arial" w:cs="Arial" w:eastAsia="Arial" w:hAnsi="Arial"/>
          <w:sz w:val="24"/>
          <w:szCs w:val="24"/>
        </w:rPr>
        <w:t xml:space="preserve">Target druggability assessment data (existing small molecules, tool compounds, precedent for therapeutic targeting)</w:t>
      </w:r>
    </w:p>
    <w:p>
      <w:pPr>
        <w:pStyle w:val="ListParagraph"/>
        <w:numPr>
          <w:ilvl w:val="0"/>
          <w:numId w:val="2"/>
        </w:numPr>
        <w:spacing w:after="100" w:line="360"/>
      </w:pPr>
      <w:r>
        <w:rPr>
          <w:rFonts w:ascii="Arial" w:cs="Arial" w:eastAsia="Arial" w:hAnsi="Arial"/>
          <w:sz w:val="24"/>
          <w:szCs w:val="24"/>
        </w:rPr>
        <w:t xml:space="preserve">Protein structure information and predicted druggable binding pockets (structure-based predictions for novel targets)</w:t>
      </w:r>
    </w:p>
    <w:p>
      <w:pPr>
        <w:pStyle w:val="ListParagraph"/>
        <w:numPr>
          <w:ilvl w:val="0"/>
          <w:numId w:val="2"/>
        </w:numPr>
        <w:spacing w:after="100" w:line="360"/>
      </w:pPr>
      <w:r>
        <w:rPr>
          <w:rFonts w:ascii="Arial" w:cs="Arial" w:eastAsia="Arial" w:hAnsi="Arial"/>
          <w:sz w:val="24"/>
          <w:szCs w:val="24"/>
        </w:rPr>
        <w:t xml:space="preserve">Modulation strategy assessment (loss-of-function vs. gain-of-function targets; inhibitor vs. activator requirements)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OpenTargets Platform and Target Development Level (TDL) database for druggability classification (T1-T4 levels)</w:t>
      </w:r>
    </w:p>
    <w:p>
      <w:pPr>
        <w:pStyle w:val="ListParagraph"/>
        <w:numPr>
          <w:ilvl w:val="0"/>
          <w:numId w:val="2"/>
        </w:numPr>
        <w:spacing w:after="100" w:line="360"/>
      </w:pPr>
      <w:r>
        <w:rPr>
          <w:rFonts w:ascii="Arial" w:cs="Arial" w:eastAsia="Arial" w:hAnsi="Arial"/>
          <w:sz w:val="24"/>
          <w:szCs w:val="24"/>
        </w:rPr>
        <w:t xml:space="preserve">ChEMBL and PubChem for small molecule and tool compound availability assessment</w:t>
      </w:r>
    </w:p>
    <w:p>
      <w:pPr>
        <w:pStyle w:val="ListParagraph"/>
        <w:numPr>
          <w:ilvl w:val="0"/>
          <w:numId w:val="2"/>
        </w:numPr>
        <w:spacing w:after="100" w:line="360"/>
      </w:pPr>
      <w:r>
        <w:rPr>
          <w:rFonts w:ascii="Arial" w:cs="Arial" w:eastAsia="Arial" w:hAnsi="Arial"/>
          <w:sz w:val="24"/>
          <w:szCs w:val="24"/>
        </w:rPr>
        <w:t xml:space="preserve">Protein structure databases (RCSB PDB) and structure-based drug discovery tools (FTsite, COACH) for binding pocket prediction</w:t>
      </w:r>
    </w:p>
    <w:p>
      <w:pPr>
        <w:pStyle w:val="ListParagraph"/>
        <w:numPr>
          <w:ilvl w:val="0"/>
          <w:numId w:val="2"/>
        </w:numPr>
        <w:spacing w:after="100" w:line="360"/>
      </w:pPr>
      <w:r>
        <w:rPr>
          <w:rFonts w:ascii="Arial" w:cs="Arial" w:eastAsia="Arial" w:hAnsi="Arial"/>
          <w:sz w:val="24"/>
          <w:szCs w:val="24"/>
        </w:rPr>
        <w:t xml:space="preserve">Gene ontology and protein class annotation databases for modulation strategy assessment</w:t>
      </w:r>
    </w:p>
    <w:p>
      <w:pPr>
        <w:pStyle w:val="ListParagraph"/>
        <w:numPr>
          <w:ilvl w:val="0"/>
          <w:numId w:val="2"/>
        </w:numPr>
        <w:spacing w:after="100" w:line="360"/>
      </w:pPr>
      <w:r>
        <w:rPr>
          <w:rFonts w:ascii="Arial" w:cs="Arial" w:eastAsia="Arial" w:hAnsi="Arial"/>
          <w:sz w:val="24"/>
          <w:szCs w:val="24"/>
        </w:rPr>
        <w:t xml:space="preserve">Druggability prediction algorithms (CanSAR, DGIdb) combining multiple evidence streams</w:t>
      </w:r>
    </w:p>
    <w:p>
      <w:pPr>
        <w:pStyle w:val="ListParagraph"/>
        <w:numPr>
          <w:ilvl w:val="0"/>
          <w:numId w:val="2"/>
        </w:numPr>
        <w:spacing w:after="100" w:line="360"/>
      </w:pPr>
      <w:r>
        <w:rPr>
          <w:rFonts w:ascii="Arial" w:cs="Arial" w:eastAsia="Arial" w:hAnsi="Arial"/>
          <w:sz w:val="24"/>
          <w:szCs w:val="24"/>
        </w:rPr>
        <w:t xml:space="preserve">Gene therapy feasibility assessment tools (AAV compatibility, viral vector capacity, promoter selection guides)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Classify suppressors by target class: kinases, GPCRs, ion channels, transcription factors, structural proteins</w:t>
      </w:r>
    </w:p>
    <w:p>
      <w:pPr>
        <w:pStyle w:val="ListParagraph"/>
        <w:numPr>
          <w:ilvl w:val="0"/>
          <w:numId w:val="2"/>
        </w:numPr>
        <w:spacing w:after="100" w:line="360"/>
      </w:pPr>
      <w:r>
        <w:rPr>
          <w:rFonts w:ascii="Arial" w:cs="Arial" w:eastAsia="Arial" w:hAnsi="Arial"/>
          <w:sz w:val="24"/>
          <w:szCs w:val="24"/>
        </w:rPr>
        <w:t xml:space="preserve">Assess individual druggability: TDL level assignment (T1 has clinical precedent, T4 has no structure or precedent)</w:t>
      </w:r>
    </w:p>
    <w:p>
      <w:pPr>
        <w:pStyle w:val="ListParagraph"/>
        <w:numPr>
          <w:ilvl w:val="0"/>
          <w:numId w:val="2"/>
        </w:numPr>
        <w:spacing w:after="100" w:line="360"/>
      </w:pPr>
      <w:r>
        <w:rPr>
          <w:rFonts w:ascii="Arial" w:cs="Arial" w:eastAsia="Arial" w:hAnsi="Arial"/>
          <w:sz w:val="24"/>
          <w:szCs w:val="24"/>
        </w:rPr>
        <w:t xml:space="preserve">Identify modulation strategy: loss-of-function suppressors require inhibitors; gain-of-function suppressors require activators/restoration</w:t>
      </w:r>
    </w:p>
    <w:p>
      <w:pPr>
        <w:pStyle w:val="ListParagraph"/>
        <w:numPr>
          <w:ilvl w:val="0"/>
          <w:numId w:val="2"/>
        </w:numPr>
        <w:spacing w:after="100" w:line="360"/>
      </w:pPr>
      <w:r>
        <w:rPr>
          <w:rFonts w:ascii="Arial" w:cs="Arial" w:eastAsia="Arial" w:hAnsi="Arial"/>
          <w:sz w:val="24"/>
          <w:szCs w:val="24"/>
        </w:rPr>
        <w:t xml:space="preserve">Assess small molecule tractability: search ChEMBL for existing inhibitors, assess binding pocket druggability from structures</w:t>
      </w:r>
    </w:p>
    <w:p>
      <w:pPr>
        <w:pStyle w:val="ListParagraph"/>
        <w:numPr>
          <w:ilvl w:val="0"/>
          <w:numId w:val="2"/>
        </w:numPr>
        <w:spacing w:after="100" w:line="360"/>
      </w:pPr>
      <w:r>
        <w:rPr>
          <w:rFonts w:ascii="Arial" w:cs="Arial" w:eastAsia="Arial" w:hAnsi="Arial"/>
          <w:sz w:val="24"/>
          <w:szCs w:val="24"/>
        </w:rPr>
        <w:t xml:space="preserve">Evaluate gene therapy options: assess AAV packaging compatibility, tissue specificity requirements, promoter availability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Druggability assessment matrix for all suppressors: target class, TDL level, modulation strategy (inhibitor/activator/replacement)</w:t>
      </w:r>
    </w:p>
    <w:p>
      <w:pPr>
        <w:pStyle w:val="ListParagraph"/>
        <w:numPr>
          <w:ilvl w:val="0"/>
          <w:numId w:val="2"/>
        </w:numPr>
        <w:spacing w:after="100" w:line="360"/>
      </w:pPr>
      <w:r>
        <w:rPr>
          <w:rFonts w:ascii="Arial" w:cs="Arial" w:eastAsia="Arial" w:hAnsi="Arial"/>
          <w:sz w:val="24"/>
          <w:szCs w:val="24"/>
        </w:rPr>
        <w:t xml:space="preserve">Stratification by drug modality tractability: high (kinases, GPCRs, ion channels with small molecules), medium (transcription factors via degraders), low (structural proteins)</w:t>
      </w:r>
    </w:p>
    <w:p>
      <w:pPr>
        <w:pStyle w:val="ListParagraph"/>
        <w:numPr>
          <w:ilvl w:val="0"/>
          <w:numId w:val="2"/>
        </w:numPr>
        <w:spacing w:after="100" w:line="360"/>
      </w:pPr>
      <w:r>
        <w:rPr>
          <w:rFonts w:ascii="Arial" w:cs="Arial" w:eastAsia="Arial" w:hAnsi="Arial"/>
          <w:sz w:val="24"/>
          <w:szCs w:val="24"/>
        </w:rPr>
        <w:t xml:space="preserve">Small molecule inventory: existing inhibitors, tool compounds, and chemical series for top suppressor targets</w:t>
      </w:r>
    </w:p>
    <w:p>
      <w:pPr>
        <w:pStyle w:val="ListParagraph"/>
        <w:numPr>
          <w:ilvl w:val="0"/>
          <w:numId w:val="2"/>
        </w:numPr>
        <w:spacing w:after="100" w:line="360"/>
      </w:pPr>
      <w:r>
        <w:rPr>
          <w:rFonts w:ascii="Arial" w:cs="Arial" w:eastAsia="Arial" w:hAnsi="Arial"/>
          <w:sz w:val="24"/>
          <w:szCs w:val="24"/>
        </w:rPr>
        <w:t xml:space="preserve">Gene therapy feasibility assessment for low small-molecule druggability targets (AAV compatibility, vector capacity, tissue tropism)</w:t>
      </w:r>
    </w:p>
    <w:p>
      <w:pPr>
        <w:pStyle w:val="ListParagraph"/>
        <w:numPr>
          <w:ilvl w:val="0"/>
          <w:numId w:val="2"/>
        </w:numPr>
        <w:spacing w:after="100" w:line="360"/>
      </w:pPr>
      <w:r>
        <w:rPr>
          <w:rFonts w:ascii="Arial" w:cs="Arial" w:eastAsia="Arial" w:hAnsi="Arial"/>
          <w:sz w:val="24"/>
          <w:szCs w:val="24"/>
        </w:rPr>
        <w:t xml:space="preserve">Therapeutic modality recommendations for each suppressor (preferred approach: small molecule &gt; gene therapy &gt; biologics based on druggability)</w:t>
      </w:r>
    </w:p>
    <w:p>
      <w:pPr>
        <w:pStyle w:val="ListParagraph"/>
        <w:numPr>
          <w:ilvl w:val="0"/>
          <w:numId w:val="2"/>
        </w:numPr>
        <w:spacing w:after="100" w:line="360"/>
      </w:pPr>
      <w:r>
        <w:rPr>
          <w:rFonts w:ascii="Arial" w:cs="Arial" w:eastAsia="Arial" w:hAnsi="Arial"/>
          <w:sz w:val="24"/>
          <w:szCs w:val="24"/>
        </w:rPr>
        <w:t xml:space="preserve">Precedent assessment: literature citations, clinical trial history, approved drugs targeting similar suppressors/pathways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Druggability assessment matrix spreadsheet, target class stratification table, modality tractability rankings, small molecule inventory, gene therapy feasibility reports.</w:t>
      </w:r>
    </w:p>
    <w:p>
      <w:pPr>
        <w:pStyle w:val="Heading2"/>
      </w:pPr>
      <w:r>
        <w:rPr>
          <w:rFonts w:ascii="Arial" w:cs="Arial" w:eastAsia="Arial" w:hAnsi="Arial"/>
          <w:b/>
          <w:bCs/>
          <w:sz w:val="28"/>
          <w:szCs w:val="28"/>
        </w:rPr>
        <w:t xml:space="preserve">Stage 4: Blood-Brain Barrier Permeability and CNS Penetration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blood-brain barrier (BBB) penetration feasibility for each suppressor modulation approach and CNS drug delivery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Suppressor gene list from Stage 3 with druggability and modality assessments</w:t>
      </w:r>
    </w:p>
    <w:p>
      <w:pPr>
        <w:pStyle w:val="ListParagraph"/>
        <w:numPr>
          <w:ilvl w:val="0"/>
          <w:numId w:val="2"/>
        </w:numPr>
        <w:spacing w:after="100" w:line="360"/>
      </w:pPr>
      <w:r>
        <w:rPr>
          <w:rFonts w:ascii="Arial" w:cs="Arial" w:eastAsia="Arial" w:hAnsi="Arial"/>
          <w:sz w:val="24"/>
          <w:szCs w:val="24"/>
        </w:rPr>
        <w:t xml:space="preserve">Chemical structures and properties of identified small molecule tool compounds (molecular weight, LogP, polar surface area)</w:t>
      </w:r>
    </w:p>
    <w:p>
      <w:pPr>
        <w:pStyle w:val="ListParagraph"/>
        <w:numPr>
          <w:ilvl w:val="0"/>
          <w:numId w:val="2"/>
        </w:numPr>
        <w:spacing w:after="100" w:line="360"/>
      </w:pPr>
      <w:r>
        <w:rPr>
          <w:rFonts w:ascii="Arial" w:cs="Arial" w:eastAsia="Arial" w:hAnsi="Arial"/>
          <w:sz w:val="24"/>
          <w:szCs w:val="24"/>
        </w:rPr>
        <w:t xml:space="preserve">BBB transporter expression data (P-gp, BCRP, other efflux transporters) relevant to suppressor modulation compounds</w:t>
      </w:r>
    </w:p>
    <w:p>
      <w:pPr>
        <w:pStyle w:val="ListParagraph"/>
        <w:numPr>
          <w:ilvl w:val="0"/>
          <w:numId w:val="2"/>
        </w:numPr>
        <w:spacing w:after="100" w:line="360"/>
      </w:pPr>
      <w:r>
        <w:rPr>
          <w:rFonts w:ascii="Arial" w:cs="Arial" w:eastAsia="Arial" w:hAnsi="Arial"/>
          <w:sz w:val="24"/>
          <w:szCs w:val="24"/>
        </w:rPr>
        <w:t xml:space="preserve">Gene therapy vector AAV/lentiviral capsid properties and CNS tropism data</w:t>
      </w:r>
    </w:p>
    <w:p>
      <w:pPr>
        <w:pStyle w:val="ListParagraph"/>
        <w:numPr>
          <w:ilvl w:val="0"/>
          <w:numId w:val="2"/>
        </w:numPr>
        <w:spacing w:after="100" w:line="360"/>
      </w:pPr>
      <w:r>
        <w:rPr>
          <w:rFonts w:ascii="Arial" w:cs="Arial" w:eastAsia="Arial" w:hAnsi="Arial"/>
          <w:sz w:val="24"/>
          <w:szCs w:val="24"/>
        </w:rPr>
        <w:t xml:space="preserve">Protein expression levels in CNS tissues (brain, spinal cord) to assess therapeutic target access and exposure requirements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BBB permeability prediction tools (MDCK-MDR, Caco-2 models, in silico prediction from chemical properties)</w:t>
      </w:r>
    </w:p>
    <w:p>
      <w:pPr>
        <w:pStyle w:val="ListParagraph"/>
        <w:numPr>
          <w:ilvl w:val="0"/>
          <w:numId w:val="2"/>
        </w:numPr>
        <w:spacing w:after="100" w:line="360"/>
      </w:pPr>
      <w:r>
        <w:rPr>
          <w:rFonts w:ascii="Arial" w:cs="Arial" w:eastAsia="Arial" w:hAnsi="Arial"/>
          <w:sz w:val="24"/>
          <w:szCs w:val="24"/>
        </w:rPr>
        <w:t xml:space="preserve">CNS drug-likeness assessment (Ertl BBB score, Lead-like property filters for brain-penetrating drugs)</w:t>
      </w:r>
    </w:p>
    <w:p>
      <w:pPr>
        <w:pStyle w:val="ListParagraph"/>
        <w:numPr>
          <w:ilvl w:val="0"/>
          <w:numId w:val="2"/>
        </w:numPr>
        <w:spacing w:after="100" w:line="360"/>
      </w:pPr>
      <w:r>
        <w:rPr>
          <w:rFonts w:ascii="Arial" w:cs="Arial" w:eastAsia="Arial" w:hAnsi="Arial"/>
          <w:sz w:val="24"/>
          <w:szCs w:val="24"/>
        </w:rPr>
        <w:t xml:space="preserve">BBB transporter liability assessment (P-gp, BCRP substrate predictions; efflux risk scoring)</w:t>
      </w:r>
    </w:p>
    <w:p>
      <w:pPr>
        <w:pStyle w:val="ListParagraph"/>
        <w:numPr>
          <w:ilvl w:val="0"/>
          <w:numId w:val="2"/>
        </w:numPr>
        <w:spacing w:after="100" w:line="360"/>
      </w:pPr>
      <w:r>
        <w:rPr>
          <w:rFonts w:ascii="Arial" w:cs="Arial" w:eastAsia="Arial" w:hAnsi="Arial"/>
          <w:sz w:val="24"/>
          <w:szCs w:val="24"/>
        </w:rPr>
        <w:t xml:space="preserve">Gene therapy CNS tropism assessment (AAV serotypes for CNS: AAV5, AAV6, AAV9; lentiviral pseudotyping options)</w:t>
      </w:r>
    </w:p>
    <w:p>
      <w:pPr>
        <w:pStyle w:val="ListParagraph"/>
        <w:numPr>
          <w:ilvl w:val="0"/>
          <w:numId w:val="2"/>
        </w:numPr>
        <w:spacing w:after="100" w:line="360"/>
      </w:pPr>
      <w:r>
        <w:rPr>
          <w:rFonts w:ascii="Arial" w:cs="Arial" w:eastAsia="Arial" w:hAnsi="Arial"/>
          <w:sz w:val="24"/>
          <w:szCs w:val="24"/>
        </w:rPr>
        <w:t xml:space="preserve">Gene expression atlases (Allen Brain Observatory, BRAINEAC) for suppressor gene CNS expression levels</w:t>
      </w:r>
    </w:p>
    <w:p>
      <w:pPr>
        <w:pStyle w:val="ListParagraph"/>
        <w:numPr>
          <w:ilvl w:val="0"/>
          <w:numId w:val="2"/>
        </w:numPr>
        <w:spacing w:after="100" w:line="360"/>
      </w:pPr>
      <w:r>
        <w:rPr>
          <w:rFonts w:ascii="Arial" w:cs="Arial" w:eastAsia="Arial" w:hAnsi="Arial"/>
          <w:sz w:val="24"/>
          <w:szCs w:val="24"/>
        </w:rPr>
        <w:t xml:space="preserve">Engineered BBB-penetrating modality assessment (blood-brain barrier penetrating antibodies, cell-penetrating peptides)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Predict BBB permeability for small molecule tool compounds: assess molecular weight (&lt;400 Da preferred), LogP (1-5 range), TPSA (&lt;75 preferred)</w:t>
      </w:r>
    </w:p>
    <w:p>
      <w:pPr>
        <w:pStyle w:val="ListParagraph"/>
        <w:numPr>
          <w:ilvl w:val="0"/>
          <w:numId w:val="2"/>
        </w:numPr>
        <w:spacing w:after="100" w:line="360"/>
      </w:pPr>
      <w:r>
        <w:rPr>
          <w:rFonts w:ascii="Arial" w:cs="Arial" w:eastAsia="Arial" w:hAnsi="Arial"/>
          <w:sz w:val="24"/>
          <w:szCs w:val="24"/>
        </w:rPr>
        <w:t xml:space="preserve">Identify BBB transporter liabilities: check if compounds are P-gp or BCRP substrates (efflux risk; may require transporter inhibition or modified dosing)</w:t>
      </w:r>
    </w:p>
    <w:p>
      <w:pPr>
        <w:pStyle w:val="ListParagraph"/>
        <w:numPr>
          <w:ilvl w:val="0"/>
          <w:numId w:val="2"/>
        </w:numPr>
        <w:spacing w:after="100" w:line="360"/>
      </w:pPr>
      <w:r>
        <w:rPr>
          <w:rFonts w:ascii="Arial" w:cs="Arial" w:eastAsia="Arial" w:hAnsi="Arial"/>
          <w:sz w:val="24"/>
          <w:szCs w:val="24"/>
        </w:rPr>
        <w:t xml:space="preserve">Assess gene therapy CNS feasibility: identify optimal AAV serotypes for CNS tropism (AAV5/6/9 for systemic, direct brain injection options)</w:t>
      </w:r>
    </w:p>
    <w:p>
      <w:pPr>
        <w:pStyle w:val="ListParagraph"/>
        <w:numPr>
          <w:ilvl w:val="0"/>
          <w:numId w:val="2"/>
        </w:numPr>
        <w:spacing w:after="100" w:line="360"/>
      </w:pPr>
      <w:r>
        <w:rPr>
          <w:rFonts w:ascii="Arial" w:cs="Arial" w:eastAsia="Arial" w:hAnsi="Arial"/>
          <w:sz w:val="24"/>
          <w:szCs w:val="24"/>
        </w:rPr>
        <w:t xml:space="preserve">Evaluate suppressor gene expression in CNS tissues: genes with high brain expression better suited for CNS gene therapy</w:t>
      </w:r>
    </w:p>
    <w:p>
      <w:pPr>
        <w:pStyle w:val="ListParagraph"/>
        <w:numPr>
          <w:ilvl w:val="0"/>
          <w:numId w:val="2"/>
        </w:numPr>
        <w:spacing w:after="100" w:line="360"/>
      </w:pPr>
      <w:r>
        <w:rPr>
          <w:rFonts w:ascii="Arial" w:cs="Arial" w:eastAsia="Arial" w:hAnsi="Arial"/>
          <w:sz w:val="24"/>
          <w:szCs w:val="24"/>
        </w:rPr>
        <w:t xml:space="preserve">Rank BBB feasibility: tier 1 (excellent BBB penetration), tier 2 (moderate penetration, transport inhibition options), tier 3 (poor BBB access, gene therapy only)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BBB permeability assessment for small molecule compounds: drug-likeness scores (Ertl BBB score), transporter liability predictions</w:t>
      </w:r>
    </w:p>
    <w:p>
      <w:pPr>
        <w:pStyle w:val="ListParagraph"/>
        <w:numPr>
          <w:ilvl w:val="0"/>
          <w:numId w:val="2"/>
        </w:numPr>
        <w:spacing w:after="100" w:line="360"/>
      </w:pPr>
      <w:r>
        <w:rPr>
          <w:rFonts w:ascii="Arial" w:cs="Arial" w:eastAsia="Arial" w:hAnsi="Arial"/>
          <w:sz w:val="24"/>
          <w:szCs w:val="24"/>
        </w:rPr>
        <w:t xml:space="preserve">BBB feasibility tiers for suppressors by modality: small molecule (high/medium/low BBB penetration), gene therapy (AAV serotype recommendations, CNS tissue tropism)</w:t>
      </w:r>
    </w:p>
    <w:p>
      <w:pPr>
        <w:pStyle w:val="ListParagraph"/>
        <w:numPr>
          <w:ilvl w:val="0"/>
          <w:numId w:val="2"/>
        </w:numPr>
        <w:spacing w:after="100" w:line="360"/>
      </w:pPr>
      <w:r>
        <w:rPr>
          <w:rFonts w:ascii="Arial" w:cs="Arial" w:eastAsia="Arial" w:hAnsi="Arial"/>
          <w:sz w:val="24"/>
          <w:szCs w:val="24"/>
        </w:rPr>
        <w:t xml:space="preserve">Transporter liability summary: P-gp/BCRP substrate risk, recommendations for efflux inhibitors or alternative formulations</w:t>
      </w:r>
    </w:p>
    <w:p>
      <w:pPr>
        <w:pStyle w:val="ListParagraph"/>
        <w:numPr>
          <w:ilvl w:val="0"/>
          <w:numId w:val="2"/>
        </w:numPr>
        <w:spacing w:after="100" w:line="360"/>
      </w:pPr>
      <w:r>
        <w:rPr>
          <w:rFonts w:ascii="Arial" w:cs="Arial" w:eastAsia="Arial" w:hAnsi="Arial"/>
          <w:sz w:val="24"/>
          <w:szCs w:val="24"/>
        </w:rPr>
        <w:t xml:space="preserve">Gene therapy feasibility matrix: AAV serotype suitability, transgene capacity, expected expression levels, tissue-specific promoter options</w:t>
      </w:r>
    </w:p>
    <w:p>
      <w:pPr>
        <w:pStyle w:val="ListParagraph"/>
        <w:numPr>
          <w:ilvl w:val="0"/>
          <w:numId w:val="2"/>
        </w:numPr>
        <w:spacing w:after="100" w:line="360"/>
      </w:pPr>
      <w:r>
        <w:rPr>
          <w:rFonts w:ascii="Arial" w:cs="Arial" w:eastAsia="Arial" w:hAnsi="Arial"/>
          <w:sz w:val="24"/>
          <w:szCs w:val="24"/>
        </w:rPr>
        <w:t xml:space="preserve">CNS suppressor gene expression levels from brain atlases (quantified TPM or expression percentiles in brain vs. other tissues)</w:t>
      </w:r>
    </w:p>
    <w:p>
      <w:pPr>
        <w:pStyle w:val="ListParagraph"/>
        <w:numPr>
          <w:ilvl w:val="0"/>
          <w:numId w:val="2"/>
        </w:numPr>
        <w:spacing w:after="100" w:line="360"/>
      </w:pPr>
      <w:r>
        <w:rPr>
          <w:rFonts w:ascii="Arial" w:cs="Arial" w:eastAsia="Arial" w:hAnsi="Arial"/>
          <w:sz w:val="24"/>
          <w:szCs w:val="24"/>
        </w:rPr>
        <w:t xml:space="preserve">Engineered modality recommendations (BBB-penetrating antibodies, cell-penetrating peptides, exosome delivery) for intractable targets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BBB permeability assessment spreadsheet, BBB feasibility tier rankings, transporter liability reports, gene therapy feasibility matrix, CNS gene expression profiles.</w:t>
      </w:r>
    </w:p>
    <w:p>
      <w:pPr>
        <w:pStyle w:val="Heading2"/>
      </w:pPr>
      <w:r>
        <w:rPr>
          <w:rFonts w:ascii="Arial" w:cs="Arial" w:eastAsia="Arial" w:hAnsi="Arial"/>
          <w:b/>
          <w:bCs/>
          <w:sz w:val="28"/>
          <w:szCs w:val="28"/>
        </w:rPr>
        <w:t xml:space="preserve">Stage 5: Suppressor Compound Development and Delivery Strategy Planning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Develop therapeutic strategies for advancing suppressors through compound development, identifying synthesis pathways and delivery approaches.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BBB-feasible suppressors from Stage 4 with modality recommendations and drug-likeness assessments</w:t>
      </w:r>
    </w:p>
    <w:p>
      <w:pPr>
        <w:pStyle w:val="ListParagraph"/>
        <w:numPr>
          <w:ilvl w:val="0"/>
          <w:numId w:val="2"/>
        </w:numPr>
        <w:spacing w:after="100" w:line="360"/>
      </w:pPr>
      <w:r>
        <w:rPr>
          <w:rFonts w:ascii="Arial" w:cs="Arial" w:eastAsia="Arial" w:hAnsi="Arial"/>
          <w:sz w:val="24"/>
          <w:szCs w:val="24"/>
        </w:rPr>
        <w:t xml:space="preserve">Existing small molecule series and scaffolds for top suppressor targets (from ChEMBL, patent literature)</w:t>
      </w:r>
    </w:p>
    <w:p>
      <w:pPr>
        <w:pStyle w:val="ListParagraph"/>
        <w:numPr>
          <w:ilvl w:val="0"/>
          <w:numId w:val="2"/>
        </w:numPr>
        <w:spacing w:after="100" w:line="360"/>
      </w:pPr>
      <w:r>
        <w:rPr>
          <w:rFonts w:ascii="Arial" w:cs="Arial" w:eastAsia="Arial" w:hAnsi="Arial"/>
          <w:sz w:val="24"/>
          <w:szCs w:val="24"/>
        </w:rPr>
        <w:t xml:space="preserve">Protein structure information and binding pocket characteristics for molecular design guidance</w:t>
      </w:r>
    </w:p>
    <w:p>
      <w:pPr>
        <w:pStyle w:val="ListParagraph"/>
        <w:numPr>
          <w:ilvl w:val="0"/>
          <w:numId w:val="2"/>
        </w:numPr>
        <w:spacing w:after="100" w:line="360"/>
      </w:pPr>
      <w:r>
        <w:rPr>
          <w:rFonts w:ascii="Arial" w:cs="Arial" w:eastAsia="Arial" w:hAnsi="Arial"/>
          <w:sz w:val="24"/>
          <w:szCs w:val="24"/>
        </w:rPr>
        <w:t xml:space="preserve">Gene therapy vector production capacity and manufacturing scale-up requirements</w:t>
      </w:r>
    </w:p>
    <w:p>
      <w:pPr>
        <w:pStyle w:val="ListParagraph"/>
        <w:numPr>
          <w:ilvl w:val="0"/>
          <w:numId w:val="2"/>
        </w:numPr>
        <w:spacing w:after="100" w:line="360"/>
      </w:pPr>
      <w:r>
        <w:rPr>
          <w:rFonts w:ascii="Arial" w:cs="Arial" w:eastAsia="Arial" w:hAnsi="Arial"/>
          <w:sz w:val="24"/>
          <w:szCs w:val="24"/>
        </w:rPr>
        <w:t xml:space="preserve">Regulatory pathway guidance (FDA, EMA) for suppressor therapeutic development by modality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Medicinal chemistry databases (ChEMBL, PubChem, eMolecules) for existing scaffolds and synthetic accessibility assessment</w:t>
      </w:r>
    </w:p>
    <w:p>
      <w:pPr>
        <w:pStyle w:val="ListParagraph"/>
        <w:numPr>
          <w:ilvl w:val="0"/>
          <w:numId w:val="2"/>
        </w:numPr>
        <w:spacing w:after="100" w:line="360"/>
      </w:pPr>
      <w:r>
        <w:rPr>
          <w:rFonts w:ascii="Arial" w:cs="Arial" w:eastAsia="Arial" w:hAnsi="Arial"/>
          <w:sz w:val="24"/>
          <w:szCs w:val="24"/>
        </w:rPr>
        <w:t xml:space="preserve">Synthetic accessibility assessment tools (Retrosynthesis, synthetic route planning software)</w:t>
      </w:r>
    </w:p>
    <w:p>
      <w:pPr>
        <w:pStyle w:val="ListParagraph"/>
        <w:numPr>
          <w:ilvl w:val="0"/>
          <w:numId w:val="2"/>
        </w:numPr>
        <w:spacing w:after="100" w:line="360"/>
      </w:pPr>
      <w:r>
        <w:rPr>
          <w:rFonts w:ascii="Arial" w:cs="Arial" w:eastAsia="Arial" w:hAnsi="Arial"/>
          <w:sz w:val="24"/>
          <w:szCs w:val="24"/>
        </w:rPr>
        <w:t xml:space="preserve">Gene therapy manufacturing guidance (FDA guidance on manufacturing cell and gene therapies)</w:t>
      </w:r>
    </w:p>
    <w:p>
      <w:pPr>
        <w:pStyle w:val="ListParagraph"/>
        <w:numPr>
          <w:ilvl w:val="0"/>
          <w:numId w:val="2"/>
        </w:numPr>
        <w:spacing w:after="100" w:line="360"/>
      </w:pPr>
      <w:r>
        <w:rPr>
          <w:rFonts w:ascii="Arial" w:cs="Arial" w:eastAsia="Arial" w:hAnsi="Arial"/>
          <w:sz w:val="24"/>
          <w:szCs w:val="24"/>
        </w:rPr>
        <w:t xml:space="preserve">Protein engineering tools for antibody and biologics optimization (antibody humanization, affinity maturation)</w:t>
      </w:r>
    </w:p>
    <w:p>
      <w:pPr>
        <w:pStyle w:val="ListParagraph"/>
        <w:numPr>
          <w:ilvl w:val="0"/>
          <w:numId w:val="2"/>
        </w:numPr>
        <w:spacing w:after="100" w:line="360"/>
      </w:pPr>
      <w:r>
        <w:rPr>
          <w:rFonts w:ascii="Arial" w:cs="Arial" w:eastAsia="Arial" w:hAnsi="Arial"/>
          <w:sz w:val="24"/>
          <w:szCs w:val="24"/>
        </w:rPr>
        <w:t xml:space="preserve">Formulation and delivery technology platforms (lipid nanoparticles, viral vectors, peptide carriers)</w:t>
      </w:r>
    </w:p>
    <w:p>
      <w:pPr>
        <w:pStyle w:val="ListParagraph"/>
        <w:numPr>
          <w:ilvl w:val="0"/>
          <w:numId w:val="2"/>
        </w:numPr>
        <w:spacing w:after="100" w:line="360"/>
      </w:pPr>
      <w:r>
        <w:rPr>
          <w:rFonts w:ascii="Arial" w:cs="Arial" w:eastAsia="Arial" w:hAnsi="Arial"/>
          <w:sz w:val="24"/>
          <w:szCs w:val="24"/>
        </w:rPr>
        <w:t xml:space="preserve">Regulatory guidance documents (FDA IND guidance, EMA clinical trial applications) for suppressor therapeutics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top small-molecule suppressors: identify existing chemical series from ChEMBL, outline SAR optimization for improved potency/selectivity/PK</w:t>
      </w:r>
    </w:p>
    <w:p>
      <w:pPr>
        <w:pStyle w:val="ListParagraph"/>
        <w:numPr>
          <w:ilvl w:val="0"/>
          <w:numId w:val="2"/>
        </w:numPr>
        <w:spacing w:after="100" w:line="360"/>
      </w:pPr>
      <w:r>
        <w:rPr>
          <w:rFonts w:ascii="Arial" w:cs="Arial" w:eastAsia="Arial" w:hAnsi="Arial"/>
          <w:sz w:val="24"/>
          <w:szCs w:val="24"/>
        </w:rPr>
        <w:t xml:space="preserve">Assess synthetic feasibility: retrosynthetic analysis, estimated synthesis complexity (1-10 scale), chemistry resource requirements</w:t>
      </w:r>
    </w:p>
    <w:p>
      <w:pPr>
        <w:pStyle w:val="ListParagraph"/>
        <w:numPr>
          <w:ilvl w:val="0"/>
          <w:numId w:val="2"/>
        </w:numPr>
        <w:spacing w:after="100" w:line="360"/>
      </w:pPr>
      <w:r>
        <w:rPr>
          <w:rFonts w:ascii="Arial" w:cs="Arial" w:eastAsia="Arial" w:hAnsi="Arial"/>
          <w:sz w:val="24"/>
          <w:szCs w:val="24"/>
        </w:rPr>
        <w:t xml:space="preserve">Plan formulation and delivery: small molecules (oral preferred; identify formulation/solubilization approaches), biologics (IV/intrathecal strategies)</w:t>
      </w:r>
    </w:p>
    <w:p>
      <w:pPr>
        <w:pStyle w:val="ListParagraph"/>
        <w:numPr>
          <w:ilvl w:val="0"/>
          <w:numId w:val="2"/>
        </w:numPr>
        <w:spacing w:after="100" w:line="360"/>
      </w:pPr>
      <w:r>
        <w:rPr>
          <w:rFonts w:ascii="Arial" w:cs="Arial" w:eastAsia="Arial" w:hAnsi="Arial"/>
          <w:sz w:val="24"/>
          <w:szCs w:val="24"/>
        </w:rPr>
        <w:t xml:space="preserve">Gene therapy development pathway: select AAV serotype and regulatory promoter, outline IND-enabling toxicology and manufacturing studies</w:t>
      </w:r>
    </w:p>
    <w:p>
      <w:pPr>
        <w:pStyle w:val="ListParagraph"/>
        <w:numPr>
          <w:ilvl w:val="0"/>
          <w:numId w:val="2"/>
        </w:numPr>
        <w:spacing w:after="100" w:line="360"/>
      </w:pPr>
      <w:r>
        <w:rPr>
          <w:rFonts w:ascii="Arial" w:cs="Arial" w:eastAsia="Arial" w:hAnsi="Arial"/>
          <w:sz w:val="24"/>
          <w:szCs w:val="24"/>
        </w:rPr>
        <w:t xml:space="preserve">Project development timeline and cost estimates: small molecule (3-4 years to IND, ~$1-2M), gene therapy (2-3 years to IND, ~$2-3M)</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Small molecule development strategy for top 5-10 suppressors: existing scaffolds, SAR optimization outline, synthetic route planning</w:t>
      </w:r>
    </w:p>
    <w:p>
      <w:pPr>
        <w:pStyle w:val="ListParagraph"/>
        <w:numPr>
          <w:ilvl w:val="0"/>
          <w:numId w:val="2"/>
        </w:numPr>
        <w:spacing w:after="100" w:line="360"/>
      </w:pPr>
      <w:r>
        <w:rPr>
          <w:rFonts w:ascii="Arial" w:cs="Arial" w:eastAsia="Arial" w:hAnsi="Arial"/>
          <w:sz w:val="24"/>
          <w:szCs w:val="24"/>
        </w:rPr>
        <w:t xml:space="preserve">Synthetic accessibility assessment and chemistry resource requirements (complexity scores, estimated synthesis time and costs)</w:t>
      </w:r>
    </w:p>
    <w:p>
      <w:pPr>
        <w:pStyle w:val="ListParagraph"/>
        <w:numPr>
          <w:ilvl w:val="0"/>
          <w:numId w:val="2"/>
        </w:numPr>
        <w:spacing w:after="100" w:line="360"/>
      </w:pPr>
      <w:r>
        <w:rPr>
          <w:rFonts w:ascii="Arial" w:cs="Arial" w:eastAsia="Arial" w:hAnsi="Arial"/>
          <w:sz w:val="24"/>
          <w:szCs w:val="24"/>
        </w:rPr>
        <w:t xml:space="preserve">Formulation and delivery strategies: oral formulation recommendations for small molecules, IV/intrathecal approaches for biologics/gene therapy</w:t>
      </w:r>
    </w:p>
    <w:p>
      <w:pPr>
        <w:pStyle w:val="ListParagraph"/>
        <w:numPr>
          <w:ilvl w:val="0"/>
          <w:numId w:val="2"/>
        </w:numPr>
        <w:spacing w:after="100" w:line="360"/>
      </w:pPr>
      <w:r>
        <w:rPr>
          <w:rFonts w:ascii="Arial" w:cs="Arial" w:eastAsia="Arial" w:hAnsi="Arial"/>
          <w:sz w:val="24"/>
          <w:szCs w:val="24"/>
        </w:rPr>
        <w:t xml:space="preserve">Gene therapy development pathway: AAV serotype selection, promoter choices, manufacturing and analytical methods planning</w:t>
      </w:r>
    </w:p>
    <w:p>
      <w:pPr>
        <w:pStyle w:val="ListParagraph"/>
        <w:numPr>
          <w:ilvl w:val="0"/>
          <w:numId w:val="2"/>
        </w:numPr>
        <w:spacing w:after="100" w:line="360"/>
      </w:pPr>
      <w:r>
        <w:rPr>
          <w:rFonts w:ascii="Arial" w:cs="Arial" w:eastAsia="Arial" w:hAnsi="Arial"/>
          <w:sz w:val="24"/>
          <w:szCs w:val="24"/>
        </w:rPr>
        <w:t xml:space="preserve">Development timeline estimates and budget projections for leading suppressors (IND-enabling studies through early clinical development)</w:t>
      </w:r>
    </w:p>
    <w:p>
      <w:pPr>
        <w:pStyle w:val="ListParagraph"/>
        <w:numPr>
          <w:ilvl w:val="0"/>
          <w:numId w:val="2"/>
        </w:numPr>
        <w:spacing w:after="100" w:line="360"/>
      </w:pPr>
      <w:r>
        <w:rPr>
          <w:rFonts w:ascii="Arial" w:cs="Arial" w:eastAsia="Arial" w:hAnsi="Arial"/>
          <w:sz w:val="24"/>
          <w:szCs w:val="24"/>
        </w:rPr>
        <w:t xml:space="preserve">Regulatory pathway guidance: FDA designations (orphan drug, breakthrough therapy), accelerated approval opportunities, biomarker strategies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Development strategy documents for each modality, synthetic feasibility assessments, formulation recommendations, timeline and budget spreadsheets, regulatory pathway guides.</w:t>
      </w:r>
    </w:p>
    <w:p>
      <w:pPr>
        <w:pStyle w:val="Heading2"/>
      </w:pPr>
      <w:r>
        <w:rPr>
          <w:rFonts w:ascii="Arial" w:cs="Arial" w:eastAsia="Arial" w:hAnsi="Arial"/>
          <w:b/>
          <w:bCs/>
          <w:sz w:val="28"/>
          <w:szCs w:val="28"/>
        </w:rPr>
        <w:t xml:space="preserve">Stage 6: Final Suppressor Ranking and Clinical Development Roadmap</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suppressor assessment data into final prioritized rankings and clinical development strategies for advancing therapeutics.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Comprehensive suppressor assessments from Stages 4-5: rescue strength, druggability, BBB feasibility, development strategy</w:t>
      </w:r>
    </w:p>
    <w:p>
      <w:pPr>
        <w:pStyle w:val="ListParagraph"/>
        <w:numPr>
          <w:ilvl w:val="0"/>
          <w:numId w:val="2"/>
        </w:numPr>
        <w:spacing w:after="100" w:line="360"/>
      </w:pPr>
      <w:r>
        <w:rPr>
          <w:rFonts w:ascii="Arial" w:cs="Arial" w:eastAsia="Arial" w:hAnsi="Arial"/>
          <w:sz w:val="24"/>
          <w:szCs w:val="24"/>
        </w:rPr>
        <w:t xml:space="preserve">Commercial opportunity assessment (orphan disease market size, unmet need, disease prevalence, competitive landscape)</w:t>
      </w:r>
    </w:p>
    <w:p>
      <w:pPr>
        <w:pStyle w:val="ListParagraph"/>
        <w:numPr>
          <w:ilvl w:val="0"/>
          <w:numId w:val="2"/>
        </w:numPr>
        <w:spacing w:after="100" w:line="360"/>
      </w:pPr>
      <w:r>
        <w:rPr>
          <w:rFonts w:ascii="Arial" w:cs="Arial" w:eastAsia="Arial" w:hAnsi="Arial"/>
          <w:sz w:val="24"/>
          <w:szCs w:val="24"/>
        </w:rPr>
        <w:t xml:space="preserve">Intellectual property and patent landscape analysis for suppressor therapeutics</w:t>
      </w:r>
    </w:p>
    <w:p>
      <w:pPr>
        <w:pStyle w:val="ListParagraph"/>
        <w:numPr>
          <w:ilvl w:val="0"/>
          <w:numId w:val="2"/>
        </w:numPr>
        <w:spacing w:after="100" w:line="360"/>
      </w:pPr>
      <w:r>
        <w:rPr>
          <w:rFonts w:ascii="Arial" w:cs="Arial" w:eastAsia="Arial" w:hAnsi="Arial"/>
          <w:sz w:val="24"/>
          <w:szCs w:val="24"/>
        </w:rPr>
        <w:t xml:space="preserve">Risk assessments for development feasibility and probability of technical success</w:t>
      </w:r>
    </w:p>
    <w:p>
      <w:pPr>
        <w:pStyle w:val="ListParagraph"/>
        <w:numPr>
          <w:ilvl w:val="0"/>
          <w:numId w:val="2"/>
        </w:numPr>
        <w:spacing w:after="100" w:line="360"/>
      </w:pPr>
      <w:r>
        <w:rPr>
          <w:rFonts w:ascii="Arial" w:cs="Arial" w:eastAsia="Arial" w:hAnsi="Arial"/>
          <w:sz w:val="24"/>
          <w:szCs w:val="24"/>
        </w:rPr>
        <w:t xml:space="preserve">Clinical trial design recommendations and patient population specifications for suppressor-based therapies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Multi-factor ranking frameworks (weighted scoring combining rescue strength, druggability, BBB feasibility, development timeline)</w:t>
      </w:r>
    </w:p>
    <w:p>
      <w:pPr>
        <w:pStyle w:val="ListParagraph"/>
        <w:numPr>
          <w:ilvl w:val="0"/>
          <w:numId w:val="2"/>
        </w:numPr>
        <w:spacing w:after="100" w:line="360"/>
      </w:pPr>
      <w:r>
        <w:rPr>
          <w:rFonts w:ascii="Arial" w:cs="Arial" w:eastAsia="Arial" w:hAnsi="Arial"/>
          <w:sz w:val="24"/>
          <w:szCs w:val="24"/>
        </w:rPr>
        <w:t xml:space="preserve">Portfolio optimization algorithms for program prioritization and development sequencing</w:t>
      </w:r>
    </w:p>
    <w:p>
      <w:pPr>
        <w:pStyle w:val="ListParagraph"/>
        <w:numPr>
          <w:ilvl w:val="0"/>
          <w:numId w:val="2"/>
        </w:numPr>
        <w:spacing w:after="100" w:line="360"/>
      </w:pPr>
      <w:r>
        <w:rPr>
          <w:rFonts w:ascii="Arial" w:cs="Arial" w:eastAsia="Arial" w:hAnsi="Arial"/>
          <w:sz w:val="24"/>
          <w:szCs w:val="24"/>
        </w:rPr>
        <w:t xml:space="preserve">Commercial landscape analysis tools (market research, competitive assessment, unmet need quantification)</w:t>
      </w:r>
    </w:p>
    <w:p>
      <w:pPr>
        <w:pStyle w:val="ListParagraph"/>
        <w:numPr>
          <w:ilvl w:val="0"/>
          <w:numId w:val="2"/>
        </w:numPr>
        <w:spacing w:after="100" w:line="360"/>
      </w:pPr>
      <w:r>
        <w:rPr>
          <w:rFonts w:ascii="Arial" w:cs="Arial" w:eastAsia="Arial" w:hAnsi="Arial"/>
          <w:sz w:val="24"/>
          <w:szCs w:val="24"/>
        </w:rPr>
        <w:t xml:space="preserve">Patent landscape analysis and freedom-to-operate assessment tools</w:t>
      </w:r>
    </w:p>
    <w:p>
      <w:pPr>
        <w:pStyle w:val="ListParagraph"/>
        <w:numPr>
          <w:ilvl w:val="0"/>
          <w:numId w:val="2"/>
        </w:numPr>
        <w:spacing w:after="100" w:line="360"/>
      </w:pPr>
      <w:r>
        <w:rPr>
          <w:rFonts w:ascii="Arial" w:cs="Arial" w:eastAsia="Arial" w:hAnsi="Arial"/>
          <w:sz w:val="24"/>
          <w:szCs w:val="24"/>
        </w:rPr>
        <w:t xml:space="preserve">Clinical trial design templates for suppressor-based rare neurological disease therapies</w:t>
      </w:r>
    </w:p>
    <w:p>
      <w:pPr>
        <w:pStyle w:val="ListParagraph"/>
        <w:numPr>
          <w:ilvl w:val="0"/>
          <w:numId w:val="2"/>
        </w:numPr>
        <w:spacing w:after="100" w:line="360"/>
      </w:pPr>
      <w:r>
        <w:rPr>
          <w:rFonts w:ascii="Arial" w:cs="Arial" w:eastAsia="Arial" w:hAnsi="Arial"/>
          <w:sz w:val="24"/>
          <w:szCs w:val="24"/>
        </w:rPr>
        <w:t xml:space="preserve">Executive summary and visualization tools for stakeholder presentation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final ranked list of top 20-30 suppressors by composite score: rescue strength (40%), druggability (30%), BBB feasibility (20%), development timeline (10%)</w:t>
      </w:r>
    </w:p>
    <w:p>
      <w:pPr>
        <w:pStyle w:val="ListParagraph"/>
        <w:numPr>
          <w:ilvl w:val="0"/>
          <w:numId w:val="2"/>
        </w:numPr>
        <w:spacing w:after="100" w:line="360"/>
      </w:pPr>
      <w:r>
        <w:rPr>
          <w:rFonts w:ascii="Arial" w:cs="Arial" w:eastAsia="Arial" w:hAnsi="Arial"/>
          <w:sz w:val="24"/>
          <w:szCs w:val="24"/>
        </w:rPr>
        <w:t xml:space="preserve">Stratify by development modality: top small-molecule suppressors, top gene therapy candidates, top biologics opportunities</w:t>
      </w:r>
    </w:p>
    <w:p>
      <w:pPr>
        <w:pStyle w:val="ListParagraph"/>
        <w:numPr>
          <w:ilvl w:val="0"/>
          <w:numId w:val="2"/>
        </w:numPr>
        <w:spacing w:after="100" w:line="360"/>
      </w:pPr>
      <w:r>
        <w:rPr>
          <w:rFonts w:ascii="Arial" w:cs="Arial" w:eastAsia="Arial" w:hAnsi="Arial"/>
          <w:sz w:val="24"/>
          <w:szCs w:val="24"/>
        </w:rPr>
        <w:t xml:space="preserve">For each top 5 suppressor: define clinical development strategy (target indication, patient population, primary endpoint, biomarkers)</w:t>
      </w:r>
    </w:p>
    <w:p>
      <w:pPr>
        <w:pStyle w:val="ListParagraph"/>
        <w:numPr>
          <w:ilvl w:val="0"/>
          <w:numId w:val="2"/>
        </w:numPr>
        <w:spacing w:after="100" w:line="360"/>
      </w:pPr>
      <w:r>
        <w:rPr>
          <w:rFonts w:ascii="Arial" w:cs="Arial" w:eastAsia="Arial" w:hAnsi="Arial"/>
          <w:sz w:val="24"/>
          <w:szCs w:val="24"/>
        </w:rPr>
        <w:t xml:space="preserve">Analyze commercial potential: disease prevalence, market size, competitive programs, differentiation opportunities</w:t>
      </w:r>
    </w:p>
    <w:p>
      <w:pPr>
        <w:pStyle w:val="ListParagraph"/>
        <w:numPr>
          <w:ilvl w:val="0"/>
          <w:numId w:val="2"/>
        </w:numPr>
        <w:spacing w:after="100" w:line="360"/>
      </w:pPr>
      <w:r>
        <w:rPr>
          <w:rFonts w:ascii="Arial" w:cs="Arial" w:eastAsia="Arial" w:hAnsi="Arial"/>
          <w:sz w:val="24"/>
          <w:szCs w:val="24"/>
        </w:rPr>
        <w:t xml:space="preserve">Generate executive summary: key suppressors, development pathways, probability of success, investment opportunity assessment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30 suppressors with composite scores integrating rescue strength, druggability, BBB feasibility, and development feasibility</w:t>
      </w:r>
    </w:p>
    <w:p>
      <w:pPr>
        <w:pStyle w:val="ListParagraph"/>
        <w:numPr>
          <w:ilvl w:val="0"/>
          <w:numId w:val="2"/>
        </w:numPr>
        <w:spacing w:after="100" w:line="360"/>
      </w:pPr>
      <w:r>
        <w:rPr>
          <w:rFonts w:ascii="Arial" w:cs="Arial" w:eastAsia="Arial" w:hAnsi="Arial"/>
          <w:sz w:val="24"/>
          <w:szCs w:val="24"/>
        </w:rPr>
        <w:t xml:space="preserve">Suppressor stratification by development modality: small-molecule therapeutic targets, gene therapy candidates, biological therapeutic opportunities</w:t>
      </w:r>
    </w:p>
    <w:p>
      <w:pPr>
        <w:pStyle w:val="ListParagraph"/>
        <w:numPr>
          <w:ilvl w:val="0"/>
          <w:numId w:val="2"/>
        </w:numPr>
        <w:spacing w:after="100" w:line="360"/>
      </w:pPr>
      <w:r>
        <w:rPr>
          <w:rFonts w:ascii="Arial" w:cs="Arial" w:eastAsia="Arial" w:hAnsi="Arial"/>
          <w:sz w:val="24"/>
          <w:szCs w:val="24"/>
        </w:rPr>
        <w:t xml:space="preserve">Detailed development profiles for top 5-10 suppressors: rescue mechanism, target druggability assessment, BBB feasibility strategy, compound development outline</w:t>
      </w:r>
    </w:p>
    <w:p>
      <w:pPr>
        <w:pStyle w:val="ListParagraph"/>
        <w:numPr>
          <w:ilvl w:val="0"/>
          <w:numId w:val="2"/>
        </w:numPr>
        <w:spacing w:after="100" w:line="360"/>
      </w:pPr>
      <w:r>
        <w:rPr>
          <w:rFonts w:ascii="Arial" w:cs="Arial" w:eastAsia="Arial" w:hAnsi="Arial"/>
          <w:sz w:val="24"/>
          <w:szCs w:val="24"/>
        </w:rPr>
        <w:t xml:space="preserve">Clinical development roadmap for leading suppressors: indication targeting, patient population definition, trial design, biomarker strategy, regulatory pathway</w:t>
      </w:r>
    </w:p>
    <w:p>
      <w:pPr>
        <w:pStyle w:val="ListParagraph"/>
        <w:numPr>
          <w:ilvl w:val="0"/>
          <w:numId w:val="2"/>
        </w:numPr>
        <w:spacing w:after="100" w:line="360"/>
      </w:pPr>
      <w:r>
        <w:rPr>
          <w:rFonts w:ascii="Arial" w:cs="Arial" w:eastAsia="Arial" w:hAnsi="Arial"/>
          <w:sz w:val="24"/>
          <w:szCs w:val="24"/>
        </w:rPr>
        <w:t xml:space="preserve">Commercial opportunity assessment and competitive landscape analysis for top suppressors</w:t>
      </w:r>
    </w:p>
    <w:p>
      <w:pPr>
        <w:pStyle w:val="ListParagraph"/>
        <w:numPr>
          <w:ilvl w:val="0"/>
          <w:numId w:val="2"/>
        </w:numPr>
        <w:spacing w:after="100" w:line="360"/>
      </w:pPr>
      <w:r>
        <w:rPr>
          <w:rFonts w:ascii="Arial" w:cs="Arial" w:eastAsia="Arial" w:hAnsi="Arial"/>
          <w:sz w:val="24"/>
          <w:szCs w:val="24"/>
        </w:rPr>
        <w:t xml:space="preserve">Executive summary document with key findings, strategic recommendations, and investment opportunity assessment for suppressor therapeutic development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ranking spreadsheet with composite scores and modality stratification, detailed suppressor profiles, development roadmaps, commercial analysis, executive summary PDF.</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Atlas with single and suppression screen phenotype data for ~18,000 genes</w:t>
      </w:r>
    </w:p>
    <w:p>
      <w:pPr>
        <w:pStyle w:val="ListParagraph"/>
        <w:numPr>
          <w:ilvl w:val="0"/>
          <w:numId w:val="2"/>
        </w:numPr>
        <w:spacing w:after="100" w:line="360"/>
      </w:pPr>
      <w:r>
        <w:rPr>
          <w:rFonts w:ascii="Arial" w:cs="Arial" w:eastAsia="Arial" w:hAnsi="Arial"/>
          <w:sz w:val="24"/>
          <w:szCs w:val="24"/>
        </w:rPr>
        <w:t xml:space="preserve">Disease mutation databases (ClinVar, gnomAD, dbSNP) with functional annotation and clinical significance assessment</w:t>
      </w:r>
    </w:p>
    <w:p>
      <w:pPr>
        <w:pStyle w:val="ListParagraph"/>
        <w:numPr>
          <w:ilvl w:val="0"/>
          <w:numId w:val="2"/>
        </w:numPr>
        <w:spacing w:after="100" w:line="360"/>
      </w:pPr>
      <w:r>
        <w:rPr>
          <w:rFonts w:ascii="Arial" w:cs="Arial" w:eastAsia="Arial" w:hAnsi="Arial"/>
          <w:sz w:val="24"/>
          <w:szCs w:val="24"/>
        </w:rPr>
        <w:t xml:space="preserve">CRISPR hit calling algorithms (MAGeCK, BAGEL, RANKS) with false discovery rate control</w:t>
      </w:r>
    </w:p>
    <w:p>
      <w:pPr>
        <w:pStyle w:val="ListParagraph"/>
        <w:numPr>
          <w:ilvl w:val="0"/>
          <w:numId w:val="2"/>
        </w:numPr>
        <w:spacing w:after="100" w:line="360"/>
      </w:pPr>
      <w:r>
        <w:rPr>
          <w:rFonts w:ascii="Arial" w:cs="Arial" w:eastAsia="Arial" w:hAnsi="Arial"/>
          <w:sz w:val="24"/>
          <w:szCs w:val="24"/>
        </w:rPr>
        <w:t xml:space="preserve">Genetic interaction and protein interaction databases (STRING, BioGrid, SynLethDB, DRYGIN) for suppressor mechanism prediction</w:t>
      </w:r>
    </w:p>
    <w:p>
      <w:pPr>
        <w:pStyle w:val="ListParagraph"/>
        <w:numPr>
          <w:ilvl w:val="0"/>
          <w:numId w:val="2"/>
        </w:numPr>
        <w:spacing w:after="100" w:line="360"/>
      </w:pPr>
      <w:r>
        <w:rPr>
          <w:rFonts w:ascii="Arial" w:cs="Arial" w:eastAsia="Arial" w:hAnsi="Arial"/>
          <w:sz w:val="24"/>
          <w:szCs w:val="24"/>
        </w:rPr>
        <w:t xml:space="preserve">Druggability assessment tools (OpenTargets, TDL database, CanSAR, DGIdb)</w:t>
      </w:r>
    </w:p>
    <w:p>
      <w:pPr>
        <w:pStyle w:val="ListParagraph"/>
        <w:numPr>
          <w:ilvl w:val="0"/>
          <w:numId w:val="2"/>
        </w:numPr>
        <w:spacing w:after="100" w:line="360"/>
      </w:pPr>
      <w:r>
        <w:rPr>
          <w:rFonts w:ascii="Arial" w:cs="Arial" w:eastAsia="Arial" w:hAnsi="Arial"/>
          <w:sz w:val="24"/>
          <w:szCs w:val="24"/>
        </w:rPr>
        <w:t xml:space="preserve">Chemical structure and small molecule databases (ChEMBL, PubChem, eMolecules) with molecular property calculators</w:t>
      </w:r>
    </w:p>
    <w:p>
      <w:pPr>
        <w:pStyle w:val="ListParagraph"/>
        <w:numPr>
          <w:ilvl w:val="0"/>
          <w:numId w:val="2"/>
        </w:numPr>
        <w:spacing w:after="100" w:line="360"/>
      </w:pPr>
      <w:r>
        <w:rPr>
          <w:rFonts w:ascii="Arial" w:cs="Arial" w:eastAsia="Arial" w:hAnsi="Arial"/>
          <w:sz w:val="24"/>
          <w:szCs w:val="24"/>
        </w:rPr>
        <w:t xml:space="preserve">BBB permeability prediction tools (MDCK-MDR models, Caco-2 assays, computational prediction from chemical properties)</w:t>
      </w:r>
    </w:p>
    <w:p>
      <w:pPr>
        <w:pStyle w:val="ListParagraph"/>
        <w:numPr>
          <w:ilvl w:val="0"/>
          <w:numId w:val="2"/>
        </w:numPr>
        <w:spacing w:after="100" w:line="360"/>
      </w:pPr>
      <w:r>
        <w:rPr>
          <w:rFonts w:ascii="Arial" w:cs="Arial" w:eastAsia="Arial" w:hAnsi="Arial"/>
          <w:sz w:val="24"/>
          <w:szCs w:val="24"/>
        </w:rPr>
        <w:t xml:space="preserve">CNS drug-likeness assessment tools (Ertl BBB score, Lead-like property filters) and transporter liability prediction</w:t>
      </w:r>
    </w:p>
    <w:p>
      <w:pPr>
        <w:pStyle w:val="ListParagraph"/>
        <w:numPr>
          <w:ilvl w:val="0"/>
          <w:numId w:val="2"/>
        </w:numPr>
        <w:spacing w:after="100" w:line="360"/>
      </w:pPr>
      <w:r>
        <w:rPr>
          <w:rFonts w:ascii="Arial" w:cs="Arial" w:eastAsia="Arial" w:hAnsi="Arial"/>
          <w:sz w:val="24"/>
          <w:szCs w:val="24"/>
        </w:rPr>
        <w:t xml:space="preserve">Gene therapy manufacturing and feasibility assessment resources (AAV/lentiviral vector specifications, promoter libraries, serotype databases)</w:t>
      </w:r>
    </w:p>
    <w:p>
      <w:pPr>
        <w:pStyle w:val="ListParagraph"/>
        <w:numPr>
          <w:ilvl w:val="0"/>
          <w:numId w:val="2"/>
        </w:numPr>
        <w:spacing w:after="100" w:line="360"/>
      </w:pPr>
      <w:r>
        <w:rPr>
          <w:rFonts w:ascii="Arial" w:cs="Arial" w:eastAsia="Arial" w:hAnsi="Arial"/>
          <w:sz w:val="24"/>
          <w:szCs w:val="24"/>
        </w:rPr>
        <w:t xml:space="preserve">Gene expression atlases (Allen Brain Observatory, BRAINEAC, GTEx) for CNS expression profiling</w:t>
      </w:r>
    </w:p>
    <w:p>
      <w:pPr>
        <w:pStyle w:val="ListParagraph"/>
        <w:numPr>
          <w:ilvl w:val="0"/>
          <w:numId w:val="2"/>
        </w:numPr>
        <w:spacing w:after="100" w:line="360"/>
      </w:pPr>
      <w:r>
        <w:rPr>
          <w:rFonts w:ascii="Arial" w:cs="Arial" w:eastAsia="Arial" w:hAnsi="Arial"/>
          <w:sz w:val="24"/>
          <w:szCs w:val="24"/>
        </w:rPr>
        <w:t xml:space="preserve">Patent landscape analysis tools (USPTO, WIPO, espacenet) and freedom-to-operate assessment platforms</w:t>
      </w:r>
    </w:p>
    <w:p>
      <w:pPr>
        <w:pStyle w:val="ListParagraph"/>
        <w:numPr>
          <w:ilvl w:val="0"/>
          <w:numId w:val="2"/>
        </w:numPr>
        <w:spacing w:after="100" w:line="360"/>
      </w:pPr>
      <w:r>
        <w:rPr>
          <w:rFonts w:ascii="Arial" w:cs="Arial" w:eastAsia="Arial" w:hAnsi="Arial"/>
          <w:sz w:val="24"/>
          <w:szCs w:val="24"/>
        </w:rPr>
        <w:t xml:space="preserve">Medicinal chemistry tools (retrosynthesis software, synthetic accessibility assessment, ChemRxiv for synthetic routes)</w:t>
      </w:r>
    </w:p>
    <w:p>
      <w:pPr>
        <w:pStyle w:val="ListParagraph"/>
        <w:numPr>
          <w:ilvl w:val="0"/>
          <w:numId w:val="2"/>
        </w:numPr>
        <w:spacing w:after="100" w:line="360"/>
      </w:pPr>
      <w:r>
        <w:rPr>
          <w:rFonts w:ascii="Arial" w:cs="Arial" w:eastAsia="Arial" w:hAnsi="Arial"/>
          <w:sz w:val="24"/>
          <w:szCs w:val="24"/>
        </w:rPr>
        <w:t xml:space="preserve">Regulatory guidance documents (FDA IND guidance, EMA clinical trial applications, gene therapy-specific guidance)</w:t>
      </w:r>
    </w:p>
    <w:p>
      <w:pPr>
        <w:pStyle w:val="ListParagraph"/>
        <w:numPr>
          <w:ilvl w:val="0"/>
          <w:numId w:val="2"/>
        </w:numPr>
        <w:spacing w:after="100" w:line="360"/>
      </w:pPr>
      <w:r>
        <w:rPr>
          <w:rFonts w:ascii="Arial" w:cs="Arial" w:eastAsia="Arial" w:hAnsi="Arial"/>
          <w:sz w:val="24"/>
          <w:szCs w:val="24"/>
        </w:rPr>
        <w:t xml:space="preserve">Clinical trial design tools and patient registry databases for rare genetic neurological disorders</w:t>
      </w:r>
    </w:p>
    <w:p>
      <w:pPr>
        <w:pStyle w:val="ListParagraph"/>
        <w:numPr>
          <w:ilvl w:val="0"/>
          <w:numId w:val="2"/>
        </w:numPr>
        <w:spacing w:after="100" w:line="360"/>
      </w:pPr>
      <w:r>
        <w:rPr>
          <w:rFonts w:ascii="Arial" w:cs="Arial" w:eastAsia="Arial" w:hAnsi="Arial"/>
          <w:sz w:val="24"/>
          <w:szCs w:val="24"/>
        </w:rPr>
        <w:t xml:space="preserve">Multi-factor ranking frameworks and portfolio optimization algorithms for suppressor program prioritization</w:t>
      </w:r>
    </w:p>
    <w:p>
      <w:pPr>
        <w:pStyle w:val="ListParagraph"/>
        <w:numPr>
          <w:ilvl w:val="0"/>
          <w:numId w:val="2"/>
        </w:numPr>
        <w:spacing w:after="100" w:line="360"/>
      </w:pPr>
      <w:r>
        <w:rPr>
          <w:rFonts w:ascii="Arial" w:cs="Arial" w:eastAsia="Arial" w:hAnsi="Arial"/>
          <w:sz w:val="24"/>
          <w:szCs w:val="24"/>
        </w:rPr>
        <w:t xml:space="preserve">Commercial intelligence and market research platforms for orphan disease opportunity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2026-03-04T17:17:13.601Z</dcterms:created>
  <dcterms:modified xsi:type="dcterms:W3CDTF">2026-03-04T17:17:13.601Z</dcterms:modified>
</cp:coreProperties>
</file>

<file path=docProps/custom.xml><?xml version="1.0" encoding="utf-8"?>
<Properties xmlns="http://schemas.openxmlformats.org/officeDocument/2006/custom-properties" xmlns:vt="http://schemas.openxmlformats.org/officeDocument/2006/docPropsVTypes"/>
</file>