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Multi-Disease Applicability Through Embedding Similarity</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small molecules with multi-disease applicability based on embedding similarity.</w:t>
      </w:r>
    </w:p>
    <w:p>
      <w:pPr>
        <w:spacing w:after="200" w:line="360"/>
      </w:pPr>
      <w:r>
        <w:rPr>
          <w:rFonts w:ascii="Arial" w:cs="Arial" w:eastAsia="Arial" w:hAnsi="Arial"/>
          <w:sz w:val="24"/>
          <w:szCs w:val="24"/>
        </w:rPr>
        <w:t xml:space="preserve">This pipeline identifies small molecules with broader neuroscience applicability by leveraging electrophysiological feature embedding spaces derived from Quiver's CRISPR atlas. Single-disease drug development faces narrow patient populations and high failure rates in late-stage trials; compounds with preserved efficacy across multiple disease models offer expanded market potential and de-risked development. The pipeline embeds both CRISPR perturbation phenotypes and compound responses into unified electrophysiological feature spaces, then identifies compounds whose phenotypic signatures show similarity to multiple disease rescue profiles, suggesting multi-disease therapeutic potential.</w:t>
      </w:r>
    </w:p>
    <w:p>
      <w:pPr>
        <w:spacing w:after="200" w:line="360"/>
      </w:pPr>
      <w:r>
        <w:rPr>
          <w:rFonts w:ascii="Arial" w:cs="Arial" w:eastAsia="Arial" w:hAnsi="Arial"/>
          <w:sz w:val="24"/>
          <w:szCs w:val="24"/>
        </w:rPr>
        <w:t xml:space="preserve">The pipeline leverages representation learning and transfer learning approaches to identify compounds with phenotypes matching rescue signatures across neurodevelopmental and neuropsychiatric conditions. EP feature embeddings capture fundamental cellular dysfunction patterns (E/I balance, synaptic strength, network synchronization) that are shared across diverse disorders. Compounds whose activity signatures cluster with multiple disease rescue phenotypes are prioritized as having multi-disease potential. Final outputs are ranked compounds stratified by breadth of disease applicability and predicted clinical potential across CNS indications.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multi-disease compound applicability pipeline systematically maps the compound and disease phenotype landscapes using learned electrophysiological embeddings. The workflow begins by constructing unified EP feature embedding spaces from Quiver CRISPR atlas data, learns disease-specific rescue phenotype representations (disease "signatures"), then evaluates compound responses against all disease signatures to identify those with multi-disease activity. Transfer learning is applied to predict compound efficacy in untested disease models based on phenotype similarity to known rescue profiles.</w:t>
      </w:r>
    </w:p>
    <w:p>
      <w:pPr>
        <w:spacing w:after="200" w:line="360"/>
      </w:pPr>
      <w:r>
        <w:rPr>
          <w:rFonts w:ascii="Arial" w:cs="Arial" w:eastAsia="Arial" w:hAnsi="Arial"/>
          <w:sz w:val="24"/>
          <w:szCs w:val="24"/>
        </w:rPr>
        <w:t xml:space="preserve">Embedding approaches include autoencoders for dimensionality reduction of 500+ EP features, attention mechanisms highlighting disease-critical features, and metric learning for disease similarity ranking. Compounds are prioritized by: (1) breadth of disease applicability (number of diseases with similar phenotypes), (2) strength of similarity to each disease signature, (3) predicted efficacy based on transfer learning models, and (4) CNS pharmacokinetics and BBB penetration. The final output is a ranked compound list indicating predicted multi-disease utility, enabling prioritization for broader clinical development programs.</w:t>
      </w:r>
    </w:p>
    <w:p>
      <w:pPr>
        <w:pStyle w:val="Heading2"/>
      </w:pPr>
      <w:r>
        <w:rPr>
          <w:rFonts w:ascii="Arial" w:cs="Arial" w:eastAsia="Arial" w:hAnsi="Arial"/>
          <w:b/>
          <w:bCs/>
          <w:sz w:val="28"/>
          <w:szCs w:val="28"/>
        </w:rPr>
        <w:t xml:space="preserve">Stage 1: Disease-Specific Phenotype Signature Definition and Embedding Construction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disease-specific electrophysiological rescue signatures and construct unified embedding spaces capturing cellular dysfunction and rescue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CRISPR atlas complete perturbation phenotype dataset (all ~18,000 genes × 500+ EP features)</w:t>
      </w:r>
    </w:p>
    <w:p>
      <w:pPr>
        <w:pStyle w:val="ListParagraph"/>
        <w:numPr>
          <w:ilvl w:val="0"/>
          <w:numId w:val="2"/>
        </w:numPr>
        <w:spacing w:after="100" w:line="360"/>
      </w:pPr>
      <w:r>
        <w:rPr>
          <w:rFonts w:ascii="Arial" w:cs="Arial" w:eastAsia="Arial" w:hAnsi="Arial"/>
          <w:sz w:val="24"/>
          <w:szCs w:val="24"/>
        </w:rPr>
        <w:t xml:space="preserve">Disease-annotated CRISPR perturbations: genes dysregulated in epilepsy, ASD, schizophrenia, depression, Alzheimer's disease, Parkinson's disease</w:t>
      </w:r>
    </w:p>
    <w:p>
      <w:pPr>
        <w:pStyle w:val="ListParagraph"/>
        <w:numPr>
          <w:ilvl w:val="0"/>
          <w:numId w:val="2"/>
        </w:numPr>
        <w:spacing w:after="100" w:line="360"/>
      </w:pPr>
      <w:r>
        <w:rPr>
          <w:rFonts w:ascii="Arial" w:cs="Arial" w:eastAsia="Arial" w:hAnsi="Arial"/>
          <w:sz w:val="24"/>
          <w:szCs w:val="24"/>
        </w:rPr>
        <w:t xml:space="preserve">Patient-derived organoid phenotypes and animal disease model data for multiple CNS conditions</w:t>
      </w:r>
    </w:p>
    <w:p>
      <w:pPr>
        <w:pStyle w:val="ListParagraph"/>
        <w:numPr>
          <w:ilvl w:val="0"/>
          <w:numId w:val="2"/>
        </w:numPr>
        <w:spacing w:after="100" w:line="360"/>
      </w:pPr>
      <w:r>
        <w:rPr>
          <w:rFonts w:ascii="Arial" w:cs="Arial" w:eastAsia="Arial" w:hAnsi="Arial"/>
          <w:sz w:val="24"/>
          <w:szCs w:val="24"/>
        </w:rPr>
        <w:t xml:space="preserve">Compound screening data (available small molecule responses from Quiver or external compound libraries) with EP readouts</w:t>
      </w:r>
    </w:p>
    <w:p>
      <w:pPr>
        <w:pStyle w:val="ListParagraph"/>
        <w:numPr>
          <w:ilvl w:val="0"/>
          <w:numId w:val="2"/>
        </w:numPr>
        <w:spacing w:after="100" w:line="360"/>
      </w:pPr>
      <w:r>
        <w:rPr>
          <w:rFonts w:ascii="Arial" w:cs="Arial" w:eastAsia="Arial" w:hAnsi="Arial"/>
          <w:sz w:val="24"/>
          <w:szCs w:val="24"/>
        </w:rPr>
        <w:t xml:space="preserve">Known rescue genes and targets validated across diseases (from Stages 1-3 of cross-disease convergence pipeline)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Dimensionality reduction algorithms (PCA, t-SNE, UMAP) for visualizing high-dimensional EP feature spaces</w:t>
      </w:r>
    </w:p>
    <w:p>
      <w:pPr>
        <w:pStyle w:val="ListParagraph"/>
        <w:numPr>
          <w:ilvl w:val="0"/>
          <w:numId w:val="2"/>
        </w:numPr>
        <w:spacing w:after="100" w:line="360"/>
      </w:pPr>
      <w:r>
        <w:rPr>
          <w:rFonts w:ascii="Arial" w:cs="Arial" w:eastAsia="Arial" w:hAnsi="Arial"/>
          <w:sz w:val="24"/>
          <w:szCs w:val="24"/>
        </w:rPr>
        <w:t xml:space="preserve">Representation learning frameworks (autoencoders, variational autoencoders) for learning compact disease phenotype embeddings</w:t>
      </w:r>
    </w:p>
    <w:p>
      <w:pPr>
        <w:pStyle w:val="ListParagraph"/>
        <w:numPr>
          <w:ilvl w:val="0"/>
          <w:numId w:val="2"/>
        </w:numPr>
        <w:spacing w:after="100" w:line="360"/>
      </w:pPr>
      <w:r>
        <w:rPr>
          <w:rFonts w:ascii="Arial" w:cs="Arial" w:eastAsia="Arial" w:hAnsi="Arial"/>
          <w:sz w:val="24"/>
          <w:szCs w:val="24"/>
        </w:rPr>
        <w:t xml:space="preserve">Metric learning approaches (siamese networks, triplet loss) for learning disease-aware embedding spaces</w:t>
      </w:r>
    </w:p>
    <w:p>
      <w:pPr>
        <w:pStyle w:val="ListParagraph"/>
        <w:numPr>
          <w:ilvl w:val="0"/>
          <w:numId w:val="2"/>
        </w:numPr>
        <w:spacing w:after="100" w:line="360"/>
      </w:pPr>
      <w:r>
        <w:rPr>
          <w:rFonts w:ascii="Arial" w:cs="Arial" w:eastAsia="Arial" w:hAnsi="Arial"/>
          <w:sz w:val="24"/>
          <w:szCs w:val="24"/>
        </w:rPr>
        <w:t xml:space="preserve">Feature importance and attention mechanisms (SHAP, attention layers) to identify disease-critical EP features</w:t>
      </w:r>
    </w:p>
    <w:p>
      <w:pPr>
        <w:pStyle w:val="ListParagraph"/>
        <w:numPr>
          <w:ilvl w:val="0"/>
          <w:numId w:val="2"/>
        </w:numPr>
        <w:spacing w:after="100" w:line="360"/>
      </w:pPr>
      <w:r>
        <w:rPr>
          <w:rFonts w:ascii="Arial" w:cs="Arial" w:eastAsia="Arial" w:hAnsi="Arial"/>
          <w:sz w:val="24"/>
          <w:szCs w:val="24"/>
        </w:rPr>
        <w:t xml:space="preserve">Consensus clustering and phenotype profile aggregation for defining disease rescue signatures</w:t>
      </w:r>
    </w:p>
    <w:p>
      <w:pPr>
        <w:pStyle w:val="ListParagraph"/>
        <w:numPr>
          <w:ilvl w:val="0"/>
          <w:numId w:val="2"/>
        </w:numPr>
        <w:spacing w:after="100" w:line="360"/>
      </w:pPr>
      <w:r>
        <w:rPr>
          <w:rFonts w:ascii="Arial" w:cs="Arial" w:eastAsia="Arial" w:hAnsi="Arial"/>
          <w:sz w:val="24"/>
          <w:szCs w:val="24"/>
        </w:rPr>
        <w:t xml:space="preserve">Visualization tools (matplotlib, plotly) for embedding space and disease signature visualization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Compress ~500 EP features into 50-100 dimensional embedding space using autoencoder trained on all CRISPR perturbations</w:t>
      </w:r>
    </w:p>
    <w:p>
      <w:pPr>
        <w:pStyle w:val="ListParagraph"/>
        <w:numPr>
          <w:ilvl w:val="0"/>
          <w:numId w:val="2"/>
        </w:numPr>
        <w:spacing w:after="100" w:line="360"/>
      </w:pPr>
      <w:r>
        <w:rPr>
          <w:rFonts w:ascii="Arial" w:cs="Arial" w:eastAsia="Arial" w:hAnsi="Arial"/>
          <w:sz w:val="24"/>
          <w:szCs w:val="24"/>
        </w:rPr>
        <w:t xml:space="preserve">Define disease-specific rescue signatures: centroid of CRISPR perturbations that rescue key disease phenotypes for each disorder</w:t>
      </w:r>
    </w:p>
    <w:p>
      <w:pPr>
        <w:pStyle w:val="ListParagraph"/>
        <w:numPr>
          <w:ilvl w:val="0"/>
          <w:numId w:val="2"/>
        </w:numPr>
        <w:spacing w:after="100" w:line="360"/>
      </w:pPr>
      <w:r>
        <w:rPr>
          <w:rFonts w:ascii="Arial" w:cs="Arial" w:eastAsia="Arial" w:hAnsi="Arial"/>
          <w:sz w:val="24"/>
          <w:szCs w:val="24"/>
        </w:rPr>
        <w:t xml:space="preserve">Identify disease-critical features: use attention mechanisms to determine which of 500 EP features are most important for each disease rescue</w:t>
      </w:r>
    </w:p>
    <w:p>
      <w:pPr>
        <w:pStyle w:val="ListParagraph"/>
        <w:numPr>
          <w:ilvl w:val="0"/>
          <w:numId w:val="2"/>
        </w:numPr>
        <w:spacing w:after="100" w:line="360"/>
      </w:pPr>
      <w:r>
        <w:rPr>
          <w:rFonts w:ascii="Arial" w:cs="Arial" w:eastAsia="Arial" w:hAnsi="Arial"/>
          <w:sz w:val="24"/>
          <w:szCs w:val="24"/>
        </w:rPr>
        <w:t xml:space="preserve">Generate disease embeddings using metric learning: learn embedding space where rescue phenotypes cluster by disease, non-rescue phenotypes far apart</w:t>
      </w:r>
    </w:p>
    <w:p>
      <w:pPr>
        <w:pStyle w:val="ListParagraph"/>
        <w:numPr>
          <w:ilvl w:val="0"/>
          <w:numId w:val="2"/>
        </w:numPr>
        <w:spacing w:after="100" w:line="360"/>
      </w:pPr>
      <w:r>
        <w:rPr>
          <w:rFonts w:ascii="Arial" w:cs="Arial" w:eastAsia="Arial" w:hAnsi="Arial"/>
          <w:sz w:val="24"/>
          <w:szCs w:val="24"/>
        </w:rPr>
        <w:t xml:space="preserve">Visualize phenotype landscape: t-SNE/UMAP plot showing diseases, rescue targets, and compound responses in shared embedding space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Unified EP feature embedding space (50-100 dimensions) capturing disease phenotypes and rescue signals</w:t>
      </w:r>
    </w:p>
    <w:p>
      <w:pPr>
        <w:pStyle w:val="ListParagraph"/>
        <w:numPr>
          <w:ilvl w:val="0"/>
          <w:numId w:val="2"/>
        </w:numPr>
        <w:spacing w:after="100" w:line="360"/>
      </w:pPr>
      <w:r>
        <w:rPr>
          <w:rFonts w:ascii="Arial" w:cs="Arial" w:eastAsia="Arial" w:hAnsi="Arial"/>
          <w:sz w:val="24"/>
          <w:szCs w:val="24"/>
        </w:rPr>
        <w:t xml:space="preserve">Disease-specific rescue signature vectors for each CNS condition (epilepsy, ASD, schizophrenia, depression, Alzheimer's, Parkinson's)</w:t>
      </w:r>
    </w:p>
    <w:p>
      <w:pPr>
        <w:pStyle w:val="ListParagraph"/>
        <w:numPr>
          <w:ilvl w:val="0"/>
          <w:numId w:val="2"/>
        </w:numPr>
        <w:spacing w:after="100" w:line="360"/>
      </w:pPr>
      <w:r>
        <w:rPr>
          <w:rFonts w:ascii="Arial" w:cs="Arial" w:eastAsia="Arial" w:hAnsi="Arial"/>
          <w:sz w:val="24"/>
          <w:szCs w:val="24"/>
        </w:rPr>
        <w:t xml:space="preserve">Disease-critical feature importance rankings (top 10-20 EP features determining rescue for each disorder)</w:t>
      </w:r>
    </w:p>
    <w:p>
      <w:pPr>
        <w:pStyle w:val="ListParagraph"/>
        <w:numPr>
          <w:ilvl w:val="0"/>
          <w:numId w:val="2"/>
        </w:numPr>
        <w:spacing w:after="100" w:line="360"/>
      </w:pPr>
      <w:r>
        <w:rPr>
          <w:rFonts w:ascii="Arial" w:cs="Arial" w:eastAsia="Arial" w:hAnsi="Arial"/>
          <w:sz w:val="24"/>
          <w:szCs w:val="24"/>
        </w:rPr>
        <w:t xml:space="preserve">Embedding space visualizations (t-SNE, UMAP) showing disease phenotype clustering and rescue signal positioning</w:t>
      </w:r>
    </w:p>
    <w:p>
      <w:pPr>
        <w:pStyle w:val="ListParagraph"/>
        <w:numPr>
          <w:ilvl w:val="0"/>
          <w:numId w:val="2"/>
        </w:numPr>
        <w:spacing w:after="100" w:line="360"/>
      </w:pPr>
      <w:r>
        <w:rPr>
          <w:rFonts w:ascii="Arial" w:cs="Arial" w:eastAsia="Arial" w:hAnsi="Arial"/>
          <w:sz w:val="24"/>
          <w:szCs w:val="24"/>
        </w:rPr>
        <w:t xml:space="preserve">Embedding model validation metrics (reconstruction error for autoencoders, metric learning performance, transfer learning feasibility assessment)</w:t>
      </w:r>
    </w:p>
    <w:p>
      <w:pPr>
        <w:pStyle w:val="ListParagraph"/>
        <w:numPr>
          <w:ilvl w:val="0"/>
          <w:numId w:val="2"/>
        </w:numPr>
        <w:spacing w:after="100" w:line="360"/>
      </w:pPr>
      <w:r>
        <w:rPr>
          <w:rFonts w:ascii="Arial" w:cs="Arial" w:eastAsia="Arial" w:hAnsi="Arial"/>
          <w:sz w:val="24"/>
          <w:szCs w:val="24"/>
        </w:rPr>
        <w:t xml:space="preserve">Inter-disease phenotype distance matrix (similarity between disease signatures indicating shared rescue pathways and multi-disease potential)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Learned embedding model files, disease signature vector definitions, feature importance rankings, visualization plots, model validation report.</w:t>
      </w:r>
    </w:p>
    <w:p>
      <w:pPr>
        <w:pStyle w:val="Heading2"/>
      </w:pPr>
      <w:r>
        <w:rPr>
          <w:rFonts w:ascii="Arial" w:cs="Arial" w:eastAsia="Arial" w:hAnsi="Arial"/>
          <w:b/>
          <w:bCs/>
          <w:sz w:val="28"/>
          <w:szCs w:val="28"/>
        </w:rPr>
        <w:t xml:space="preserve">Stage 2: Compound Response Embedding and Multi-Disease Similarity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Embed compound responses into learned phenotype spaces and score similarity to multi-disease rescue signatures.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Learned embedding space and disease rescue signatures from Stage 1</w:t>
      </w:r>
    </w:p>
    <w:p>
      <w:pPr>
        <w:pStyle w:val="ListParagraph"/>
        <w:numPr>
          <w:ilvl w:val="0"/>
          <w:numId w:val="2"/>
        </w:numPr>
        <w:spacing w:after="100" w:line="360"/>
      </w:pPr>
      <w:r>
        <w:rPr>
          <w:rFonts w:ascii="Arial" w:cs="Arial" w:eastAsia="Arial" w:hAnsi="Arial"/>
          <w:sz w:val="24"/>
          <w:szCs w:val="24"/>
        </w:rPr>
        <w:t xml:space="preserve">Compound response phenotype data: EP measurements for small molecules tested in disease-relevant neural systems</w:t>
      </w:r>
    </w:p>
    <w:p>
      <w:pPr>
        <w:pStyle w:val="ListParagraph"/>
        <w:numPr>
          <w:ilvl w:val="0"/>
          <w:numId w:val="2"/>
        </w:numPr>
        <w:spacing w:after="100" w:line="360"/>
      </w:pPr>
      <w:r>
        <w:rPr>
          <w:rFonts w:ascii="Arial" w:cs="Arial" w:eastAsia="Arial" w:hAnsi="Arial"/>
          <w:sz w:val="24"/>
          <w:szCs w:val="24"/>
        </w:rPr>
        <w:t xml:space="preserve">Available small molecule libraries: screening compounds, FDA-approved CNS drugs, investigational agents</w:t>
      </w:r>
    </w:p>
    <w:p>
      <w:pPr>
        <w:pStyle w:val="ListParagraph"/>
        <w:numPr>
          <w:ilvl w:val="0"/>
          <w:numId w:val="2"/>
        </w:numPr>
        <w:spacing w:after="100" w:line="360"/>
      </w:pPr>
      <w:r>
        <w:rPr>
          <w:rFonts w:ascii="Arial" w:cs="Arial" w:eastAsia="Arial" w:hAnsi="Arial"/>
          <w:sz w:val="24"/>
          <w:szCs w:val="24"/>
        </w:rPr>
        <w:t xml:space="preserve">Approved drug characteristics and target information for comparison and validation</w:t>
      </w:r>
    </w:p>
    <w:p>
      <w:pPr>
        <w:pStyle w:val="ListParagraph"/>
        <w:numPr>
          <w:ilvl w:val="0"/>
          <w:numId w:val="2"/>
        </w:numPr>
        <w:spacing w:after="100" w:line="360"/>
      </w:pPr>
      <w:r>
        <w:rPr>
          <w:rFonts w:ascii="Arial" w:cs="Arial" w:eastAsia="Arial" w:hAnsi="Arial"/>
          <w:sz w:val="24"/>
          <w:szCs w:val="24"/>
        </w:rPr>
        <w:t xml:space="preserve">Predicted compound responses via transfer learning models for compounds not directly tested</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Compound response embedding using learned autoencoder (same dimensionality reduction model trained in Stage 1)</w:t>
      </w:r>
    </w:p>
    <w:p>
      <w:pPr>
        <w:pStyle w:val="ListParagraph"/>
        <w:numPr>
          <w:ilvl w:val="0"/>
          <w:numId w:val="2"/>
        </w:numPr>
        <w:spacing w:after="100" w:line="360"/>
      </w:pPr>
      <w:r>
        <w:rPr>
          <w:rFonts w:ascii="Arial" w:cs="Arial" w:eastAsia="Arial" w:hAnsi="Arial"/>
          <w:sz w:val="24"/>
          <w:szCs w:val="24"/>
        </w:rPr>
        <w:t xml:space="preserve">Distance metrics (Euclidean distance, cosine similarity) for comparing compound responses to disease rescue signatures</w:t>
      </w:r>
    </w:p>
    <w:p>
      <w:pPr>
        <w:pStyle w:val="ListParagraph"/>
        <w:numPr>
          <w:ilvl w:val="0"/>
          <w:numId w:val="2"/>
        </w:numPr>
        <w:spacing w:after="100" w:line="360"/>
      </w:pPr>
      <w:r>
        <w:rPr>
          <w:rFonts w:ascii="Arial" w:cs="Arial" w:eastAsia="Arial" w:hAnsi="Arial"/>
          <w:sz w:val="24"/>
          <w:szCs w:val="24"/>
        </w:rPr>
        <w:t xml:space="preserve">Transfer learning models (e.g., neural network trained to predict disease rescue potential from compound phenotypes) for compounds not directly tested</w:t>
      </w:r>
    </w:p>
    <w:p>
      <w:pPr>
        <w:pStyle w:val="ListParagraph"/>
        <w:numPr>
          <w:ilvl w:val="0"/>
          <w:numId w:val="2"/>
        </w:numPr>
        <w:spacing w:after="100" w:line="360"/>
      </w:pPr>
      <w:r>
        <w:rPr>
          <w:rFonts w:ascii="Arial" w:cs="Arial" w:eastAsia="Arial" w:hAnsi="Arial"/>
          <w:sz w:val="24"/>
          <w:szCs w:val="24"/>
        </w:rPr>
        <w:t xml:space="preserve">Small molecule library databases (ChEMBL, PubChem, FDA-approved drug databases) for compound identification</w:t>
      </w:r>
    </w:p>
    <w:p>
      <w:pPr>
        <w:pStyle w:val="ListParagraph"/>
        <w:numPr>
          <w:ilvl w:val="0"/>
          <w:numId w:val="2"/>
        </w:numPr>
        <w:spacing w:after="100" w:line="360"/>
      </w:pPr>
      <w:r>
        <w:rPr>
          <w:rFonts w:ascii="Arial" w:cs="Arial" w:eastAsia="Arial" w:hAnsi="Arial"/>
          <w:sz w:val="24"/>
          <w:szCs w:val="24"/>
        </w:rPr>
        <w:t xml:space="preserve">Statistical scoring frameworks: calculate p-values for compound-disease signature similarity, control for multiple testing</w:t>
      </w:r>
    </w:p>
    <w:p>
      <w:pPr>
        <w:pStyle w:val="ListParagraph"/>
        <w:numPr>
          <w:ilvl w:val="0"/>
          <w:numId w:val="2"/>
        </w:numPr>
        <w:spacing w:after="100" w:line="360"/>
      </w:pPr>
      <w:r>
        <w:rPr>
          <w:rFonts w:ascii="Arial" w:cs="Arial" w:eastAsia="Arial" w:hAnsi="Arial"/>
          <w:sz w:val="24"/>
          <w:szCs w:val="24"/>
        </w:rPr>
        <w:t xml:space="preserve">Visualization tools for compound positioning in embedding space relative to disease rescue signatures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Embed all compound responses into learned phenotype space using Stage 1 autoencoder</w:t>
      </w:r>
    </w:p>
    <w:p>
      <w:pPr>
        <w:pStyle w:val="ListParagraph"/>
        <w:numPr>
          <w:ilvl w:val="0"/>
          <w:numId w:val="2"/>
        </w:numPr>
        <w:spacing w:after="100" w:line="360"/>
      </w:pPr>
      <w:r>
        <w:rPr>
          <w:rFonts w:ascii="Arial" w:cs="Arial" w:eastAsia="Arial" w:hAnsi="Arial"/>
          <w:sz w:val="24"/>
          <w:szCs w:val="24"/>
        </w:rPr>
        <w:t xml:space="preserve">Calculate similarity scores: Euclidean distance from each compound to each disease rescue signature vector</w:t>
      </w:r>
    </w:p>
    <w:p>
      <w:pPr>
        <w:pStyle w:val="ListParagraph"/>
        <w:numPr>
          <w:ilvl w:val="0"/>
          <w:numId w:val="2"/>
        </w:numPr>
        <w:spacing w:after="100" w:line="360"/>
      </w:pPr>
      <w:r>
        <w:rPr>
          <w:rFonts w:ascii="Arial" w:cs="Arial" w:eastAsia="Arial" w:hAnsi="Arial"/>
          <w:sz w:val="24"/>
          <w:szCs w:val="24"/>
        </w:rPr>
        <w:t xml:space="preserve">Score multi-disease applicability: count how many disease signatures each compound is similar to (threshold: top 20% similarity)</w:t>
      </w:r>
    </w:p>
    <w:p>
      <w:pPr>
        <w:pStyle w:val="ListParagraph"/>
        <w:numPr>
          <w:ilvl w:val="0"/>
          <w:numId w:val="2"/>
        </w:numPr>
        <w:spacing w:after="100" w:line="360"/>
      </w:pPr>
      <w:r>
        <w:rPr>
          <w:rFonts w:ascii="Arial" w:cs="Arial" w:eastAsia="Arial" w:hAnsi="Arial"/>
          <w:sz w:val="24"/>
          <w:szCs w:val="24"/>
        </w:rPr>
        <w:t xml:space="preserve">Predict responses for untested compounds: use transfer learning model trained on known compound-disease pairs to predict efficacy</w:t>
      </w:r>
    </w:p>
    <w:p>
      <w:pPr>
        <w:pStyle w:val="ListParagraph"/>
        <w:numPr>
          <w:ilvl w:val="0"/>
          <w:numId w:val="2"/>
        </w:numPr>
        <w:spacing w:after="100" w:line="360"/>
      </w:pPr>
      <w:r>
        <w:rPr>
          <w:rFonts w:ascii="Arial" w:cs="Arial" w:eastAsia="Arial" w:hAnsi="Arial"/>
          <w:sz w:val="24"/>
          <w:szCs w:val="24"/>
        </w:rPr>
        <w:t xml:space="preserve">Identify unexpected multi-disease hits: compounds with strong similarity to multiple disease signatures despite not being designed for multi-disease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Compound-disease similarity matrix (compounds × diseases) quantifying phenotype alignment with rescue signatures</w:t>
      </w:r>
    </w:p>
    <w:p>
      <w:pPr>
        <w:pStyle w:val="ListParagraph"/>
        <w:numPr>
          <w:ilvl w:val="0"/>
          <w:numId w:val="2"/>
        </w:numPr>
        <w:spacing w:after="100" w:line="360"/>
      </w:pPr>
      <w:r>
        <w:rPr>
          <w:rFonts w:ascii="Arial" w:cs="Arial" w:eastAsia="Arial" w:hAnsi="Arial"/>
          <w:sz w:val="24"/>
          <w:szCs w:val="24"/>
        </w:rPr>
        <w:t xml:space="preserve">Multi-disease applicability scores for each compound (0-1 scale, fraction of diseases with rescue-like phenotypes)</w:t>
      </w:r>
    </w:p>
    <w:p>
      <w:pPr>
        <w:pStyle w:val="ListParagraph"/>
        <w:numPr>
          <w:ilvl w:val="0"/>
          <w:numId w:val="2"/>
        </w:numPr>
        <w:spacing w:after="100" w:line="360"/>
      </w:pPr>
      <w:r>
        <w:rPr>
          <w:rFonts w:ascii="Arial" w:cs="Arial" w:eastAsia="Arial" w:hAnsi="Arial"/>
          <w:sz w:val="24"/>
          <w:szCs w:val="24"/>
        </w:rPr>
        <w:t xml:space="preserve">Ranked compound list stratified by breadth of disease applicability (multi-disease candidates vs. single-disease specific)</w:t>
      </w:r>
    </w:p>
    <w:p>
      <w:pPr>
        <w:pStyle w:val="ListParagraph"/>
        <w:numPr>
          <w:ilvl w:val="0"/>
          <w:numId w:val="2"/>
        </w:numPr>
        <w:spacing w:after="100" w:line="360"/>
      </w:pPr>
      <w:r>
        <w:rPr>
          <w:rFonts w:ascii="Arial" w:cs="Arial" w:eastAsia="Arial" w:hAnsi="Arial"/>
          <w:sz w:val="24"/>
          <w:szCs w:val="24"/>
        </w:rPr>
        <w:t xml:space="preserve">Transfer learning predictions for untested compounds with confidence intervals</w:t>
      </w:r>
    </w:p>
    <w:p>
      <w:pPr>
        <w:pStyle w:val="ListParagraph"/>
        <w:numPr>
          <w:ilvl w:val="0"/>
          <w:numId w:val="2"/>
        </w:numPr>
        <w:spacing w:after="100" w:line="360"/>
      </w:pPr>
      <w:r>
        <w:rPr>
          <w:rFonts w:ascii="Arial" w:cs="Arial" w:eastAsia="Arial" w:hAnsi="Arial"/>
          <w:sz w:val="24"/>
          <w:szCs w:val="24"/>
        </w:rPr>
        <w:t xml:space="preserve">Embedding space visualization: compounds positioned relative to disease rescue signatures showing clustering patterns</w:t>
      </w:r>
    </w:p>
    <w:p>
      <w:pPr>
        <w:pStyle w:val="ListParagraph"/>
        <w:numPr>
          <w:ilvl w:val="0"/>
          <w:numId w:val="2"/>
        </w:numPr>
        <w:spacing w:after="100" w:line="360"/>
      </w:pPr>
      <w:r>
        <w:rPr>
          <w:rFonts w:ascii="Arial" w:cs="Arial" w:eastAsia="Arial" w:hAnsi="Arial"/>
          <w:sz w:val="24"/>
          <w:szCs w:val="24"/>
        </w:rPr>
        <w:t xml:space="preserve">Statistical significance assessment: p-values for compound-disease similarity, corrected for multiple testing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Compound-disease similarity matrix (TSV/CSV), multi-disease applicability rankings, transfer learning predictions, embedding visualization plots, statistical significance report.</w:t>
      </w:r>
    </w:p>
    <w:p>
      <w:pPr>
        <w:pStyle w:val="Heading2"/>
      </w:pPr>
      <w:r>
        <w:rPr>
          <w:rFonts w:ascii="Arial" w:cs="Arial" w:eastAsia="Arial" w:hAnsi="Arial"/>
          <w:b/>
          <w:bCs/>
          <w:sz w:val="28"/>
          <w:szCs w:val="28"/>
        </w:rPr>
        <w:t xml:space="preserve">Stage 3: Multi-Disease Phenotype Mechanism Analysis and Target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mechanisms underlying multi-disease phenotype rescue and map compounds to shared target pathways.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Multi-disease compound candidates from Stage 2 with phenotype similarity scores across diseases</w:t>
      </w:r>
    </w:p>
    <w:p>
      <w:pPr>
        <w:pStyle w:val="ListParagraph"/>
        <w:numPr>
          <w:ilvl w:val="0"/>
          <w:numId w:val="2"/>
        </w:numPr>
        <w:spacing w:after="100" w:line="360"/>
      </w:pPr>
      <w:r>
        <w:rPr>
          <w:rFonts w:ascii="Arial" w:cs="Arial" w:eastAsia="Arial" w:hAnsi="Arial"/>
          <w:sz w:val="24"/>
          <w:szCs w:val="24"/>
        </w:rPr>
        <w:t xml:space="preserve">Disease-specific rescue gene networks and convergent targets (from cross-disease convergence pipeline stages)</w:t>
      </w:r>
    </w:p>
    <w:p>
      <w:pPr>
        <w:pStyle w:val="ListParagraph"/>
        <w:numPr>
          <w:ilvl w:val="0"/>
          <w:numId w:val="2"/>
        </w:numPr>
        <w:spacing w:after="100" w:line="360"/>
      </w:pPr>
      <w:r>
        <w:rPr>
          <w:rFonts w:ascii="Arial" w:cs="Arial" w:eastAsia="Arial" w:hAnsi="Arial"/>
          <w:sz w:val="24"/>
          <w:szCs w:val="24"/>
        </w:rPr>
        <w:t xml:space="preserve">Compound target information from public databases and literature</w:t>
      </w:r>
    </w:p>
    <w:p>
      <w:pPr>
        <w:pStyle w:val="ListParagraph"/>
        <w:numPr>
          <w:ilvl w:val="0"/>
          <w:numId w:val="2"/>
        </w:numPr>
        <w:spacing w:after="100" w:line="360"/>
      </w:pPr>
      <w:r>
        <w:rPr>
          <w:rFonts w:ascii="Arial" w:cs="Arial" w:eastAsia="Arial" w:hAnsi="Arial"/>
          <w:sz w:val="24"/>
          <w:szCs w:val="24"/>
        </w:rPr>
        <w:t xml:space="preserve">Disease-critical feature importance rankings (top EP features determining rescue for each disorder)</w:t>
      </w:r>
    </w:p>
    <w:p>
      <w:pPr>
        <w:pStyle w:val="ListParagraph"/>
        <w:numPr>
          <w:ilvl w:val="0"/>
          <w:numId w:val="2"/>
        </w:numPr>
        <w:spacing w:after="100" w:line="360"/>
      </w:pPr>
      <w:r>
        <w:rPr>
          <w:rFonts w:ascii="Arial" w:cs="Arial" w:eastAsia="Arial" w:hAnsi="Arial"/>
          <w:sz w:val="24"/>
          <w:szCs w:val="24"/>
        </w:rPr>
        <w:t xml:space="preserve">Protein interaction and pathway data linking compound targets to rescue phenotype mechanisms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Attention mechanism analysis to identify critical features contributing to multi-disease phenotype rescue</w:t>
      </w:r>
    </w:p>
    <w:p>
      <w:pPr>
        <w:pStyle w:val="ListParagraph"/>
        <w:numPr>
          <w:ilvl w:val="0"/>
          <w:numId w:val="2"/>
        </w:numPr>
        <w:spacing w:after="100" w:line="360"/>
      </w:pPr>
      <w:r>
        <w:rPr>
          <w:rFonts w:ascii="Arial" w:cs="Arial" w:eastAsia="Arial" w:hAnsi="Arial"/>
          <w:sz w:val="24"/>
          <w:szCs w:val="24"/>
        </w:rPr>
        <w:t xml:space="preserve">Compound target prediction tools (SwissTargetPrediction, SEA, DGIdb) for inferring drug targets and mechanisms</w:t>
      </w:r>
    </w:p>
    <w:p>
      <w:pPr>
        <w:pStyle w:val="ListParagraph"/>
        <w:numPr>
          <w:ilvl w:val="0"/>
          <w:numId w:val="2"/>
        </w:numPr>
        <w:spacing w:after="100" w:line="360"/>
      </w:pPr>
      <w:r>
        <w:rPr>
          <w:rFonts w:ascii="Arial" w:cs="Arial" w:eastAsia="Arial" w:hAnsi="Arial"/>
          <w:sz w:val="24"/>
          <w:szCs w:val="24"/>
        </w:rPr>
        <w:t xml:space="preserve">Protein interaction networks (STRING, BioGrid) for mapping compound targets to disease rescue pathways</w:t>
      </w:r>
    </w:p>
    <w:p>
      <w:pPr>
        <w:pStyle w:val="ListParagraph"/>
        <w:numPr>
          <w:ilvl w:val="0"/>
          <w:numId w:val="2"/>
        </w:numPr>
        <w:spacing w:after="100" w:line="360"/>
      </w:pPr>
      <w:r>
        <w:rPr>
          <w:rFonts w:ascii="Arial" w:cs="Arial" w:eastAsia="Arial" w:hAnsi="Arial"/>
          <w:sz w:val="24"/>
          <w:szCs w:val="24"/>
        </w:rPr>
        <w:t xml:space="preserve">Pathway analysis tools (Reactome, KEGG, GO) for characterizing multi-disease rescue mechanisms</w:t>
      </w:r>
    </w:p>
    <w:p>
      <w:pPr>
        <w:pStyle w:val="ListParagraph"/>
        <w:numPr>
          <w:ilvl w:val="0"/>
          <w:numId w:val="2"/>
        </w:numPr>
        <w:spacing w:after="100" w:line="360"/>
      </w:pPr>
      <w:r>
        <w:rPr>
          <w:rFonts w:ascii="Arial" w:cs="Arial" w:eastAsia="Arial" w:hAnsi="Arial"/>
          <w:sz w:val="24"/>
          <w:szCs w:val="24"/>
        </w:rPr>
        <w:t xml:space="preserve">Literature mining and mechanism hypothesis generation tools (SemRep, neural abstractive summaries of PubMed</w:t>
      </w:r>
    </w:p>
    <w:p>
      <w:pPr>
        <w:pStyle w:val="ListParagraph"/>
        <w:numPr>
          <w:ilvl w:val="0"/>
          <w:numId w:val="2"/>
        </w:numPr>
        <w:spacing w:after="100" w:line="360"/>
      </w:pPr>
      <w:r>
        <w:rPr>
          <w:rFonts w:ascii="Arial" w:cs="Arial" w:eastAsia="Arial" w:hAnsi="Arial"/>
          <w:sz w:val="24"/>
          <w:szCs w:val="24"/>
        </w:rPr>
        <w:t xml:space="preserve">Network visualization tools (Cytoscape) for depicting compound-target-pathway-disease relationships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critical EP features: use attention mechanisms to determine which phenotypes (E/I balance, synaptic strength, etc.) are important to each compound's multi-disease effect</w:t>
      </w:r>
    </w:p>
    <w:p>
      <w:pPr>
        <w:pStyle w:val="ListParagraph"/>
        <w:numPr>
          <w:ilvl w:val="0"/>
          <w:numId w:val="2"/>
        </w:numPr>
        <w:spacing w:after="100" w:line="360"/>
      </w:pPr>
      <w:r>
        <w:rPr>
          <w:rFonts w:ascii="Arial" w:cs="Arial" w:eastAsia="Arial" w:hAnsi="Arial"/>
          <w:sz w:val="24"/>
          <w:szCs w:val="24"/>
        </w:rPr>
        <w:t xml:space="preserve">Predict compound targets and mechanisms using target prediction tools; correlate with disease rescue pathway genes</w:t>
      </w:r>
    </w:p>
    <w:p>
      <w:pPr>
        <w:pStyle w:val="ListParagraph"/>
        <w:numPr>
          <w:ilvl w:val="0"/>
          <w:numId w:val="2"/>
        </w:numPr>
        <w:spacing w:after="100" w:line="360"/>
      </w:pPr>
      <w:r>
        <w:rPr>
          <w:rFonts w:ascii="Arial" w:cs="Arial" w:eastAsia="Arial" w:hAnsi="Arial"/>
          <w:sz w:val="24"/>
          <w:szCs w:val="24"/>
        </w:rPr>
        <w:t xml:space="preserve">Map compound targets to convergent multi-disease rescue genes: compounds targeting convergent pathways likely to show multi-disease efficacy</w:t>
      </w:r>
    </w:p>
    <w:p>
      <w:pPr>
        <w:pStyle w:val="ListParagraph"/>
        <w:numPr>
          <w:ilvl w:val="0"/>
          <w:numId w:val="2"/>
        </w:numPr>
        <w:spacing w:after="100" w:line="360"/>
      </w:pPr>
      <w:r>
        <w:rPr>
          <w:rFonts w:ascii="Arial" w:cs="Arial" w:eastAsia="Arial" w:hAnsi="Arial"/>
          <w:sz w:val="24"/>
          <w:szCs w:val="24"/>
        </w:rPr>
        <w:t xml:space="preserve">Generate mechanistic hypotheses: articulate how each multi-disease compound rescues E/I balance, synaptic function, and network dynamics across disorders</w:t>
      </w:r>
    </w:p>
    <w:p>
      <w:pPr>
        <w:pStyle w:val="ListParagraph"/>
        <w:numPr>
          <w:ilvl w:val="0"/>
          <w:numId w:val="2"/>
        </w:numPr>
        <w:spacing w:after="100" w:line="360"/>
      </w:pPr>
      <w:r>
        <w:rPr>
          <w:rFonts w:ascii="Arial" w:cs="Arial" w:eastAsia="Arial" w:hAnsi="Arial"/>
          <w:sz w:val="24"/>
          <w:szCs w:val="24"/>
        </w:rPr>
        <w:t xml:space="preserve">Visualize mechanism networks: Cytoscape diagrams showing compound → target → pathway → disease rescue connections for top multi-disease candidates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Feature importance analysis: top 5-10 EP features contributing to multi-disease rescue for each compound</w:t>
      </w:r>
    </w:p>
    <w:p>
      <w:pPr>
        <w:pStyle w:val="ListParagraph"/>
        <w:numPr>
          <w:ilvl w:val="0"/>
          <w:numId w:val="2"/>
        </w:numPr>
        <w:spacing w:after="100" w:line="360"/>
      </w:pPr>
      <w:r>
        <w:rPr>
          <w:rFonts w:ascii="Arial" w:cs="Arial" w:eastAsia="Arial" w:hAnsi="Arial"/>
          <w:sz w:val="24"/>
          <w:szCs w:val="24"/>
        </w:rPr>
        <w:t xml:space="preserve">Predicted compound targets and mechanism of action for multi-disease candidates</w:t>
      </w:r>
    </w:p>
    <w:p>
      <w:pPr>
        <w:pStyle w:val="ListParagraph"/>
        <w:numPr>
          <w:ilvl w:val="0"/>
          <w:numId w:val="2"/>
        </w:numPr>
        <w:spacing w:after="100" w:line="360"/>
      </w:pPr>
      <w:r>
        <w:rPr>
          <w:rFonts w:ascii="Arial" w:cs="Arial" w:eastAsia="Arial" w:hAnsi="Arial"/>
          <w:sz w:val="24"/>
          <w:szCs w:val="24"/>
        </w:rPr>
        <w:t xml:space="preserve">Target-pathway mapping: connections between compound targets and validated multi-disease rescue gene networks</w:t>
      </w:r>
    </w:p>
    <w:p>
      <w:pPr>
        <w:pStyle w:val="ListParagraph"/>
        <w:numPr>
          <w:ilvl w:val="0"/>
          <w:numId w:val="2"/>
        </w:numPr>
        <w:spacing w:after="100" w:line="360"/>
      </w:pPr>
      <w:r>
        <w:rPr>
          <w:rFonts w:ascii="Arial" w:cs="Arial" w:eastAsia="Arial" w:hAnsi="Arial"/>
          <w:sz w:val="24"/>
          <w:szCs w:val="24"/>
        </w:rPr>
        <w:t xml:space="preserve">Mechanistic pathway diagrams showing how compounds restore E/I balance and synaptic function across multiple disorder contexts</w:t>
      </w:r>
    </w:p>
    <w:p>
      <w:pPr>
        <w:pStyle w:val="ListParagraph"/>
        <w:numPr>
          <w:ilvl w:val="0"/>
          <w:numId w:val="2"/>
        </w:numPr>
        <w:spacing w:after="100" w:line="360"/>
      </w:pPr>
      <w:r>
        <w:rPr>
          <w:rFonts w:ascii="Arial" w:cs="Arial" w:eastAsia="Arial" w:hAnsi="Arial"/>
          <w:sz w:val="24"/>
          <w:szCs w:val="24"/>
        </w:rPr>
        <w:t xml:space="preserve">Comparison: single-disease compounds vs. multi-disease compounds in terms of pathway redundancy and mechanism breadth</w:t>
      </w:r>
    </w:p>
    <w:p>
      <w:pPr>
        <w:pStyle w:val="ListParagraph"/>
        <w:numPr>
          <w:ilvl w:val="0"/>
          <w:numId w:val="2"/>
        </w:numPr>
        <w:spacing w:after="100" w:line="360"/>
      </w:pPr>
      <w:r>
        <w:rPr>
          <w:rFonts w:ascii="Arial" w:cs="Arial" w:eastAsia="Arial" w:hAnsi="Arial"/>
          <w:sz w:val="24"/>
          <w:szCs w:val="24"/>
        </w:rPr>
        <w:t xml:space="preserve">Literature review summary: published precedent for multi-disease applicability of predicted mechanisms (validation in literature)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Feature importance rankings, predicted target tables, pathway diagrams, mechanism network visualizations, literature validation summary.</w:t>
      </w:r>
    </w:p>
    <w:p>
      <w:pPr>
        <w:pStyle w:val="Heading2"/>
      </w:pPr>
      <w:r>
        <w:rPr>
          <w:rFonts w:ascii="Arial" w:cs="Arial" w:eastAsia="Arial" w:hAnsi="Arial"/>
          <w:b/>
          <w:bCs/>
          <w:sz w:val="28"/>
          <w:szCs w:val="28"/>
        </w:rPr>
        <w:t xml:space="preserve">Stage 4: Pharmacokinetics, Safety, and Clinical Feasibility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pharmacokinetics, safety, and clinical trial feasibility for multi-disease compound candidates.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Multi-disease compound candidates from Stage 3 with mechanistic characterization</w:t>
      </w:r>
    </w:p>
    <w:p>
      <w:pPr>
        <w:pStyle w:val="ListParagraph"/>
        <w:numPr>
          <w:ilvl w:val="0"/>
          <w:numId w:val="2"/>
        </w:numPr>
        <w:spacing w:after="100" w:line="360"/>
      </w:pPr>
      <w:r>
        <w:rPr>
          <w:rFonts w:ascii="Arial" w:cs="Arial" w:eastAsia="Arial" w:hAnsi="Arial"/>
          <w:sz w:val="24"/>
          <w:szCs w:val="24"/>
        </w:rPr>
        <w:t xml:space="preserve">Chemical structure and known pharmacology for identified compounds</w:t>
      </w:r>
    </w:p>
    <w:p>
      <w:pPr>
        <w:pStyle w:val="ListParagraph"/>
        <w:numPr>
          <w:ilvl w:val="0"/>
          <w:numId w:val="2"/>
        </w:numPr>
        <w:spacing w:after="100" w:line="360"/>
      </w:pPr>
      <w:r>
        <w:rPr>
          <w:rFonts w:ascii="Arial" w:cs="Arial" w:eastAsia="Arial" w:hAnsi="Arial"/>
          <w:sz w:val="24"/>
          <w:szCs w:val="24"/>
        </w:rPr>
        <w:t xml:space="preserve">Published clinical trial data and safety databases for compounds with clinical experience</w:t>
      </w:r>
    </w:p>
    <w:p>
      <w:pPr>
        <w:pStyle w:val="ListParagraph"/>
        <w:numPr>
          <w:ilvl w:val="0"/>
          <w:numId w:val="2"/>
        </w:numPr>
        <w:spacing w:after="100" w:line="360"/>
      </w:pPr>
      <w:r>
        <w:rPr>
          <w:rFonts w:ascii="Arial" w:cs="Arial" w:eastAsia="Arial" w:hAnsi="Arial"/>
          <w:sz w:val="24"/>
          <w:szCs w:val="24"/>
        </w:rPr>
        <w:t xml:space="preserve">ADME (absorption, distribution, metabolism, excretion) properties and BBB penetration data</w:t>
      </w:r>
    </w:p>
    <w:p>
      <w:pPr>
        <w:pStyle w:val="ListParagraph"/>
        <w:numPr>
          <w:ilvl w:val="0"/>
          <w:numId w:val="2"/>
        </w:numPr>
        <w:spacing w:after="100" w:line="360"/>
      </w:pPr>
      <w:r>
        <w:rPr>
          <w:rFonts w:ascii="Arial" w:cs="Arial" w:eastAsia="Arial" w:hAnsi="Arial"/>
          <w:sz w:val="24"/>
          <w:szCs w:val="24"/>
        </w:rPr>
        <w:t xml:space="preserve">Off-target liability and adverse event risk assessment data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ADME prediction tools (pkCSM, SwissADME) for pharmacokinetic property assessment</w:t>
      </w:r>
    </w:p>
    <w:p>
      <w:pPr>
        <w:pStyle w:val="ListParagraph"/>
        <w:numPr>
          <w:ilvl w:val="0"/>
          <w:numId w:val="2"/>
        </w:numPr>
        <w:spacing w:after="100" w:line="360"/>
      </w:pPr>
      <w:r>
        <w:rPr>
          <w:rFonts w:ascii="Arial" w:cs="Arial" w:eastAsia="Arial" w:hAnsi="Arial"/>
          <w:sz w:val="24"/>
          <w:szCs w:val="24"/>
        </w:rPr>
        <w:t xml:space="preserve">BBB permeability prediction (MDCK-MDR, Caco-2 models, Ertl BBB score) for CNS drug feasibility</w:t>
      </w:r>
    </w:p>
    <w:p>
      <w:pPr>
        <w:pStyle w:val="ListParagraph"/>
        <w:numPr>
          <w:ilvl w:val="0"/>
          <w:numId w:val="2"/>
        </w:numPr>
        <w:spacing w:after="100" w:line="360"/>
      </w:pPr>
      <w:r>
        <w:rPr>
          <w:rFonts w:ascii="Arial" w:cs="Arial" w:eastAsia="Arial" w:hAnsi="Arial"/>
          <w:sz w:val="24"/>
          <w:szCs w:val="24"/>
        </w:rPr>
        <w:t xml:space="preserve">Off-target prediction and toxicity assessment tools (SEA, SwissTargetPrediction, ToxDB)</w:t>
      </w:r>
    </w:p>
    <w:p>
      <w:pPr>
        <w:pStyle w:val="ListParagraph"/>
        <w:numPr>
          <w:ilvl w:val="0"/>
          <w:numId w:val="2"/>
        </w:numPr>
        <w:spacing w:after="100" w:line="360"/>
      </w:pPr>
      <w:r>
        <w:rPr>
          <w:rFonts w:ascii="Arial" w:cs="Arial" w:eastAsia="Arial" w:hAnsi="Arial"/>
          <w:sz w:val="24"/>
          <w:szCs w:val="24"/>
        </w:rPr>
        <w:t xml:space="preserve">FDA Adverse Event Reporting System (FAERS) and clinical trial database queries</w:t>
      </w:r>
    </w:p>
    <w:p>
      <w:pPr>
        <w:pStyle w:val="ListParagraph"/>
        <w:numPr>
          <w:ilvl w:val="0"/>
          <w:numId w:val="2"/>
        </w:numPr>
        <w:spacing w:after="100" w:line="360"/>
      </w:pPr>
      <w:r>
        <w:rPr>
          <w:rFonts w:ascii="Arial" w:cs="Arial" w:eastAsia="Arial" w:hAnsi="Arial"/>
          <w:sz w:val="24"/>
          <w:szCs w:val="24"/>
        </w:rPr>
        <w:t xml:space="preserve">Clinical trial design simulation tools for multi-disease trial planning (adaptive design considerations)</w:t>
      </w:r>
    </w:p>
    <w:p>
      <w:pPr>
        <w:pStyle w:val="ListParagraph"/>
        <w:numPr>
          <w:ilvl w:val="0"/>
          <w:numId w:val="2"/>
        </w:numPr>
        <w:spacing w:after="100" w:line="360"/>
      </w:pPr>
      <w:r>
        <w:rPr>
          <w:rFonts w:ascii="Arial" w:cs="Arial" w:eastAsia="Arial" w:hAnsi="Arial"/>
          <w:sz w:val="24"/>
          <w:szCs w:val="24"/>
        </w:rPr>
        <w:t xml:space="preserve">Biomarker association tools for identifying efficacy-predictive biomarkers in multi-disease populations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Assess ADME properties: oral bioavailability, blood-brain barrier penetration, metabolic stability for multi-disease compounds</w:t>
      </w:r>
    </w:p>
    <w:p>
      <w:pPr>
        <w:pStyle w:val="ListParagraph"/>
        <w:numPr>
          <w:ilvl w:val="0"/>
          <w:numId w:val="2"/>
        </w:numPr>
        <w:spacing w:after="100" w:line="360"/>
      </w:pPr>
      <w:r>
        <w:rPr>
          <w:rFonts w:ascii="Arial" w:cs="Arial" w:eastAsia="Arial" w:hAnsi="Arial"/>
          <w:sz w:val="24"/>
          <w:szCs w:val="24"/>
        </w:rPr>
        <w:t xml:space="preserve">Evaluate safety profile: predicted off-target effects, tissue distribution, drug-drug interaction potential</w:t>
      </w:r>
    </w:p>
    <w:p>
      <w:pPr>
        <w:pStyle w:val="ListParagraph"/>
        <w:numPr>
          <w:ilvl w:val="0"/>
          <w:numId w:val="2"/>
        </w:numPr>
        <w:spacing w:after="100" w:line="360"/>
      </w:pPr>
      <w:r>
        <w:rPr>
          <w:rFonts w:ascii="Arial" w:cs="Arial" w:eastAsia="Arial" w:hAnsi="Arial"/>
          <w:sz w:val="24"/>
          <w:szCs w:val="24"/>
        </w:rPr>
        <w:t xml:space="preserve">Extract clinical trial data for approved compounds: efficacy signals across indications, adverse event patterns, tolerability</w:t>
      </w:r>
    </w:p>
    <w:p>
      <w:pPr>
        <w:pStyle w:val="ListParagraph"/>
        <w:numPr>
          <w:ilvl w:val="0"/>
          <w:numId w:val="2"/>
        </w:numPr>
        <w:spacing w:after="100" w:line="360"/>
      </w:pPr>
      <w:r>
        <w:rPr>
          <w:rFonts w:ascii="Arial" w:cs="Arial" w:eastAsia="Arial" w:hAnsi="Arial"/>
          <w:sz w:val="24"/>
          <w:szCs w:val="24"/>
        </w:rPr>
        <w:t xml:space="preserve">Plan multi-disease clinical trial: consider disease basket design, adaptive enrichment strategies, shared biomarker endpoints</w:t>
      </w:r>
    </w:p>
    <w:p>
      <w:pPr>
        <w:pStyle w:val="ListParagraph"/>
        <w:numPr>
          <w:ilvl w:val="0"/>
          <w:numId w:val="2"/>
        </w:numPr>
        <w:spacing w:after="100" w:line="360"/>
      </w:pPr>
      <w:r>
        <w:rPr>
          <w:rFonts w:ascii="Arial" w:cs="Arial" w:eastAsia="Arial" w:hAnsi="Arial"/>
          <w:sz w:val="24"/>
          <w:szCs w:val="24"/>
        </w:rPr>
        <w:t xml:space="preserve">Identify disease-specific phenotype biomarkers for patient stratification and treatment response prediction in multi-disease populations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ADME and pharmacokinetic assessment for multi-disease candidates (oral bioavailability, BBB penetration, CYP450 metabolism)</w:t>
      </w:r>
    </w:p>
    <w:p>
      <w:pPr>
        <w:pStyle w:val="ListParagraph"/>
        <w:numPr>
          <w:ilvl w:val="0"/>
          <w:numId w:val="2"/>
        </w:numPr>
        <w:spacing w:after="100" w:line="360"/>
      </w:pPr>
      <w:r>
        <w:rPr>
          <w:rFonts w:ascii="Arial" w:cs="Arial" w:eastAsia="Arial" w:hAnsi="Arial"/>
          <w:sz w:val="24"/>
          <w:szCs w:val="24"/>
        </w:rPr>
        <w:t xml:space="preserve">Safety profile assessment: predicted off-target effects, adverse event risk, drug-drug interaction potential</w:t>
      </w:r>
    </w:p>
    <w:p>
      <w:pPr>
        <w:pStyle w:val="ListParagraph"/>
        <w:numPr>
          <w:ilvl w:val="0"/>
          <w:numId w:val="2"/>
        </w:numPr>
        <w:spacing w:after="100" w:line="360"/>
      </w:pPr>
      <w:r>
        <w:rPr>
          <w:rFonts w:ascii="Arial" w:cs="Arial" w:eastAsia="Arial" w:hAnsi="Arial"/>
          <w:sz w:val="24"/>
          <w:szCs w:val="24"/>
        </w:rPr>
        <w:t xml:space="preserve">Clinical trial evidence summary: published efficacy and safety data for compounds with clinical history</w:t>
      </w:r>
    </w:p>
    <w:p>
      <w:pPr>
        <w:pStyle w:val="ListParagraph"/>
        <w:numPr>
          <w:ilvl w:val="0"/>
          <w:numId w:val="2"/>
        </w:numPr>
        <w:spacing w:after="100" w:line="360"/>
      </w:pPr>
      <w:r>
        <w:rPr>
          <w:rFonts w:ascii="Arial" w:cs="Arial" w:eastAsia="Arial" w:hAnsi="Arial"/>
          <w:sz w:val="24"/>
          <w:szCs w:val="24"/>
        </w:rPr>
        <w:t xml:space="preserve">Multi-disease trial design recommendations: basket trial options, adaptive enrichment strategies, composite endpoints</w:t>
      </w:r>
    </w:p>
    <w:p>
      <w:pPr>
        <w:pStyle w:val="ListParagraph"/>
        <w:numPr>
          <w:ilvl w:val="0"/>
          <w:numId w:val="2"/>
        </w:numPr>
        <w:spacing w:after="100" w:line="360"/>
      </w:pPr>
      <w:r>
        <w:rPr>
          <w:rFonts w:ascii="Arial" w:cs="Arial" w:eastAsia="Arial" w:hAnsi="Arial"/>
          <w:sz w:val="24"/>
          <w:szCs w:val="24"/>
        </w:rPr>
        <w:t xml:space="preserve">Disease-specific biomarker panels for patient stratification and treatment response monitoring</w:t>
      </w:r>
    </w:p>
    <w:p>
      <w:pPr>
        <w:pStyle w:val="ListParagraph"/>
        <w:numPr>
          <w:ilvl w:val="0"/>
          <w:numId w:val="2"/>
        </w:numPr>
        <w:spacing w:after="100" w:line="360"/>
      </w:pPr>
      <w:r>
        <w:rPr>
          <w:rFonts w:ascii="Arial" w:cs="Arial" w:eastAsia="Arial" w:hAnsi="Arial"/>
          <w:sz w:val="24"/>
          <w:szCs w:val="24"/>
        </w:rPr>
        <w:t xml:space="preserve">Regulatory pathway recommendations: orphan drug eligibility assessment, breakthrough therapy potential for multi-disease applications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Pharmacokinetic and safety assessment tables, clinical trial evidence summaries, trial design templates, biomarker specification documents, regulatory pathway analysis.</w:t>
      </w:r>
    </w:p>
    <w:p>
      <w:pPr>
        <w:pStyle w:val="Heading2"/>
      </w:pPr>
      <w:r>
        <w:rPr>
          <w:rFonts w:ascii="Arial" w:cs="Arial" w:eastAsia="Arial" w:hAnsi="Arial"/>
          <w:b/>
          <w:bCs/>
          <w:sz w:val="28"/>
          <w:szCs w:val="28"/>
        </w:rPr>
        <w:t xml:space="preserve">Stage 5: Commercial Opportunity and Competitive Landscape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commercial opportunity and competitive differentiation for multi-disease small molecule candidates.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Multi-disease compound candidates from Stage 4 with clinical feasibility assessments</w:t>
      </w:r>
    </w:p>
    <w:p>
      <w:pPr>
        <w:pStyle w:val="ListParagraph"/>
        <w:numPr>
          <w:ilvl w:val="0"/>
          <w:numId w:val="2"/>
        </w:numPr>
        <w:spacing w:after="100" w:line="360"/>
      </w:pPr>
      <w:r>
        <w:rPr>
          <w:rFonts w:ascii="Arial" w:cs="Arial" w:eastAsia="Arial" w:hAnsi="Arial"/>
          <w:sz w:val="24"/>
          <w:szCs w:val="24"/>
        </w:rPr>
        <w:t xml:space="preserve">Market size and epidemiology data for each target disease (prevalence, patient population sizes, unmet need severity)</w:t>
      </w:r>
    </w:p>
    <w:p>
      <w:pPr>
        <w:pStyle w:val="ListParagraph"/>
        <w:numPr>
          <w:ilvl w:val="0"/>
          <w:numId w:val="2"/>
        </w:numPr>
        <w:spacing w:after="100" w:line="360"/>
      </w:pPr>
      <w:r>
        <w:rPr>
          <w:rFonts w:ascii="Arial" w:cs="Arial" w:eastAsia="Arial" w:hAnsi="Arial"/>
          <w:sz w:val="24"/>
          <w:szCs w:val="24"/>
        </w:rPr>
        <w:t xml:space="preserve">Competitive landscape: existing treatments, approved drugs, programs in development targeting same indications</w:t>
      </w:r>
    </w:p>
    <w:p>
      <w:pPr>
        <w:pStyle w:val="ListParagraph"/>
        <w:numPr>
          <w:ilvl w:val="0"/>
          <w:numId w:val="2"/>
        </w:numPr>
        <w:spacing w:after="100" w:line="360"/>
      </w:pPr>
      <w:r>
        <w:rPr>
          <w:rFonts w:ascii="Arial" w:cs="Arial" w:eastAsia="Arial" w:hAnsi="Arial"/>
          <w:sz w:val="24"/>
          <w:szCs w:val="24"/>
        </w:rPr>
        <w:t xml:space="preserve">Intellectual property status and patent landscape for compound targets and indications</w:t>
      </w:r>
    </w:p>
    <w:p>
      <w:pPr>
        <w:pStyle w:val="ListParagraph"/>
        <w:numPr>
          <w:ilvl w:val="0"/>
          <w:numId w:val="2"/>
        </w:numPr>
        <w:spacing w:after="100" w:line="360"/>
      </w:pPr>
      <w:r>
        <w:rPr>
          <w:rFonts w:ascii="Arial" w:cs="Arial" w:eastAsia="Arial" w:hAnsi="Arial"/>
          <w:sz w:val="24"/>
          <w:szCs w:val="24"/>
        </w:rPr>
        <w:t xml:space="preserve">Market differentiation: clinical advantages over competitors (efficacy, safety, patient population breadth)</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Market research and epidemiology databases (WHO, CDC, disease-specific registries) for market size estimation</w:t>
      </w:r>
    </w:p>
    <w:p>
      <w:pPr>
        <w:pStyle w:val="ListParagraph"/>
        <w:numPr>
          <w:ilvl w:val="0"/>
          <w:numId w:val="2"/>
        </w:numPr>
        <w:spacing w:after="100" w:line="360"/>
      </w:pPr>
      <w:r>
        <w:rPr>
          <w:rFonts w:ascii="Arial" w:cs="Arial" w:eastAsia="Arial" w:hAnsi="Arial"/>
          <w:sz w:val="24"/>
          <w:szCs w:val="24"/>
        </w:rPr>
        <w:t xml:space="preserve">Competitive intelligence platforms (BioPharma Dive, Cortellis, Citeline, Reuters Eikon)</w:t>
      </w:r>
    </w:p>
    <w:p>
      <w:pPr>
        <w:pStyle w:val="ListParagraph"/>
        <w:numPr>
          <w:ilvl w:val="0"/>
          <w:numId w:val="2"/>
        </w:numPr>
        <w:spacing w:after="100" w:line="360"/>
      </w:pPr>
      <w:r>
        <w:rPr>
          <w:rFonts w:ascii="Arial" w:cs="Arial" w:eastAsia="Arial" w:hAnsi="Arial"/>
          <w:sz w:val="24"/>
          <w:szCs w:val="24"/>
        </w:rPr>
        <w:t xml:space="preserve">Patent landscape analysis tools (USPTO, WIPO, espacenet, Derwent) for freedom-to-operate assessment</w:t>
      </w:r>
    </w:p>
    <w:p>
      <w:pPr>
        <w:pStyle w:val="ListParagraph"/>
        <w:numPr>
          <w:ilvl w:val="0"/>
          <w:numId w:val="2"/>
        </w:numPr>
        <w:spacing w:after="100" w:line="360"/>
      </w:pPr>
      <w:r>
        <w:rPr>
          <w:rFonts w:ascii="Arial" w:cs="Arial" w:eastAsia="Arial" w:hAnsi="Arial"/>
          <w:sz w:val="24"/>
          <w:szCs w:val="24"/>
        </w:rPr>
        <w:t xml:space="preserve">Clinical trial and approval status databases (ClinicalTrials.gov, FDA/EMA databases) for competitive program tracking</w:t>
      </w:r>
    </w:p>
    <w:p>
      <w:pPr>
        <w:pStyle w:val="ListParagraph"/>
        <w:numPr>
          <w:ilvl w:val="0"/>
          <w:numId w:val="2"/>
        </w:numPr>
        <w:spacing w:after="100" w:line="360"/>
      </w:pPr>
      <w:r>
        <w:rPr>
          <w:rFonts w:ascii="Arial" w:cs="Arial" w:eastAsia="Arial" w:hAnsi="Arial"/>
          <w:sz w:val="24"/>
          <w:szCs w:val="24"/>
        </w:rPr>
        <w:t xml:space="preserve">Financial and commercial models for estimating market opportunity and return on investment</w:t>
      </w:r>
    </w:p>
    <w:p>
      <w:pPr>
        <w:pStyle w:val="ListParagraph"/>
        <w:numPr>
          <w:ilvl w:val="0"/>
          <w:numId w:val="2"/>
        </w:numPr>
        <w:spacing w:after="100" w:line="360"/>
      </w:pPr>
      <w:r>
        <w:rPr>
          <w:rFonts w:ascii="Arial" w:cs="Arial" w:eastAsia="Arial" w:hAnsi="Arial"/>
          <w:sz w:val="24"/>
          <w:szCs w:val="24"/>
        </w:rPr>
        <w:t xml:space="preserve">SWOT analysis frameworks for multi-disease compound positioning assessment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Estimate total addressable market (TAM): epilepsy (~1% population), ASD (~2% children), schizophrenia (~0.5%), depression (~5%), Alzheimer's (~5-10% &gt;65yo)</w:t>
      </w:r>
    </w:p>
    <w:p>
      <w:pPr>
        <w:pStyle w:val="ListParagraph"/>
        <w:numPr>
          <w:ilvl w:val="0"/>
          <w:numId w:val="2"/>
        </w:numPr>
        <w:spacing w:after="100" w:line="360"/>
      </w:pPr>
      <w:r>
        <w:rPr>
          <w:rFonts w:ascii="Arial" w:cs="Arial" w:eastAsia="Arial" w:hAnsi="Arial"/>
          <w:sz w:val="24"/>
          <w:szCs w:val="24"/>
        </w:rPr>
        <w:t xml:space="preserve">Identify competitive programs: map approved drugs and investigational agents targeting same indications as multi-disease candidates</w:t>
      </w:r>
    </w:p>
    <w:p>
      <w:pPr>
        <w:pStyle w:val="ListParagraph"/>
        <w:numPr>
          <w:ilvl w:val="0"/>
          <w:numId w:val="2"/>
        </w:numPr>
        <w:spacing w:after="100" w:line="360"/>
      </w:pPr>
      <w:r>
        <w:rPr>
          <w:rFonts w:ascii="Arial" w:cs="Arial" w:eastAsia="Arial" w:hAnsi="Arial"/>
          <w:sz w:val="24"/>
          <w:szCs w:val="24"/>
        </w:rPr>
        <w:t xml:space="preserve">Assess patent landscape: freedom-to-operate analysis, blocking patents, patent claim strength for compound and use</w:t>
      </w:r>
    </w:p>
    <w:p>
      <w:pPr>
        <w:pStyle w:val="ListParagraph"/>
        <w:numPr>
          <w:ilvl w:val="0"/>
          <w:numId w:val="2"/>
        </w:numPr>
        <w:spacing w:after="100" w:line="360"/>
      </w:pPr>
      <w:r>
        <w:rPr>
          <w:rFonts w:ascii="Arial" w:cs="Arial" w:eastAsia="Arial" w:hAnsi="Arial"/>
          <w:sz w:val="24"/>
          <w:szCs w:val="24"/>
        </w:rPr>
        <w:t xml:space="preserve">Define clinical differentiation: how multi-disease candidates differentiate from single-indication programs (efficacy breadth, convenience, safety profile)</w:t>
      </w:r>
    </w:p>
    <w:p>
      <w:pPr>
        <w:pStyle w:val="ListParagraph"/>
        <w:numPr>
          <w:ilvl w:val="0"/>
          <w:numId w:val="2"/>
        </w:numPr>
        <w:spacing w:after="100" w:line="360"/>
      </w:pPr>
      <w:r>
        <w:rPr>
          <w:rFonts w:ascii="Arial" w:cs="Arial" w:eastAsia="Arial" w:hAnsi="Arial"/>
          <w:sz w:val="24"/>
          <w:szCs w:val="24"/>
        </w:rPr>
        <w:t xml:space="preserve">Estimate peak sales and return on investment for multi-disease commercialization vs. single-indication development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Market size and epidemiology analysis for each disease indication (TAM, target patient populations, annual incidence/prevalence)</w:t>
      </w:r>
    </w:p>
    <w:p>
      <w:pPr>
        <w:pStyle w:val="ListParagraph"/>
        <w:numPr>
          <w:ilvl w:val="0"/>
          <w:numId w:val="2"/>
        </w:numPr>
        <w:spacing w:after="100" w:line="360"/>
      </w:pPr>
      <w:r>
        <w:rPr>
          <w:rFonts w:ascii="Arial" w:cs="Arial" w:eastAsia="Arial" w:hAnsi="Arial"/>
          <w:sz w:val="24"/>
          <w:szCs w:val="24"/>
        </w:rPr>
        <w:t xml:space="preserve">Competitive landscape mapping: approved drugs, programs in development, clinical trial stage distribution</w:t>
      </w:r>
    </w:p>
    <w:p>
      <w:pPr>
        <w:pStyle w:val="ListParagraph"/>
        <w:numPr>
          <w:ilvl w:val="0"/>
          <w:numId w:val="2"/>
        </w:numPr>
        <w:spacing w:after="100" w:line="360"/>
      </w:pPr>
      <w:r>
        <w:rPr>
          <w:rFonts w:ascii="Arial" w:cs="Arial" w:eastAsia="Arial" w:hAnsi="Arial"/>
          <w:sz w:val="24"/>
          <w:szCs w:val="24"/>
        </w:rPr>
        <w:t xml:space="preserve">Patent landscape assessment: freedom-to-operate, blocking patents, patent claim strength for compounds and uses</w:t>
      </w:r>
    </w:p>
    <w:p>
      <w:pPr>
        <w:pStyle w:val="ListParagraph"/>
        <w:numPr>
          <w:ilvl w:val="0"/>
          <w:numId w:val="2"/>
        </w:numPr>
        <w:spacing w:after="100" w:line="360"/>
      </w:pPr>
      <w:r>
        <w:rPr>
          <w:rFonts w:ascii="Arial" w:cs="Arial" w:eastAsia="Arial" w:hAnsi="Arial"/>
          <w:sz w:val="24"/>
          <w:szCs w:val="24"/>
        </w:rPr>
        <w:t xml:space="preserve">Differentiation analysis: clinical, safety, patient population, and commercial advantages of multi-disease candidates over competitors</w:t>
      </w:r>
    </w:p>
    <w:p>
      <w:pPr>
        <w:pStyle w:val="ListParagraph"/>
        <w:numPr>
          <w:ilvl w:val="0"/>
          <w:numId w:val="2"/>
        </w:numPr>
        <w:spacing w:after="100" w:line="360"/>
      </w:pPr>
      <w:r>
        <w:rPr>
          <w:rFonts w:ascii="Arial" w:cs="Arial" w:eastAsia="Arial" w:hAnsi="Arial"/>
          <w:sz w:val="24"/>
          <w:szCs w:val="24"/>
        </w:rPr>
        <w:t xml:space="preserve">Financial projections: peak sales, return on investment, development cost estimates for multi-disease vs. single-indication strategies</w:t>
      </w:r>
    </w:p>
    <w:p>
      <w:pPr>
        <w:pStyle w:val="ListParagraph"/>
        <w:numPr>
          <w:ilvl w:val="0"/>
          <w:numId w:val="2"/>
        </w:numPr>
        <w:spacing w:after="100" w:line="360"/>
      </w:pPr>
      <w:r>
        <w:rPr>
          <w:rFonts w:ascii="Arial" w:cs="Arial" w:eastAsia="Arial" w:hAnsi="Arial"/>
          <w:sz w:val="24"/>
          <w:szCs w:val="24"/>
        </w:rPr>
        <w:t xml:space="preserve">Regulatory pathway recommendations: orphan drug designation eligibility, breakthrough therapy opportunities, priority review potential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Market analysis spreadsheets, competitive landscape matrices, patent analysis reports, differentiation summaries, financial projection models, regulatory pathway guides.</w:t>
      </w:r>
    </w:p>
    <w:p>
      <w:pPr>
        <w:pStyle w:val="Heading2"/>
      </w:pPr>
      <w:r>
        <w:rPr>
          <w:rFonts w:ascii="Arial" w:cs="Arial" w:eastAsia="Arial" w:hAnsi="Arial"/>
          <w:b/>
          <w:bCs/>
          <w:sz w:val="28"/>
          <w:szCs w:val="28"/>
        </w:rPr>
        <w:t xml:space="preserve">Stage 6: Final Multi-Disease Compound Ranking and Development Recommendations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multi-disease compound assessment data into final prioritized list with strategic recommendations for development.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Multi-disease compound assessments from Stages 1-5: phenotype scores, mechanisms, PK/safety, commercial potential</w:t>
      </w:r>
    </w:p>
    <w:p>
      <w:pPr>
        <w:pStyle w:val="ListParagraph"/>
        <w:numPr>
          <w:ilvl w:val="0"/>
          <w:numId w:val="2"/>
        </w:numPr>
        <w:spacing w:after="100" w:line="360"/>
      </w:pPr>
      <w:r>
        <w:rPr>
          <w:rFonts w:ascii="Arial" w:cs="Arial" w:eastAsia="Arial" w:hAnsi="Arial"/>
          <w:sz w:val="24"/>
          <w:szCs w:val="24"/>
        </w:rPr>
        <w:t xml:space="preserve">Risk assessments and probability of success estimates for multi-disease development programs</w:t>
      </w:r>
    </w:p>
    <w:p>
      <w:pPr>
        <w:pStyle w:val="ListParagraph"/>
        <w:numPr>
          <w:ilvl w:val="0"/>
          <w:numId w:val="2"/>
        </w:numPr>
        <w:spacing w:after="100" w:line="360"/>
      </w:pPr>
      <w:r>
        <w:rPr>
          <w:rFonts w:ascii="Arial" w:cs="Arial" w:eastAsia="Arial" w:hAnsi="Arial"/>
          <w:sz w:val="24"/>
          <w:szCs w:val="24"/>
        </w:rPr>
        <w:t xml:space="preserve">Strategic prioritization criteria: scientific merit, clinical feasibility, commercial opportunity, timeline to regulatory approval</w:t>
      </w:r>
    </w:p>
    <w:p>
      <w:pPr>
        <w:pStyle w:val="ListParagraph"/>
        <w:numPr>
          <w:ilvl w:val="0"/>
          <w:numId w:val="2"/>
        </w:numPr>
        <w:spacing w:after="100" w:line="360"/>
      </w:pPr>
      <w:r>
        <w:rPr>
          <w:rFonts w:ascii="Arial" w:cs="Arial" w:eastAsia="Arial" w:hAnsi="Arial"/>
          <w:sz w:val="24"/>
          <w:szCs w:val="24"/>
        </w:rPr>
        <w:t xml:space="preserve">Development resource requirements and organizational capacity for pursuing multi-disease programs</w:t>
      </w:r>
    </w:p>
    <w:p>
      <w:pPr>
        <w:pStyle w:val="ListParagraph"/>
        <w:numPr>
          <w:ilvl w:val="0"/>
          <w:numId w:val="2"/>
        </w:numPr>
        <w:spacing w:after="100" w:line="360"/>
      </w:pPr>
      <w:r>
        <w:rPr>
          <w:rFonts w:ascii="Arial" w:cs="Arial" w:eastAsia="Arial" w:hAnsi="Arial"/>
          <w:sz w:val="24"/>
          <w:szCs w:val="24"/>
        </w:rPr>
        <w:t xml:space="preserve">Strategic partnership and licensing opportunities for multi-disease candidates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Multi-factor ranking frameworks combining scientific, clinical, and commercial factors</w:t>
      </w:r>
    </w:p>
    <w:p>
      <w:pPr>
        <w:pStyle w:val="ListParagraph"/>
        <w:numPr>
          <w:ilvl w:val="0"/>
          <w:numId w:val="2"/>
        </w:numPr>
        <w:spacing w:after="100" w:line="360"/>
      </w:pPr>
      <w:r>
        <w:rPr>
          <w:rFonts w:ascii="Arial" w:cs="Arial" w:eastAsia="Arial" w:hAnsi="Arial"/>
          <w:sz w:val="24"/>
          <w:szCs w:val="24"/>
        </w:rPr>
        <w:t xml:space="preserve">Portfolio optimization algorithms for selecting optimal set of multi-disease compounds for development</w:t>
      </w:r>
    </w:p>
    <w:p>
      <w:pPr>
        <w:pStyle w:val="ListParagraph"/>
        <w:numPr>
          <w:ilvl w:val="0"/>
          <w:numId w:val="2"/>
        </w:numPr>
        <w:spacing w:after="100" w:line="360"/>
      </w:pPr>
      <w:r>
        <w:rPr>
          <w:rFonts w:ascii="Arial" w:cs="Arial" w:eastAsia="Arial" w:hAnsi="Arial"/>
          <w:sz w:val="24"/>
          <w:szCs w:val="24"/>
        </w:rPr>
        <w:t xml:space="preserve">Probability of success and risk modeling tools for multi-disease development programs</w:t>
      </w:r>
    </w:p>
    <w:p>
      <w:pPr>
        <w:pStyle w:val="ListParagraph"/>
        <w:numPr>
          <w:ilvl w:val="0"/>
          <w:numId w:val="2"/>
        </w:numPr>
        <w:spacing w:after="100" w:line="360"/>
      </w:pPr>
      <w:r>
        <w:rPr>
          <w:rFonts w:ascii="Arial" w:cs="Arial" w:eastAsia="Arial" w:hAnsi="Arial"/>
          <w:sz w:val="24"/>
          <w:szCs w:val="24"/>
        </w:rPr>
        <w:t xml:space="preserve">Strategic planning and scenario analysis tools for multi-disease development pathway decisions</w:t>
      </w:r>
    </w:p>
    <w:p>
      <w:pPr>
        <w:pStyle w:val="ListParagraph"/>
        <w:numPr>
          <w:ilvl w:val="0"/>
          <w:numId w:val="2"/>
        </w:numPr>
        <w:spacing w:after="100" w:line="360"/>
      </w:pPr>
      <w:r>
        <w:rPr>
          <w:rFonts w:ascii="Arial" w:cs="Arial" w:eastAsia="Arial" w:hAnsi="Arial"/>
          <w:sz w:val="24"/>
          <w:szCs w:val="24"/>
        </w:rPr>
        <w:t xml:space="preserve">Partnership and licensing databases for identifying collaborative development opportunities</w:t>
      </w:r>
    </w:p>
    <w:p>
      <w:pPr>
        <w:pStyle w:val="ListParagraph"/>
        <w:numPr>
          <w:ilvl w:val="0"/>
          <w:numId w:val="2"/>
        </w:numPr>
        <w:spacing w:after="100" w:line="360"/>
      </w:pPr>
      <w:r>
        <w:rPr>
          <w:rFonts w:ascii="Arial" w:cs="Arial" w:eastAsia="Arial" w:hAnsi="Arial"/>
          <w:sz w:val="24"/>
          <w:szCs w:val="24"/>
        </w:rPr>
        <w:t xml:space="preserve">Executive summary and presentation tools for stakeholder communication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final ranked list of top 20-30 multi-disease compounds by composite score: breadth of applicability (40%), phenotype strength (30%), clinical feasibility (15%), commercial potential (15%)</w:t>
      </w:r>
    </w:p>
    <w:p>
      <w:pPr>
        <w:pStyle w:val="ListParagraph"/>
        <w:numPr>
          <w:ilvl w:val="0"/>
          <w:numId w:val="2"/>
        </w:numPr>
        <w:spacing w:after="100" w:line="360"/>
      </w:pPr>
      <w:r>
        <w:rPr>
          <w:rFonts w:ascii="Arial" w:cs="Arial" w:eastAsia="Arial" w:hAnsi="Arial"/>
          <w:sz w:val="24"/>
          <w:szCs w:val="24"/>
        </w:rPr>
        <w:t xml:space="preserve">For top 5-10 compounds: detail multi-disease development strategy, target indications, trial design, patient populations, timeline</w:t>
      </w:r>
    </w:p>
    <w:p>
      <w:pPr>
        <w:pStyle w:val="ListParagraph"/>
        <w:numPr>
          <w:ilvl w:val="0"/>
          <w:numId w:val="2"/>
        </w:numPr>
        <w:spacing w:after="100" w:line="360"/>
      </w:pPr>
      <w:r>
        <w:rPr>
          <w:rFonts w:ascii="Arial" w:cs="Arial" w:eastAsia="Arial" w:hAnsi="Arial"/>
          <w:sz w:val="24"/>
          <w:szCs w:val="24"/>
        </w:rPr>
        <w:t xml:space="preserve">Assess strategic fit: which compounds align best with organizational strengths and capabilities?</w:t>
      </w:r>
    </w:p>
    <w:p>
      <w:pPr>
        <w:pStyle w:val="ListParagraph"/>
        <w:numPr>
          <w:ilvl w:val="0"/>
          <w:numId w:val="2"/>
        </w:numPr>
        <w:spacing w:after="100" w:line="360"/>
      </w:pPr>
      <w:r>
        <w:rPr>
          <w:rFonts w:ascii="Arial" w:cs="Arial" w:eastAsia="Arial" w:hAnsi="Arial"/>
          <w:sz w:val="24"/>
          <w:szCs w:val="24"/>
        </w:rPr>
        <w:t xml:space="preserve">Identify partnership opportunities: compounds suitable for co-development or licensing with disease-specific specialists</w:t>
      </w:r>
    </w:p>
    <w:p>
      <w:pPr>
        <w:pStyle w:val="ListParagraph"/>
        <w:numPr>
          <w:ilvl w:val="0"/>
          <w:numId w:val="2"/>
        </w:numPr>
        <w:spacing w:after="100" w:line="360"/>
      </w:pPr>
      <w:r>
        <w:rPr>
          <w:rFonts w:ascii="Arial" w:cs="Arial" w:eastAsia="Arial" w:hAnsi="Arial"/>
          <w:sz w:val="24"/>
          <w:szCs w:val="24"/>
        </w:rPr>
        <w:t xml:space="preserve">Generate executive summary: key multi-disease candidates, development strategy, competitive differentiation, investment opportunity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30-50 multi-disease compounds with composite scores integrating phenotype breadth, clinical feasibility, and commercial potential</w:t>
      </w:r>
    </w:p>
    <w:p>
      <w:pPr>
        <w:pStyle w:val="ListParagraph"/>
        <w:numPr>
          <w:ilvl w:val="0"/>
          <w:numId w:val="2"/>
        </w:numPr>
        <w:spacing w:after="100" w:line="360"/>
      </w:pPr>
      <w:r>
        <w:rPr>
          <w:rFonts w:ascii="Arial" w:cs="Arial" w:eastAsia="Arial" w:hAnsi="Arial"/>
          <w:sz w:val="24"/>
          <w:szCs w:val="24"/>
        </w:rPr>
        <w:t xml:space="preserve">Stratification by development readiness: immediately actionable candidates, candidates requiring additional validation, research-stage opportunities</w:t>
      </w:r>
    </w:p>
    <w:p>
      <w:pPr>
        <w:pStyle w:val="ListParagraph"/>
        <w:numPr>
          <w:ilvl w:val="0"/>
          <w:numId w:val="2"/>
        </w:numPr>
        <w:spacing w:after="100" w:line="360"/>
      </w:pPr>
      <w:r>
        <w:rPr>
          <w:rFonts w:ascii="Arial" w:cs="Arial" w:eastAsia="Arial" w:hAnsi="Arial"/>
          <w:sz w:val="24"/>
          <w:szCs w:val="24"/>
        </w:rPr>
        <w:t xml:space="preserve">Detailed development profiles for top 5-10 compounds: mechanism, applicability breadth, clinical trial design, biomarkers, regulatory pathway</w:t>
      </w:r>
    </w:p>
    <w:p>
      <w:pPr>
        <w:pStyle w:val="ListParagraph"/>
        <w:numPr>
          <w:ilvl w:val="0"/>
          <w:numId w:val="2"/>
        </w:numPr>
        <w:spacing w:after="100" w:line="360"/>
      </w:pPr>
      <w:r>
        <w:rPr>
          <w:rFonts w:ascii="Arial" w:cs="Arial" w:eastAsia="Arial" w:hAnsi="Arial"/>
          <w:sz w:val="24"/>
          <w:szCs w:val="24"/>
        </w:rPr>
        <w:t xml:space="preserve">Strategic recommendations: portfolio approach, partnership opportunities, multi-disease development timelines and investments</w:t>
      </w:r>
    </w:p>
    <w:p>
      <w:pPr>
        <w:pStyle w:val="ListParagraph"/>
        <w:numPr>
          <w:ilvl w:val="0"/>
          <w:numId w:val="2"/>
        </w:numPr>
        <w:spacing w:after="100" w:line="360"/>
      </w:pPr>
      <w:r>
        <w:rPr>
          <w:rFonts w:ascii="Arial" w:cs="Arial" w:eastAsia="Arial" w:hAnsi="Arial"/>
          <w:sz w:val="24"/>
          <w:szCs w:val="24"/>
        </w:rPr>
        <w:t xml:space="preserve">Probability of success and risk assessments for multi-disease development vs. single-indication programs</w:t>
      </w:r>
    </w:p>
    <w:p>
      <w:pPr>
        <w:pStyle w:val="ListParagraph"/>
        <w:numPr>
          <w:ilvl w:val="0"/>
          <w:numId w:val="2"/>
        </w:numPr>
        <w:spacing w:after="100" w:line="360"/>
      </w:pPr>
      <w:r>
        <w:rPr>
          <w:rFonts w:ascii="Arial" w:cs="Arial" w:eastAsia="Arial" w:hAnsi="Arial"/>
          <w:sz w:val="24"/>
          <w:szCs w:val="24"/>
        </w:rPr>
        <w:t xml:space="preserve">Executive summary document highlighting multi-disease opportunities, clinical significance, and investment recommendations for stakeholder communication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compound ranking spreadsheet with composite scores and tiers, detailed development profiles, strategic recommendations document, risk/ROI analysis, executive summary PDF.</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Atlas (~18,000 gene perturbations with 500+ EP features per cell type and disease context)</w:t>
      </w:r>
    </w:p>
    <w:p>
      <w:pPr>
        <w:pStyle w:val="ListParagraph"/>
        <w:numPr>
          <w:ilvl w:val="0"/>
          <w:numId w:val="2"/>
        </w:numPr>
        <w:spacing w:after="100" w:line="360"/>
      </w:pPr>
      <w:r>
        <w:rPr>
          <w:rFonts w:ascii="Arial" w:cs="Arial" w:eastAsia="Arial" w:hAnsi="Arial"/>
          <w:sz w:val="24"/>
          <w:szCs w:val="24"/>
        </w:rPr>
        <w:t xml:space="preserve">Representation learning frameworks (autoencoders, VAE, metric learning) for constructing disease embedding spaces</w:t>
      </w:r>
    </w:p>
    <w:p>
      <w:pPr>
        <w:pStyle w:val="ListParagraph"/>
        <w:numPr>
          <w:ilvl w:val="0"/>
          <w:numId w:val="2"/>
        </w:numPr>
        <w:spacing w:after="100" w:line="360"/>
      </w:pPr>
      <w:r>
        <w:rPr>
          <w:rFonts w:ascii="Arial" w:cs="Arial" w:eastAsia="Arial" w:hAnsi="Arial"/>
          <w:sz w:val="24"/>
          <w:szCs w:val="24"/>
        </w:rPr>
        <w:t xml:space="preserve">Dimensionality reduction tools (t-SNE, UMAP, PCA) for phenotype and embedding space visualization</w:t>
      </w:r>
    </w:p>
    <w:p>
      <w:pPr>
        <w:pStyle w:val="ListParagraph"/>
        <w:numPr>
          <w:ilvl w:val="0"/>
          <w:numId w:val="2"/>
        </w:numPr>
        <w:spacing w:after="100" w:line="360"/>
      </w:pPr>
      <w:r>
        <w:rPr>
          <w:rFonts w:ascii="Arial" w:cs="Arial" w:eastAsia="Arial" w:hAnsi="Arial"/>
          <w:sz w:val="24"/>
          <w:szCs w:val="24"/>
        </w:rPr>
        <w:t xml:space="preserve">Transfer learning models for predicting compound responses in untested disease contexts</w:t>
      </w:r>
    </w:p>
    <w:p>
      <w:pPr>
        <w:pStyle w:val="ListParagraph"/>
        <w:numPr>
          <w:ilvl w:val="0"/>
          <w:numId w:val="2"/>
        </w:numPr>
        <w:spacing w:after="100" w:line="360"/>
      </w:pPr>
      <w:r>
        <w:rPr>
          <w:rFonts w:ascii="Arial" w:cs="Arial" w:eastAsia="Arial" w:hAnsi="Arial"/>
          <w:sz w:val="24"/>
          <w:szCs w:val="24"/>
        </w:rPr>
        <w:t xml:space="preserve">Compound screening and response phenotype databases (ChEMBL, PubChem, proprietary screening data)</w:t>
      </w:r>
    </w:p>
    <w:p>
      <w:pPr>
        <w:pStyle w:val="ListParagraph"/>
        <w:numPr>
          <w:ilvl w:val="0"/>
          <w:numId w:val="2"/>
        </w:numPr>
        <w:spacing w:after="100" w:line="360"/>
      </w:pPr>
      <w:r>
        <w:rPr>
          <w:rFonts w:ascii="Arial" w:cs="Arial" w:eastAsia="Arial" w:hAnsi="Arial"/>
          <w:sz w:val="24"/>
          <w:szCs w:val="24"/>
        </w:rPr>
        <w:t xml:space="preserve">Compound target prediction tools (SwissTargetPrediction, SEA, DGIdb) and mechanism inference platforms</w:t>
      </w:r>
    </w:p>
    <w:p>
      <w:pPr>
        <w:pStyle w:val="ListParagraph"/>
        <w:numPr>
          <w:ilvl w:val="0"/>
          <w:numId w:val="2"/>
        </w:numPr>
        <w:spacing w:after="100" w:line="360"/>
      </w:pPr>
      <w:r>
        <w:rPr>
          <w:rFonts w:ascii="Arial" w:cs="Arial" w:eastAsia="Arial" w:hAnsi="Arial"/>
          <w:sz w:val="24"/>
          <w:szCs w:val="24"/>
        </w:rPr>
        <w:t xml:space="preserve">Protein interaction and pathway databases (STRING, BioGrid, Reactome, KEGG) for mechanism mapping</w:t>
      </w:r>
    </w:p>
    <w:p>
      <w:pPr>
        <w:pStyle w:val="ListParagraph"/>
        <w:numPr>
          <w:ilvl w:val="0"/>
          <w:numId w:val="2"/>
        </w:numPr>
        <w:spacing w:after="100" w:line="360"/>
      </w:pPr>
      <w:r>
        <w:rPr>
          <w:rFonts w:ascii="Arial" w:cs="Arial" w:eastAsia="Arial" w:hAnsi="Arial"/>
          <w:sz w:val="24"/>
          <w:szCs w:val="24"/>
        </w:rPr>
        <w:t xml:space="preserve">ADME and pharmacokinetic prediction tools (pkCSM, SwissADME, BBB permeability models)</w:t>
      </w:r>
    </w:p>
    <w:p>
      <w:pPr>
        <w:pStyle w:val="ListParagraph"/>
        <w:numPr>
          <w:ilvl w:val="0"/>
          <w:numId w:val="2"/>
        </w:numPr>
        <w:spacing w:after="100" w:line="360"/>
      </w:pPr>
      <w:r>
        <w:rPr>
          <w:rFonts w:ascii="Arial" w:cs="Arial" w:eastAsia="Arial" w:hAnsi="Arial"/>
          <w:sz w:val="24"/>
          <w:szCs w:val="24"/>
        </w:rPr>
        <w:t xml:space="preserve">Safety and toxicity assessment platforms (ToxDB, FAERS, off-target liability prediction)</w:t>
      </w:r>
    </w:p>
    <w:p>
      <w:pPr>
        <w:pStyle w:val="ListParagraph"/>
        <w:numPr>
          <w:ilvl w:val="0"/>
          <w:numId w:val="2"/>
        </w:numPr>
        <w:spacing w:after="100" w:line="360"/>
      </w:pPr>
      <w:r>
        <w:rPr>
          <w:rFonts w:ascii="Arial" w:cs="Arial" w:eastAsia="Arial" w:hAnsi="Arial"/>
          <w:sz w:val="24"/>
          <w:szCs w:val="24"/>
        </w:rPr>
        <w:t xml:space="preserve">Clinical trial design and biomarker tools for multi-disease trial planning (adaptive design frameworks)</w:t>
      </w:r>
    </w:p>
    <w:p>
      <w:pPr>
        <w:pStyle w:val="ListParagraph"/>
        <w:numPr>
          <w:ilvl w:val="0"/>
          <w:numId w:val="2"/>
        </w:numPr>
        <w:spacing w:after="100" w:line="360"/>
      </w:pPr>
      <w:r>
        <w:rPr>
          <w:rFonts w:ascii="Arial" w:cs="Arial" w:eastAsia="Arial" w:hAnsi="Arial"/>
          <w:sz w:val="24"/>
          <w:szCs w:val="24"/>
        </w:rPr>
        <w:t xml:space="preserve">Market research and epidemiology databases (WHO, CDC, disease registries) for market size estimation</w:t>
      </w:r>
    </w:p>
    <w:p>
      <w:pPr>
        <w:pStyle w:val="ListParagraph"/>
        <w:numPr>
          <w:ilvl w:val="0"/>
          <w:numId w:val="2"/>
        </w:numPr>
        <w:spacing w:after="100" w:line="360"/>
      </w:pPr>
      <w:r>
        <w:rPr>
          <w:rFonts w:ascii="Arial" w:cs="Arial" w:eastAsia="Arial" w:hAnsi="Arial"/>
          <w:sz w:val="24"/>
          <w:szCs w:val="24"/>
        </w:rPr>
        <w:t xml:space="preserve">Competitive intelligence platforms (BioPharma Dive, Cortellis, Citeline, Reuters Eikon) for landscape analysis</w:t>
      </w:r>
    </w:p>
    <w:p>
      <w:pPr>
        <w:pStyle w:val="ListParagraph"/>
        <w:numPr>
          <w:ilvl w:val="0"/>
          <w:numId w:val="2"/>
        </w:numPr>
        <w:spacing w:after="100" w:line="360"/>
      </w:pPr>
      <w:r>
        <w:rPr>
          <w:rFonts w:ascii="Arial" w:cs="Arial" w:eastAsia="Arial" w:hAnsi="Arial"/>
          <w:sz w:val="24"/>
          <w:szCs w:val="24"/>
        </w:rPr>
        <w:t xml:space="preserve">Patent landscape tools (USPTO, WIPO, espacenet, Derwent) for freedom-to-operate assessment</w:t>
      </w:r>
    </w:p>
    <w:p>
      <w:pPr>
        <w:pStyle w:val="ListParagraph"/>
        <w:numPr>
          <w:ilvl w:val="0"/>
          <w:numId w:val="2"/>
        </w:numPr>
        <w:spacing w:after="100" w:line="360"/>
      </w:pPr>
      <w:r>
        <w:rPr>
          <w:rFonts w:ascii="Arial" w:cs="Arial" w:eastAsia="Arial" w:hAnsi="Arial"/>
          <w:sz w:val="24"/>
          <w:szCs w:val="24"/>
        </w:rPr>
        <w:t xml:space="preserve">Portfolio optimization and multi-factor ranking algorithms for compound program prioritization</w:t>
      </w:r>
    </w:p>
    <w:p>
      <w:pPr>
        <w:pStyle w:val="ListParagraph"/>
        <w:numPr>
          <w:ilvl w:val="0"/>
          <w:numId w:val="2"/>
        </w:numPr>
        <w:spacing w:after="100" w:line="360"/>
      </w:pPr>
      <w:r>
        <w:rPr>
          <w:rFonts w:ascii="Arial" w:cs="Arial" w:eastAsia="Arial" w:hAnsi="Arial"/>
          <w:sz w:val="24"/>
          <w:szCs w:val="24"/>
        </w:rPr>
        <w:t xml:space="preserve">Financial projection and ROI modeling tools for multi-disease development strategy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2026-03-04T17:18:50.481Z</dcterms:created>
  <dcterms:modified xsi:type="dcterms:W3CDTF">2026-03-04T17:18:50.481Z</dcterms:modified>
</cp:coreProperties>
</file>

<file path=docProps/custom.xml><?xml version="1.0" encoding="utf-8"?>
<Properties xmlns="http://schemas.openxmlformats.org/officeDocument/2006/custom-properties" xmlns:vt="http://schemas.openxmlformats.org/officeDocument/2006/docPropsVTypes"/>
</file>