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Sapphire Pipeline Workflow: Rank Top 5 ASO Programs Ready for IND</w:t>
      </w:r>
    </w:p>
    <w:p>
      <w:r>
        <w:rPr>
          <w:b/>
        </w:rPr>
        <w:t xml:space="preserve">Prompt: </w:t>
      </w:r>
      <w:r>
        <w:t>Rank top 5 ASO programs ready for IND based on rescue + safety scoring.</w:t>
      </w:r>
    </w:p>
    <w:p>
      <w:r>
        <w:t>This pipeline evaluates antisense oligonucleotide (ASO) drug programs for Investigational New Drug (IND) readiness by integrating electrophysiological rescue data from the Quiver EP CRISPR atlas with comprehensive safety, chemistry, manufacturing, and controls (CMC) assessments. The workflow prioritizes programs that demonstrate robust and reproducible electrophysiological phenotype correction in disease-relevant neuronal models, coupled with favorable safety pharmacology profiles and advanced preclinical toxicology study readiness.</w:t>
      </w:r>
    </w:p>
    <w:p>
      <w:r>
        <w:t>ASO therapeutics targeting neurological disorders require rigorous IND-enabling packages that satisfy FDA expectations for mechanism of action clarity, manufacturing process control, nonclinical safety assessment, and clinical translation feasibility. This pipeline synthesizes Quiver-derived EP rescue reproducibility metrics, safety pharmacology profiling data, GLP toxicology readiness indicators, and CMC compliance status to objectively rank ASO programs by IND readiness and probability of successful clinical transition.</w:t>
      </w:r>
    </w:p>
    <w:p>
      <w:pPr>
        <w:pStyle w:val="Heading2"/>
      </w:pPr>
      <w:r>
        <w:t>Pipeline Overview</w:t>
      </w:r>
    </w:p>
    <w:p>
      <w:r>
        <w:t>The Sapphire Rank Top 5 ASO Programs Ready for IND Pipeline comprises six sequential analytical stages designed to comprehensively evaluate ASO programs across multiple critical domains. Each stage builds upon prior outputs to establish evidence-based recommendations.</w:t>
      </w:r>
    </w:p>
    <w:p>
      <w:r>
        <w:t>Integration of Quiver's EP CRISPR atlas data—encompassing ~18,000 gene perturbations with 500+ electrophysiological features per neuron—enables precise quantification of rescue efficacy. Combined with targeted safety assessments and regulatory intelligence, this pipeline delivers consolidated actionable recommendations.</w:t>
      </w:r>
    </w:p>
    <w:p>
      <w:pPr>
        <w:pStyle w:val="Heading2"/>
      </w:pPr>
      <w:r>
        <w:t>Stage 1: Quiver EP Rescue Efficacy Quantification</w:t>
      </w:r>
    </w:p>
    <w:p>
      <w:r>
        <w:rPr>
          <w:b/>
        </w:rPr>
        <w:t xml:space="preserve">Purpose: </w:t>
      </w:r>
      <w:r>
        <w:t>Quantify the electrophysiological rescue efficacy of each ASO candidate using Quiver EP CRISPR atlas baseline data, measuring correction of disease-associated electrophysiological deficits across multiple feature domains and assessing reproducibility across independent neuronal batches and experimental replicates.</w:t>
      </w:r>
    </w:p>
    <w:p>
      <w:r>
        <w:rPr>
          <w:b/>
        </w:rPr>
        <w:t>Inputs:</w:t>
      </w:r>
    </w:p>
    <w:p>
      <w:pPr>
        <w:pStyle w:val="ListBullet"/>
        <w:ind w:left="720"/>
      </w:pPr>
      <w:r>
        <w:t>Quiver CRISPR atlas baseline electrophysiological phenotypes for disease-relevant neuronal cell types (spike rate, burst frequency, action potential duration, input resistance, resting membrane potential, network firing patterns)</w:t>
      </w:r>
    </w:p>
    <w:p>
      <w:pPr>
        <w:pStyle w:val="ListBullet"/>
        <w:ind w:left="720"/>
      </w:pPr>
      <w:r>
        <w:t>ASO sequence designs, targeting strategies, and validation data from in vitro knockdown studies in disease-relevant cell models</w:t>
      </w:r>
    </w:p>
    <w:p>
      <w:pPr>
        <w:pStyle w:val="ListBullet"/>
        <w:ind w:left="720"/>
      </w:pPr>
      <w:r>
        <w:t>Experimental electrophysiological recordings from patient-derived iPSC neurons or disease-specific transgenic neuronal models treated with candidate ASOs</w:t>
      </w:r>
    </w:p>
    <w:p>
      <w:pPr>
        <w:pStyle w:val="ListBullet"/>
        <w:ind w:left="720"/>
      </w:pPr>
      <w:r>
        <w:t>Dose-response curves, optimal target knockdown levels, time-course data for ASO activity onset and duration in neuronal systems</w:t>
      </w:r>
    </w:p>
    <w:p>
      <w:pPr>
        <w:pStyle w:val="ListBullet"/>
        <w:ind w:left="720"/>
      </w:pPr>
      <w:r>
        <w:t>Batch-to-batch variability metrics and inter-operator reproducibility assessments for in vitro EP recordings across independent experimental runs</w:t>
      </w:r>
    </w:p>
    <w:p>
      <w:r>
        <w:rPr>
          <w:b/>
        </w:rPr>
        <w:t>Tools &amp; Databases Called:</w:t>
      </w:r>
    </w:p>
    <w:p>
      <w:pPr>
        <w:pStyle w:val="ListBullet"/>
        <w:ind w:left="720"/>
      </w:pPr>
      <w:r>
        <w:t>Quiver EP CRISPR Atlas: phenotypic fingerprints, gene knockdown validation, cell type classification, multi-feature electrophysiological profiling</w:t>
      </w:r>
    </w:p>
    <w:p>
      <w:pPr>
        <w:pStyle w:val="ListBullet"/>
        <w:ind w:left="720"/>
      </w:pPr>
      <w:r>
        <w:t>In Vitro Electrophysiology Data Processing Pipeline: spike detection, burst analysis, parameter extraction, noise filtering, artifact removal algorithms</w:t>
      </w:r>
    </w:p>
    <w:p>
      <w:pPr>
        <w:pStyle w:val="ListBullet"/>
        <w:ind w:left="720"/>
      </w:pPr>
      <w:r>
        <w:t>Statistical Analysis Framework: linear mixed-effects modeling for batch effects, intra-class correlation coefficients (ICC), effect size quantification (Cohen's d, normalized rescue percentages)</w:t>
      </w:r>
    </w:p>
    <w:p>
      <w:pPr>
        <w:pStyle w:val="ListBullet"/>
        <w:ind w:left="720"/>
      </w:pPr>
      <w:r>
        <w:t>Feature Importance Engine: multivariate dimension reduction (PCA, t-SNE), unsupervised clustering of electrophysiological phenotypes, identification of rescue-predictive feature sets</w:t>
      </w:r>
    </w:p>
    <w:p>
      <w:pPr>
        <w:pStyle w:val="ListBullet"/>
        <w:ind w:left="720"/>
      </w:pPr>
      <w:r>
        <w:t>Dose-Response Modeling: sigmoidal curve fitting, EC50/IC50 determination, target knockdown quantification via qRT-PCR correlation analysis</w:t>
      </w:r>
    </w:p>
    <w:p>
      <w:pPr>
        <w:pStyle w:val="ListBullet"/>
        <w:ind w:left="720"/>
      </w:pPr>
      <w:r>
        <w:t>Reproducibility Scoring Algorithm: batch effect correction, inter-replicate correlation thresholding, confidence interval estimation for rescue efficacy metrics</w:t>
      </w:r>
    </w:p>
    <w:p>
      <w:r>
        <w:rPr>
          <w:b/>
        </w:rPr>
        <w:t>Exemplary Sub-Prompts:</w:t>
      </w:r>
    </w:p>
    <w:p>
      <w:pPr>
        <w:pStyle w:val="ListBullet"/>
        <w:ind w:left="720"/>
      </w:pPr>
      <w:r>
        <w:t>Calculate normalized percent rescue for each ASO candidate across the 20 most disease-predictive electrophysiological features from Quiver atlas, controlling for batch effects and experimental day variability.</w:t>
      </w:r>
    </w:p>
    <w:p>
      <w:pPr>
        <w:pStyle w:val="ListBullet"/>
        <w:ind w:left="720"/>
      </w:pPr>
      <w:r>
        <w:t>Quantify inter-batch reproducibility of electrophysiological rescue using intra-class correlation coefficients (ICC &gt; 0.8 threshold) across minimum 3 independent neuronal differentiations.</w:t>
      </w:r>
    </w:p>
    <w:p>
      <w:pPr>
        <w:pStyle w:val="ListBullet"/>
        <w:ind w:left="720"/>
      </w:pPr>
      <w:r>
        <w:t>Determine optimal ASO dose range and target mRNA knockdown requirement by integrating dose-response EP recordings with qRT-PCR quantification of target transcript reduction.</w:t>
      </w:r>
    </w:p>
    <w:p>
      <w:pPr>
        <w:pStyle w:val="ListBullet"/>
        <w:ind w:left="720"/>
      </w:pPr>
      <w:r>
        <w:t>Perform unsupervised clustering of ASO-induced electrophysiological phenotypes to identify distinct mechanistic rescue patterns and off-target effect indicators.</w:t>
      </w:r>
    </w:p>
    <w:p>
      <w:pPr>
        <w:pStyle w:val="ListBullet"/>
        <w:ind w:left="720"/>
      </w:pPr>
      <w:r>
        <w:t>Rank ASO candidates by overall efficacy score (weighted combination of effect sizes across top 5 disease-relevant features, with reproducibility penalty for high inter-batch variance).</w:t>
      </w:r>
    </w:p>
    <w:p>
      <w:r>
        <w:rPr>
          <w:b/>
        </w:rPr>
        <w:t>Expected Outputs:</w:t>
      </w:r>
    </w:p>
    <w:p>
      <w:pPr>
        <w:pStyle w:val="ListBullet"/>
        <w:ind w:left="720"/>
      </w:pPr>
      <w:r>
        <w:t>Efficacy scorecard for each ASO program listing normalized percent rescue (0-100%), absolute effect sizes (Cohen's d), and feature-specific rescue percentages ranked by importance</w:t>
      </w:r>
    </w:p>
    <w:p>
      <w:pPr>
        <w:pStyle w:val="ListBullet"/>
        <w:ind w:left="720"/>
      </w:pPr>
      <w:r>
        <w:t>Reproducibility metrics including ICC values, 95% confidence intervals for efficacy estimates, and batch effect corrections applied to standardize across experimental cohorts</w:t>
      </w:r>
    </w:p>
    <w:p>
      <w:pPr>
        <w:pStyle w:val="ListBullet"/>
        <w:ind w:left="720"/>
      </w:pPr>
      <w:r>
        <w:t>Dose-response curves with EC50 values, optimal therapeutic dose ranges, and target knockdown requirements (% mRNA reduction) for each ASO candidate</w:t>
      </w:r>
    </w:p>
    <w:p>
      <w:pPr>
        <w:pStyle w:val="ListBullet"/>
        <w:ind w:left="720"/>
      </w:pPr>
      <w:r>
        <w:t>Phenotypic rescue signature heatmaps displaying ASO-induced changes across 30-50 electrophysiological parameters, highlighting most robustly corrected features</w:t>
      </w:r>
    </w:p>
    <w:p>
      <w:pPr>
        <w:pStyle w:val="ListBullet"/>
        <w:ind w:left="720"/>
      </w:pPr>
      <w:r>
        <w:t>Mechanistic clustering analysis identifying distinct rescue pathway clusters and off-target effect risk flags based on unexpected phenotypic changes</w:t>
      </w:r>
    </w:p>
    <w:p>
      <w:pPr>
        <w:pStyle w:val="ListBullet"/>
        <w:ind w:left="720"/>
      </w:pPr>
      <w:r>
        <w:t>Preliminary efficacy ranking of ASO programs (1-5+) based on magnitude, consistency, and reproducibility of electrophysiological rescue across disease-relevant neuronal subtypes</w:t>
      </w:r>
    </w:p>
    <w:p>
      <w:r>
        <w:rPr>
          <w:b/>
        </w:rPr>
        <w:t xml:space="preserve">Format: </w:t>
      </w:r>
      <w:r>
        <w:t>Multi-sheet Excel workbook with efficacy scorecards, dose-response curves, statistical summaries, and hierarchical visualizations; accompanying markdown report documenting analytical methods, statistical thresholds, and data quality assessment.</w:t>
      </w:r>
    </w:p>
    <w:p>
      <w:pPr>
        <w:pStyle w:val="Heading2"/>
      </w:pPr>
      <w:r>
        <w:t>Stage 2: Safety Pharmacology Profiling &amp; Off-Target Risk Assessment</w:t>
      </w:r>
    </w:p>
    <w:p>
      <w:r>
        <w:rPr>
          <w:b/>
        </w:rPr>
        <w:t xml:space="preserve">Purpose: </w:t>
      </w:r>
      <w:r>
        <w:t>Conduct comprehensive safety pharmacology evaluation of ASO candidates through in vitro multi-electrode array (MEA) recordings in non-target neuronal populations, assess off-target binding potentials using sequence bioinformatics, and predict cardiovascular and hepatic safety liabilities via hERG and CYP enzyme interaction modeling.</w:t>
      </w:r>
    </w:p>
    <w:p>
      <w:r>
        <w:rPr>
          <w:b/>
        </w:rPr>
        <w:t>Inputs:</w:t>
      </w:r>
    </w:p>
    <w:p>
      <w:pPr>
        <w:pStyle w:val="ListBullet"/>
        <w:ind w:left="720"/>
      </w:pPr>
      <w:r>
        <w:t>ASO sequences, chemical modifications (phosphorothioate patterns, 2'-O-methyl modifications, sugar modifications), and corresponding binding thermodynamics data</w:t>
      </w:r>
    </w:p>
    <w:p>
      <w:pPr>
        <w:pStyle w:val="ListBullet"/>
        <w:ind w:left="720"/>
      </w:pPr>
      <w:r>
        <w:t>In vitro multi-electrode array (MEA) recordings from non-target neuronal populations (cortical, cerebellar, peripheral neurons) exposed to ASO treatment at therapeutically relevant concentrations</w:t>
      </w:r>
    </w:p>
    <w:p>
      <w:pPr>
        <w:pStyle w:val="ListBullet"/>
        <w:ind w:left="720"/>
      </w:pPr>
      <w:r>
        <w:t>Whole-genome sequence alignments and off-target binding prediction databases (OT-seq data, Seed Region Match Analysis) with published off-target mRNA transcripts</w:t>
      </w:r>
    </w:p>
    <w:p>
      <w:pPr>
        <w:pStyle w:val="ListBullet"/>
        <w:ind w:left="720"/>
      </w:pPr>
      <w:r>
        <w:t>hERG patch-clamp electrophysiology data, CYP enzyme inhibition kinetics (CYP3A4, CYP2C9, CYP2D6 IC50 values), and hepatic metabolite stability measurements from hepatocyte incubations</w:t>
      </w:r>
    </w:p>
    <w:p>
      <w:pPr>
        <w:pStyle w:val="ListBullet"/>
        <w:ind w:left="720"/>
      </w:pPr>
      <w:r>
        <w:t>Immune activation markers (IL-6, TNF-α, IFN-β cytokine induction) from blood mononuclear cell stimulation assays and isolated hepatocyte inflammatory response profiles</w:t>
      </w:r>
    </w:p>
    <w:p>
      <w:r>
        <w:rPr>
          <w:b/>
        </w:rPr>
        <w:t>Tools &amp; Databases Called:</w:t>
      </w:r>
    </w:p>
    <w:p>
      <w:pPr>
        <w:pStyle w:val="ListBullet"/>
        <w:ind w:left="720"/>
      </w:pPr>
      <w:r>
        <w:t>OT-seq Off-Target Binding Database: genome-wide seed-based off-target prediction, thermodynamic binding affinity calculation, off-target transcript abundance quantification</w:t>
      </w:r>
    </w:p>
    <w:p>
      <w:pPr>
        <w:pStyle w:val="ListBullet"/>
        <w:ind w:left="720"/>
      </w:pPr>
      <w:r>
        <w:t>MEA Electrophysiology Analysis Suite: spike train statistics, burst detection, network synchronization metrics, dose-dependent neuronal activity suppression quantification</w:t>
      </w:r>
    </w:p>
    <w:p>
      <w:pPr>
        <w:pStyle w:val="ListBullet"/>
        <w:ind w:left="720"/>
      </w:pPr>
      <w:r>
        <w:t>hERG Safety Prediction Engine: patch-clamp data integration, IC50 determination, QTc prolongation risk classification (FDA S7B guideline compliance), drug-drug interaction potential</w:t>
      </w:r>
    </w:p>
    <w:p>
      <w:pPr>
        <w:pStyle w:val="ListBullet"/>
        <w:ind w:left="720"/>
      </w:pPr>
      <w:r>
        <w:t>CYP Enzyme Inhibition Database: IC50/Km determination, time-dependent inhibition assessment, substrate vs. inhibitor classification, human-specific metabolic pathway prediction</w:t>
      </w:r>
    </w:p>
    <w:p>
      <w:pPr>
        <w:pStyle w:val="ListBullet"/>
        <w:ind w:left="720"/>
      </w:pPr>
      <w:r>
        <w:t>Immune Activation Biomarker Panel: cytokine quantification (Luminex/ELISA), toll-like receptor (TLR) pathway activation assessment, innate immunity response scoring</w:t>
      </w:r>
    </w:p>
    <w:p>
      <w:pPr>
        <w:pStyle w:val="ListBullet"/>
        <w:ind w:left="720"/>
      </w:pPr>
      <w:r>
        <w:t>Safety Liability Aggregation Framework: multi-domain hazard scoring, regulatory precedent mapping (FDA ASO guidance, ICH M3(R2) criteria), IND-level safety risk classification</w:t>
      </w:r>
    </w:p>
    <w:p>
      <w:r>
        <w:rPr>
          <w:b/>
        </w:rPr>
        <w:t>Exemplary Sub-Prompts:</w:t>
      </w:r>
    </w:p>
    <w:p>
      <w:pPr>
        <w:pStyle w:val="ListBullet"/>
        <w:ind w:left="720"/>
      </w:pPr>
      <w:r>
        <w:t>Map off-target binding sites for each ASO candidate using OT-seq database, filtering for targets with mRNA expression in critical organ systems (liver, kidney, heart) and quantify off-target transcript knockdown risk.</w:t>
      </w:r>
    </w:p>
    <w:p>
      <w:pPr>
        <w:pStyle w:val="ListBullet"/>
        <w:ind w:left="720"/>
      </w:pPr>
      <w:r>
        <w:t>Analyze multi-electrode array recordings from non-target neuronal populations (cerebellar, dorsal root ganglion, hippocampal non-target subtypes) to assess ASO-induced network activity perturbations at therapeutic doses.</w:t>
      </w:r>
    </w:p>
    <w:p>
      <w:pPr>
        <w:pStyle w:val="ListBullet"/>
        <w:ind w:left="720"/>
      </w:pPr>
      <w:r>
        <w:t>Classify hERG inhibition potency (IC50 values), predict QTc prolongation risk using FDA S7B-S7A integration, and stratify cardiac safety liability across ASO programs.</w:t>
      </w:r>
    </w:p>
    <w:p>
      <w:pPr>
        <w:pStyle w:val="ListBullet"/>
        <w:ind w:left="720"/>
      </w:pPr>
      <w:r>
        <w:t>Quantify innate immune activation potential (TLR-mediated cytokine induction: IL-6, TNF-α, IFN-β) and hepatic inflammatory response markers (CRP, serum amyloid A) in primary human hepatocytes and PBMC stimulation assays.</w:t>
      </w:r>
    </w:p>
    <w:p>
      <w:pPr>
        <w:pStyle w:val="ListBullet"/>
        <w:ind w:left="720"/>
      </w:pPr>
      <w:r>
        <w:t>Aggregate safety liabilities across domains (off-target binding, cardiovascular, hepatic, immune) using weighted hazard scoring system aligned with FDA ASO IND guidance and ICH M3 safety assessment criteria.</w:t>
      </w:r>
    </w:p>
    <w:p>
      <w:r>
        <w:rPr>
          <w:b/>
        </w:rPr>
        <w:t>Expected Outputs:</w:t>
      </w:r>
    </w:p>
    <w:p>
      <w:pPr>
        <w:pStyle w:val="ListBullet"/>
        <w:ind w:left="720"/>
      </w:pPr>
      <w:r>
        <w:t>Off-target binding risk profile for each ASO listing predicted off-target sites, cross-hybridization thermodynamics (Tm values), and organ-specific expression context of off-target genes</w:t>
      </w:r>
    </w:p>
    <w:p>
      <w:pPr>
        <w:pStyle w:val="ListBullet"/>
        <w:ind w:left="720"/>
      </w:pPr>
      <w:r>
        <w:t>Multi-electrode array neurotoxicity scorecards documenting dose-dependent effects on spike rate, burst frequency, and network synchronization in non-target neuronal populations</w:t>
      </w:r>
    </w:p>
    <w:p>
      <w:pPr>
        <w:pStyle w:val="ListBullet"/>
        <w:ind w:left="720"/>
      </w:pPr>
      <w:r>
        <w:t>Cardiovascular safety classification including hERG IC50 values, QTc prolongation risk level (high/moderate/low), and drug-drug interaction potential with CYP inhibitor co-administration</w:t>
      </w:r>
    </w:p>
    <w:p>
      <w:pPr>
        <w:pStyle w:val="ListBullet"/>
        <w:ind w:left="720"/>
      </w:pPr>
      <w:r>
        <w:t>Hepatic and immune safety assessments quantifying hepatocyte cytotoxicity (LDH release, ATP content), CYP enzyme inhibition (IC50, time-dependency, substrate class), and innate immune activation (cytokine fold-induction vs. control)</w:t>
      </w:r>
    </w:p>
    <w:p>
      <w:pPr>
        <w:pStyle w:val="ListBullet"/>
        <w:ind w:left="720"/>
      </w:pPr>
      <w:r>
        <w:t>Integrated safety hazard scorecard ranking ASO candidates by cumulative safety risk across off-target, cardiovascular, hepatic, and immune domains with IND-level regulatory classification</w:t>
      </w:r>
    </w:p>
    <w:p>
      <w:pPr>
        <w:pStyle w:val="ListBullet"/>
        <w:ind w:left="720"/>
      </w:pPr>
      <w:r>
        <w:t>Recommended nonclinical safety study packages aligned with FDA ASO Guidance (dose range, study duration, monitoring parameters, GLP requirement justifications) for each program</w:t>
      </w:r>
    </w:p>
    <w:p>
      <w:r>
        <w:rPr>
          <w:b/>
        </w:rPr>
        <w:t xml:space="preserve">Format: </w:t>
      </w:r>
      <w:r>
        <w:t>Comprehensive safety dossier with integrated risk scorecard, supporting data tables, regulatory precedent citations, and nonclinical study design recommendations formatted per FDA ASO Guidance (2019).</w:t>
      </w:r>
    </w:p>
    <w:p>
      <w:pPr>
        <w:pStyle w:val="Heading2"/>
      </w:pPr>
      <w:r>
        <w:t>Stage 3: GLP Toxicology Readiness &amp; IND-Enabling Study Design</w:t>
      </w:r>
    </w:p>
    <w:p>
      <w:r>
        <w:rPr>
          <w:b/>
        </w:rPr>
        <w:t xml:space="preserve">Purpose: </w:t>
      </w:r>
      <w:r>
        <w:t>Assess manufacturing maturity for GLP toxicology studies, design IND-enabling nonclinical safety study packages aligned with FDA ASO Guidance and ICH M3(R2) guidelines, specify optimal animal models and dose-range-finding study parameters, and establish GLP laboratory capability requirements and timelines.</w:t>
      </w:r>
    </w:p>
    <w:p>
      <w:r>
        <w:rPr>
          <w:b/>
        </w:rPr>
        <w:t>Inputs:</w:t>
      </w:r>
    </w:p>
    <w:p>
      <w:pPr>
        <w:pStyle w:val="ListBullet"/>
        <w:ind w:left="720"/>
      </w:pPr>
      <w:r>
        <w:t>ASO manufacturing protocols, current GMP manufacturing capability assessment, release specifications, analytical test method validation status (HPLC purity, mass spectrometry identity, endotoxin, sterility)</w:t>
      </w:r>
    </w:p>
    <w:p>
      <w:pPr>
        <w:pStyle w:val="ListBullet"/>
        <w:ind w:left="720"/>
      </w:pPr>
      <w:r>
        <w:t>Preclinical pharmacokinetics/pharmacodynamics data in relevant species (mouse, rat, non-human primate NHP), including absorption, distribution, metabolism, excretion (ADME) profiles and tissue accumulation patterns</w:t>
      </w:r>
    </w:p>
    <w:p>
      <w:pPr>
        <w:pStyle w:val="ListBullet"/>
        <w:ind w:left="720"/>
      </w:pPr>
      <w:r>
        <w:t>Prior nonclinical safety studies (dose-range-finding, repeat-dose studies in relevant models), clinical precedent for ASO class (Spinraza, Zolgensma, other approved ASO therapeutics), and FDA guidance documents (ASO Guidance 2019, ICH M3(R2), S6(R1) for biologics safety)</w:t>
      </w:r>
    </w:p>
    <w:p>
      <w:pPr>
        <w:pStyle w:val="ListBullet"/>
        <w:ind w:left="720"/>
      </w:pPr>
      <w:r>
        <w:t>Target tissue distribution requirements, CNS penetration necessity assessment, and organ-specific safety monitoring needs (liver, kidney, immune organs) based on target biology and off-target analysis</w:t>
      </w:r>
    </w:p>
    <w:p>
      <w:pPr>
        <w:pStyle w:val="ListBullet"/>
        <w:ind w:left="720"/>
      </w:pPr>
      <w:r>
        <w:t>Preliminary human dose projections, intended clinical population characteristics (pediatric, adult, disease-specific comorbidities), and anticipated dosing regimens from preclinical efficacy and PK/PD data</w:t>
      </w:r>
    </w:p>
    <w:p>
      <w:r>
        <w:rPr>
          <w:b/>
        </w:rPr>
        <w:t>Tools &amp; Databases Called:</w:t>
      </w:r>
    </w:p>
    <w:p>
      <w:pPr>
        <w:pStyle w:val="ListBullet"/>
        <w:ind w:left="720"/>
      </w:pPr>
      <w:r>
        <w:t>FDA ASO Guidance (2019), ICH M3(R2), S6(R1) Guideline Database: regulatory requirements mapping, study design precedent extraction, IND application dossier composition framework</w:t>
      </w:r>
    </w:p>
    <w:p>
      <w:pPr>
        <w:pStyle w:val="ListBullet"/>
        <w:ind w:left="720"/>
      </w:pPr>
      <w:r>
        <w:t>GLP Preclinical Study Design Framework: animal model selection (rodent vs. NHP justification), dose selection algorithms (maximum tolerated dose estimation from in vitro data), organ-specific monitoring parameter recommendations</w:t>
      </w:r>
    </w:p>
    <w:p>
      <w:pPr>
        <w:pStyle w:val="ListBullet"/>
        <w:ind w:left="720"/>
      </w:pPr>
      <w:r>
        <w:t>Pharmacokinetics Modeling &amp; Prediction: species-specific absorption estimates, clearance prediction algorithms (hepatic metabolic capacity, renal excretion), tissue distribution modeling with CNS penetration assessment</w:t>
      </w:r>
    </w:p>
    <w:p>
      <w:pPr>
        <w:pStyle w:val="ListBullet"/>
        <w:ind w:left="720"/>
      </w:pPr>
      <w:r>
        <w:t>Manufacturing Readiness Assessment Tool: GMP compliance checklist, analytical method validation status tracker, manufacturing scale-up feasibility analysis, cost-of-goods (COGS) estimation</w:t>
      </w:r>
    </w:p>
    <w:p>
      <w:pPr>
        <w:pStyle w:val="ListBullet"/>
        <w:ind w:left="720"/>
      </w:pPr>
      <w:r>
        <w:t>Clinical Dose Projection Calculator: allometric scaling from preclinical species, PK/PD model-based simulations, human equivalent dose (HED) derivation with safety margin incorporation (typically 10-fold)</w:t>
      </w:r>
    </w:p>
    <w:p>
      <w:pPr>
        <w:pStyle w:val="ListBullet"/>
        <w:ind w:left="720"/>
      </w:pPr>
      <w:r>
        <w:t>GLP Laboratory Network Database: CRO capability matching (rodent, primate, neurotoxicology specialty), historical timeline data for study initiation-to-completion, quality audit records and regulatory inspection histories</w:t>
      </w:r>
    </w:p>
    <w:p>
      <w:r>
        <w:rPr>
          <w:b/>
        </w:rPr>
        <w:t>Exemplary Sub-Prompts:</w:t>
      </w:r>
    </w:p>
    <w:p>
      <w:pPr>
        <w:pStyle w:val="ListBullet"/>
        <w:ind w:left="720"/>
      </w:pPr>
      <w:r>
        <w:t>Assess current GMP manufacturing readiness for each ASO, identify critical path items for commercial scale-up (formulation stability, lyophilization validation, container closure compatibility), and project timeline to GMP clinical supply capability.</w:t>
      </w:r>
    </w:p>
    <w:p>
      <w:pPr>
        <w:pStyle w:val="ListBullet"/>
        <w:ind w:left="720"/>
      </w:pPr>
      <w:r>
        <w:t>Design optimal GLP toxicology study package (28-day repeat-dose + recovery study in rats, 28-day in NHP if CNS penetration required) with species-specific dose level justification using allometric scaling and 10-fold safety margins.</w:t>
      </w:r>
    </w:p>
    <w:p>
      <w:pPr>
        <w:pStyle w:val="ListBullet"/>
        <w:ind w:left="720"/>
      </w:pPr>
      <w:r>
        <w:t>Project human equivalent doses (HED) using preclinical PK/PD data, propose initial Phase 1 dose escalation schemes, and specify safety monitoring parameters (clinical observations, organ weights, clinical pathology, tissue histopathology) aligned with FDA ASO Guidance.</w:t>
      </w:r>
    </w:p>
    <w:p>
      <w:pPr>
        <w:pStyle w:val="ListBullet"/>
        <w:ind w:left="720"/>
      </w:pPr>
      <w:r>
        <w:t>Identify GLP-certified contract research organizations (CROs) with relevant ASO toxicology expertise, request capability statements, and establish nonclinical timeline Gantt charts with key milestones (dose-range-finding Q2, IND-enabling studies Q3-Q4).</w:t>
      </w:r>
    </w:p>
    <w:p>
      <w:pPr>
        <w:pStyle w:val="ListBullet"/>
        <w:ind w:left="720"/>
      </w:pPr>
      <w:r>
        <w:t>Compile regulatory intelligence on precedent ASO programs (approved: Spinraza, Zolgensma, Inotersen; recent IND approvals) to extract study design precedents, organ-specific safety signals, and regulatory expectations for similar mechanisms and patient populations.</w:t>
      </w:r>
    </w:p>
    <w:p>
      <w:r>
        <w:rPr>
          <w:b/>
        </w:rPr>
        <w:t>Expected Outputs:</w:t>
      </w:r>
    </w:p>
    <w:p>
      <w:pPr>
        <w:pStyle w:val="ListBullet"/>
        <w:ind w:left="720"/>
      </w:pPr>
      <w:r>
        <w:t>Manufacturing readiness gap analysis identifying critical path items (formulation optimization, stability validation, scale-up feasibility, timeline to GMP supply) and regulatory compliance status for each ASO</w:t>
      </w:r>
    </w:p>
    <w:p>
      <w:pPr>
        <w:pStyle w:val="ListBullet"/>
        <w:ind w:left="720"/>
      </w:pPr>
      <w:r>
        <w:t>Detailed GLP study design recommendations including animal model selection (species, strain, sex distribution), dose level justification, dosing interval, study duration, recovery phase design, and organ-specific monitoring protocols</w:t>
      </w:r>
    </w:p>
    <w:p>
      <w:pPr>
        <w:pStyle w:val="ListBullet"/>
        <w:ind w:left="720"/>
      </w:pPr>
      <w:r>
        <w:t>Projected human equivalent doses (HED) with allometric scaling derivations, proposed Phase 1 dose escalation schemes (starting dose, escalation multipliers, cohort sizes), and safety stopping rules</w:t>
      </w:r>
    </w:p>
    <w:p>
      <w:pPr>
        <w:pStyle w:val="ListBullet"/>
        <w:ind w:left="720"/>
      </w:pPr>
      <w:r>
        <w:t>Comprehensive IND-enabling study package specification document (FDA ASO Guidance-aligned) detailing study objectives, design rationale, safety monitoring parameters, quality control checkpoints, and expected completion timelines</w:t>
      </w:r>
    </w:p>
    <w:p>
      <w:pPr>
        <w:pStyle w:val="ListBullet"/>
        <w:ind w:left="720"/>
      </w:pPr>
      <w:r>
        <w:t>CRO vendor selection scorecard comparing capabilities (GLP certification status, historical ASO experience, neurotoxicology expertise, timeline feasibility), pricing estimates, and contract terms for recommended partners</w:t>
      </w:r>
    </w:p>
    <w:p>
      <w:pPr>
        <w:pStyle w:val="ListBullet"/>
        <w:ind w:left="720"/>
      </w:pPr>
      <w:r>
        <w:t>Regulatory intelligence summary extracting study design precedents, dose selection strategies, and safety signals from precedent approved/IND ASO programs; assessment of applicability to current pipeline</w:t>
      </w:r>
    </w:p>
    <w:p>
      <w:r>
        <w:rPr>
          <w:b/>
        </w:rPr>
        <w:t xml:space="preserve">Format: </w:t>
      </w:r>
      <w:r>
        <w:t>Multi-document regulatory package including manufacturing readiness assessment, detailed GLP study protocols with species-specific justifications, HED derivations with safety margin documentation, vendor comparison matrices, and regulatory precedent briefing document.</w:t>
      </w:r>
    </w:p>
    <w:p>
      <w:pPr>
        <w:pStyle w:val="Heading2"/>
      </w:pPr>
      <w:r>
        <w:t>Stage 4: Chemistry Manufacturing Controls (CMC) Readiness Assessment</w:t>
      </w:r>
    </w:p>
    <w:p>
      <w:r>
        <w:rPr>
          <w:b/>
        </w:rPr>
        <w:t xml:space="preserve">Purpose: </w:t>
      </w:r>
      <w:r>
        <w:t>Evaluate chemistry, manufacturing, and controls (CMC) maturity across each ASO program using FDA CMC guidelines, identify critical gaps in analytical methods validation, stability protocols, manufacturing process control, and supply chain risk; specify remediation roadmaps with timelines to IND-submission readiness.</w:t>
      </w:r>
    </w:p>
    <w:p>
      <w:r>
        <w:rPr>
          <w:b/>
        </w:rPr>
        <w:t>Inputs:</w:t>
      </w:r>
    </w:p>
    <w:p>
      <w:pPr>
        <w:pStyle w:val="ListBullet"/>
        <w:ind w:left="720"/>
      </w:pPr>
      <w:r>
        <w:t>Current analytical method validation status (HPLC purity, capillary electrophoresis (CE) sequence verification, mass spectrometry (MS) identity, nuclear magnetic resonance (NMR) structure confirmation)</w:t>
      </w:r>
    </w:p>
    <w:p>
      <w:pPr>
        <w:pStyle w:val="ListBullet"/>
        <w:ind w:left="720"/>
      </w:pPr>
      <w:r>
        <w:t>Drug substance (DS) and drug product (DP) stability data (temperature, humidity challenge studies), accelerated stability protocols, long-term storage stability predictions, and shelf-life determination methodologies</w:t>
      </w:r>
    </w:p>
    <w:p>
      <w:pPr>
        <w:pStyle w:val="ListBullet"/>
        <w:ind w:left="720"/>
      </w:pPr>
      <w:r>
        <w:t>Manufacturing process descriptions (synthesis route, purification steps, yield optimization, scale-up feasibility), in-process control parameters, process validation strategy, and cost-of-goods analysis</w:t>
      </w:r>
    </w:p>
    <w:p>
      <w:pPr>
        <w:pStyle w:val="ListBullet"/>
        <w:ind w:left="720"/>
      </w:pPr>
      <w:r>
        <w:t>Formulation development status, container closure compatibility studies, excipient qualification status, fill-finish manufacturing requirements, and clinical supply specifications</w:t>
      </w:r>
    </w:p>
    <w:p>
      <w:pPr>
        <w:pStyle w:val="ListBullet"/>
        <w:ind w:left="720"/>
      </w:pPr>
      <w:r>
        <w:t>Supply chain risk assessment (raw material sourcing, manufacturing site dependencies, regulatory audit history), business continuity plans, and redundancy strategies for critical supply elements</w:t>
      </w:r>
    </w:p>
    <w:p>
      <w:r>
        <w:rPr>
          <w:b/>
        </w:rPr>
        <w:t>Tools &amp; Databases Called:</w:t>
      </w:r>
    </w:p>
    <w:p>
      <w:pPr>
        <w:pStyle w:val="ListBullet"/>
        <w:ind w:left="720"/>
      </w:pPr>
      <w:r>
        <w:t>FDA CMC Guidance (2017 Post-Approval Changes, ATMP guidelines), ICH Q2(R2) Analytical Method Validation, ICH Q1A-Q1E Stability Guidelines: regulatory requirement extraction, compliance checklist generation</w:t>
      </w:r>
    </w:p>
    <w:p>
      <w:pPr>
        <w:pStyle w:val="ListBullet"/>
        <w:ind w:left="720"/>
      </w:pPr>
      <w:r>
        <w:t>Analytical Method Validation Framework: acceptance criteria determination, method development tracking, validation protocol specification, GLP analytical lab network directory</w:t>
      </w:r>
    </w:p>
    <w:p>
      <w:pPr>
        <w:pStyle w:val="ListBullet"/>
        <w:ind w:left="720"/>
      </w:pPr>
      <w:r>
        <w:t>Stability Prediction &amp; Shelf-Life Modeling: Arrhenius kinetics modeling, accelerated degradation pathway prediction, worst-case scenario analysis, shelf-life determination (long-term vs. accelerated study data integration)</w:t>
      </w:r>
    </w:p>
    <w:p>
      <w:pPr>
        <w:pStyle w:val="ListBullet"/>
        <w:ind w:left="720"/>
      </w:pPr>
      <w:r>
        <w:t>Process Capability Analysis: six-sigma quality metrics calculation, manufacturing yield trending, in-process control parameter optimization, process robustness assessment against supplier variability</w:t>
      </w:r>
    </w:p>
    <w:p>
      <w:pPr>
        <w:pStyle w:val="ListBullet"/>
        <w:ind w:left="720"/>
      </w:pPr>
      <w:r>
        <w:t>Formulation &amp; Container Closure Database: excipient sourcing options, container compatibility assessment (glass, plastic systems), fill-finish capacity evaluation (vials, pre-filled syringes, other delivery systems)</w:t>
      </w:r>
    </w:p>
    <w:p>
      <w:pPr>
        <w:pStyle w:val="ListBullet"/>
        <w:ind w:left="720"/>
      </w:pPr>
      <w:r>
        <w:t>Supply Chain Risk Assessment Tool: supplier financial stability auditing, geographic diversification analysis, regulatory audit tracking, business continuity scenario modeling</w:t>
      </w:r>
    </w:p>
    <w:p>
      <w:r>
        <w:rPr>
          <w:b/>
        </w:rPr>
        <w:t>Exemplary Sub-Prompts:</w:t>
      </w:r>
    </w:p>
    <w:p>
      <w:pPr>
        <w:pStyle w:val="ListBullet"/>
        <w:ind w:left="720"/>
      </w:pPr>
      <w:r>
        <w:t>Audit current analytical method validation status across HPLC identity/purity, CE sequence, MS confirmation, and NMR structure verification; identify gaps requiring method development or re-qualification for GMP compliance.</w:t>
      </w:r>
    </w:p>
    <w:p>
      <w:pPr>
        <w:pStyle w:val="ListBullet"/>
        <w:ind w:left="720"/>
      </w:pPr>
      <w:r>
        <w:t>Conduct stability data gap analysis comparing current DS/DP data against ICH Q1A/Q1B requirements; design accelerated + long-term stability protocols aligned with proposed commercial shelf-life (typically 36 months for ASO injectables).</w:t>
      </w:r>
    </w:p>
    <w:p>
      <w:pPr>
        <w:pStyle w:val="ListBullet"/>
        <w:ind w:left="720"/>
      </w:pPr>
      <w:r>
        <w:t>Evaluate manufacturing process robustness through in-process control parameter optimization, perform six-sigma capability analysis on key yield metrics, and project scale-up feasibility from research-scale to commercial GMP quantities.</w:t>
      </w:r>
    </w:p>
    <w:p>
      <w:pPr>
        <w:pStyle w:val="ListBullet"/>
        <w:ind w:left="720"/>
      </w:pPr>
      <w:r>
        <w:t>Assess container-closure compatibility for proposed formulation (liquid vs. lyophilized), evaluate fill-finish manufacturing capacity across contract manufacturers, and specify clinical supply chain requirements and timelines.</w:t>
      </w:r>
    </w:p>
    <w:p>
      <w:pPr>
        <w:pStyle w:val="ListBullet"/>
        <w:ind w:left="720"/>
      </w:pPr>
      <w:r>
        <w:t>Map supply chain risk across raw materials, manufacturing sites, and finished product suppliers; identify single-point-of-failure dependencies, conduct vendor financial stability assessments, and develop redundancy strategies for critical supply elements.</w:t>
      </w:r>
    </w:p>
    <w:p>
      <w:r>
        <w:rPr>
          <w:b/>
        </w:rPr>
        <w:t>Expected Outputs:</w:t>
      </w:r>
    </w:p>
    <w:p>
      <w:pPr>
        <w:pStyle w:val="ListBullet"/>
        <w:ind w:left="720"/>
      </w:pPr>
      <w:r>
        <w:t>Comprehensive CMC gap assessment scorecard across analytical methods (validation status, acceptance criteria), stability programs (data completeness, shelf-life determination), manufacturing (process capability, yield optimization), and formulation readiness</w:t>
      </w:r>
    </w:p>
    <w:p>
      <w:pPr>
        <w:pStyle w:val="ListBullet"/>
        <w:ind w:left="720"/>
      </w:pPr>
      <w:r>
        <w:t>Detailed analytical method validation roadmap with timelines to GMP compliance, specifying required HPLC/CE/MS/NMR method development or re-qualification, acceptance criteria alignment with ICH Q2(R2), and required GLP analytical lab resources</w:t>
      </w:r>
    </w:p>
    <w:p>
      <w:pPr>
        <w:pStyle w:val="ListBullet"/>
        <w:ind w:left="720"/>
      </w:pPr>
      <w:r>
        <w:t>Stability protocol specifications (long-term/accelerated/intermediate studies per ICH Q1A/Q1B), shelf-life projections with supporting Arrhenius modeling, and critical quality attributes (CQA) for release &amp; stability testing</w:t>
      </w:r>
    </w:p>
    <w:p>
      <w:pPr>
        <w:pStyle w:val="ListBullet"/>
        <w:ind w:left="720"/>
      </w:pPr>
      <w:r>
        <w:t>Manufacturing process optimization recommendations (in-process control refinement, yield improvement targets, six-sigma capability metrics), scale-up feasibility assessment, and cost-of-goods estimates for clinical and commercial supply</w:t>
      </w:r>
    </w:p>
    <w:p>
      <w:pPr>
        <w:pStyle w:val="ListBullet"/>
        <w:ind w:left="720"/>
      </w:pPr>
      <w:r>
        <w:t>Container-closure compatibility study design (proposed package system, liquid vs. lyophilized specification), fill-finish manufacturing vendor scorecard (capacity, capability, timeline), and clinical supply specification document</w:t>
      </w:r>
    </w:p>
    <w:p>
      <w:pPr>
        <w:pStyle w:val="ListBullet"/>
        <w:ind w:left="720"/>
      </w:pPr>
      <w:r>
        <w:t>Supply chain risk mitigation strategy with vendor redundancy plan, business continuity protocols, regulatory audit tracking, and financial stability assessments of critical suppliers; timeline to risk mitigation implementation</w:t>
      </w:r>
    </w:p>
    <w:p>
      <w:r>
        <w:rPr>
          <w:b/>
        </w:rPr>
        <w:t xml:space="preserve">Format: </w:t>
      </w:r>
      <w:r>
        <w:t>Multi-worksheet CMC readiness dossier including gap assessment matrices, analytical method validation roadmaps, stability protocols, manufacturing capability summaries, formulation specifications, supply chain risk matrices, and vendor comparison scorecards.</w:t>
      </w:r>
    </w:p>
    <w:p>
      <w:pPr>
        <w:pStyle w:val="Heading2"/>
      </w:pPr>
      <w:r>
        <w:t>Stage 5: FDA Regulatory Strategy &amp; Pre-IND Meeting Preparation</w:t>
      </w:r>
    </w:p>
    <w:p>
      <w:r>
        <w:rPr>
          <w:b/>
        </w:rPr>
        <w:t xml:space="preserve">Purpose: </w:t>
      </w:r>
      <w:r>
        <w:t>Develop comprehensive FDA regulatory strategy aligned with FDA ASO Guidance (2019) and ICH guidelines, prepare pre-IND meeting briefing package with scientific rationale and nonclinical data summaries, anticipate regulatory questions and draft response strategies, and establish FDA engagement roadmap for successful IND approval.</w:t>
      </w:r>
    </w:p>
    <w:p>
      <w:r>
        <w:rPr>
          <w:b/>
        </w:rPr>
        <w:t>Inputs:</w:t>
      </w:r>
    </w:p>
    <w:p>
      <w:pPr>
        <w:pStyle w:val="ListBullet"/>
        <w:ind w:left="720"/>
      </w:pPr>
      <w:r>
        <w:t>Completed nonclinical safety data packages (GLP toxicology studies, organ-specific safety assessment, off-target binding analysis, safety pharmacology results)</w:t>
      </w:r>
    </w:p>
    <w:p>
      <w:pPr>
        <w:pStyle w:val="ListBullet"/>
        <w:ind w:left="720"/>
      </w:pPr>
      <w:r>
        <w:t>Pharmacokinetics/pharmacodynamics data (tissue distribution, target tissue drug levels, duration of action, species-specific PK differences), clinical dose projection methodology, and safety margin justifications</w:t>
      </w:r>
    </w:p>
    <w:p>
      <w:pPr>
        <w:pStyle w:val="ListBullet"/>
        <w:ind w:left="720"/>
      </w:pPr>
      <w:r>
        <w:t>Target disease epidemiology and unmet medical need assessment, target patient population characteristics (age, severity, disease stage), proposed clinical development plan (Phase 1 study design, patient population, dose escalation scheme, endpoints)</w:t>
      </w:r>
    </w:p>
    <w:p>
      <w:pPr>
        <w:pStyle w:val="ListBullet"/>
        <w:ind w:left="720"/>
      </w:pPr>
      <w:r>
        <w:t>Regulatory precedent intelligence (approved ASO programs: Spinraza, Zolgensma, Inotersen; relevant IND approvals, advisory committee meeting minutes, warning letters relevant to ASO manufacturers)</w:t>
      </w:r>
    </w:p>
    <w:p>
      <w:pPr>
        <w:pStyle w:val="ListBullet"/>
        <w:ind w:left="720"/>
      </w:pPr>
      <w:r>
        <w:t>CMC readiness status, analytical method validation, stability data, manufacturing process validation, supply chain risk mitigation plans, and regulatory audit history (if applicable)</w:t>
      </w:r>
    </w:p>
    <w:p>
      <w:r>
        <w:rPr>
          <w:b/>
        </w:rPr>
        <w:t>Tools &amp; Databases Called:</w:t>
      </w:r>
    </w:p>
    <w:p>
      <w:pPr>
        <w:pStyle w:val="ListBullet"/>
        <w:ind w:left="720"/>
      </w:pPr>
      <w:r>
        <w:t>FDA Regulations &amp; Guidance Database: ASO Guidance (2019), M3(R2) Nonclinical Safety Guidance, CMC Post-Approval Guidance, pre-IND meeting letter templates, IND application checklist (Form 1571)</w:t>
      </w:r>
    </w:p>
    <w:p>
      <w:pPr>
        <w:pStyle w:val="ListBullet"/>
        <w:ind w:left="720"/>
      </w:pPr>
      <w:r>
        <w:t>Regulatory Intelligence Platform: CBER approved ASO applications, IND approval timelines, advisory committee meeting minutes, FDA deficiency letters and responses, precedent study design documentation</w:t>
      </w:r>
    </w:p>
    <w:p>
      <w:pPr>
        <w:pStyle w:val="ListBullet"/>
        <w:ind w:left="720"/>
      </w:pPr>
      <w:r>
        <w:t>Clinical Development Planning Framework: Phase 1 study design templates, dose escalation algorithm specification, efficacy endpoint definitions, safety monitoring protocols aligned with mechanism of action and nonclinical findings</w:t>
      </w:r>
    </w:p>
    <w:p>
      <w:pPr>
        <w:pStyle w:val="ListBullet"/>
        <w:ind w:left="720"/>
      </w:pPr>
      <w:r>
        <w:t>Pre-IND Meeting Strategy Tool: anticipated regulatory question prediction using machine learning on precedent IND dossiers, response strategy drafting, document gap analysis, regulatory timeline forecasting</w:t>
      </w:r>
    </w:p>
    <w:p>
      <w:pPr>
        <w:pStyle w:val="ListBullet"/>
        <w:ind w:left="720"/>
      </w:pPr>
      <w:r>
        <w:t>Regulatory Deficiency Prediction Engine: historical FDA IND deficiency analysis, common gaps by therapeutic area, risk-flagged dossier components requiring additional supportive data or clarification</w:t>
      </w:r>
    </w:p>
    <w:p>
      <w:pPr>
        <w:pStyle w:val="ListBullet"/>
        <w:ind w:left="720"/>
      </w:pPr>
      <w:r>
        <w:t>Document Management System: pre-IND meeting briefing package generation, IND dossier compilation (Form 1571, nonclinical summaries, CMC modules, safety reports), version control and regulatory history tracking</w:t>
      </w:r>
    </w:p>
    <w:p>
      <w:r>
        <w:rPr>
          <w:b/>
        </w:rPr>
        <w:t>Exemplary Sub-Prompts:</w:t>
      </w:r>
    </w:p>
    <w:p>
      <w:pPr>
        <w:pStyle w:val="ListBullet"/>
        <w:ind w:left="720"/>
      </w:pPr>
      <w:r>
        <w:t>Draft comprehensive pre-IND meeting briefing package including scientific rationale (target disease, target engagement evidence, nonclinical efficacy data from Quiver atlas), nonclinical safety summaries (GLP tox, off-target binding, safety pharmacology), and proposed clinical development strategy per FDA ASO Guidance structure.</w:t>
      </w:r>
    </w:p>
    <w:p>
      <w:pPr>
        <w:pStyle w:val="ListBullet"/>
        <w:ind w:left="720"/>
      </w:pPr>
      <w:r>
        <w:t>Conduct regulatory intelligence analysis on approved ASO programs (Spinraza, Zolgensma, Inotersen) extracting precedent study designs, regulatory acceptance standards, FDA deficiency patterns, and advisory committee feedback relevant to your ASO mechanism and target patient population.</w:t>
      </w:r>
    </w:p>
    <w:p>
      <w:pPr>
        <w:pStyle w:val="ListBullet"/>
        <w:ind w:left="720"/>
      </w:pPr>
      <w:r>
        <w:t>Predict likely FDA questions (off-target binding characterization, CNS penetration if applicable, manufacturing change control protocols, Phase 1 dose escalation justification) using precedent regulatory intelligence; draft proactive response strategies and supportive data requirements.</w:t>
      </w:r>
    </w:p>
    <w:p>
      <w:pPr>
        <w:pStyle w:val="ListBullet"/>
        <w:ind w:left="720"/>
      </w:pPr>
      <w:r>
        <w:t>Design Phase 1 clinical study protocol (starting dose justification, dose escalation multipliers, cohort sizes, dosing interval, safety monitoring, efficacy endpoint selection) with regulatory alignment to FDA guidance and nonclinical findings (NOAEL/safety margin documentation).</w:t>
      </w:r>
    </w:p>
    <w:p>
      <w:pPr>
        <w:pStyle w:val="ListBullet"/>
        <w:ind w:left="720"/>
      </w:pPr>
      <w:r>
        <w:t>Establish FDA engagement roadmap including pre-IND meeting timing, post-IND approval interim milestones (Type C meetings for protocol clarifications, safety updates), and anticipated regulatory timelines to Phase 2 transition with key decision gates.</w:t>
      </w:r>
    </w:p>
    <w:p>
      <w:r>
        <w:rPr>
          <w:b/>
        </w:rPr>
        <w:t>Expected Outputs:</w:t>
      </w:r>
    </w:p>
    <w:p>
      <w:pPr>
        <w:pStyle w:val="ListBullet"/>
        <w:ind w:left="720"/>
      </w:pPr>
      <w:r>
        <w:t>Comprehensive pre-IND meeting briefing package (FDA ASO Guidance-compliant) including executive summary, scientific rationale with target engagement evidence, complete nonclinical safety/efficacy summaries, CMC readiness status, and proposed clinical development plan</w:t>
      </w:r>
    </w:p>
    <w:p>
      <w:pPr>
        <w:pStyle w:val="ListBullet"/>
        <w:ind w:left="720"/>
      </w:pPr>
      <w:r>
        <w:t>Regulatory intelligence summary extracting precedent ASO approval strategies, FDA deficiency patterns, advisory committee consensus points, and applicability analysis to your program's mechanism and target population</w:t>
      </w:r>
    </w:p>
    <w:p>
      <w:pPr>
        <w:pStyle w:val="ListBullet"/>
        <w:ind w:left="720"/>
      </w:pPr>
      <w:r>
        <w:t>Anticipated FDA questions document with proactive response strategies covering off-target binding characterization, target tissue drug levels (if CNS), manufacturing control justifications, and Phase 1 dose escalation rationale with safety margin calculations</w:t>
      </w:r>
    </w:p>
    <w:p>
      <w:pPr>
        <w:pStyle w:val="ListBullet"/>
        <w:ind w:left="720"/>
      </w:pPr>
      <w:r>
        <w:t>Detailed Phase 1 study protocol specification (starting dose justification, escalation scheme, cohort sizes, safety/efficacy monitoring, clinical and laboratory parameters, efficacy endpoint rationale) aligned with nonclinical findings and regulatory expectations</w:t>
      </w:r>
    </w:p>
    <w:p>
      <w:pPr>
        <w:pStyle w:val="ListBullet"/>
        <w:ind w:left="720"/>
      </w:pPr>
      <w:r>
        <w:t>FDA engagement roadmap including pre-IND meeting request letter, post-IND approval interim milestone timelines, Type C meeting triggers, clinical data safety review schedules, and projected regulatory timelines to Phase 2 transition</w:t>
      </w:r>
    </w:p>
    <w:p>
      <w:pPr>
        <w:pStyle w:val="ListBullet"/>
        <w:ind w:left="720"/>
      </w:pPr>
      <w:r>
        <w:t>Regulatory compliance checklist confirming IND application completeness (Form 1571, curricula vitae, nonclinical summaries, CMC information, institutional review board authorization, safety reports) with document cross-references and version control tracking</w:t>
      </w:r>
    </w:p>
    <w:p>
      <w:r>
        <w:rPr>
          <w:b/>
        </w:rPr>
        <w:t xml:space="preserve">Format: </w:t>
      </w:r>
      <w:r>
        <w:t>Comprehensive regulatory strategy dossier including pre-IND briefing package, regulatory intelligence analysis, anticipated questions and responses, Phase 1 protocol specification, FDA engagement roadmap, and IND application readiness checklist.</w:t>
      </w:r>
    </w:p>
    <w:p>
      <w:pPr>
        <w:pStyle w:val="Heading2"/>
      </w:pPr>
      <w:r>
        <w:t>Stage 6: Final IND Readiness Ranking &amp; Go/No-Go Decision Support</w:t>
      </w:r>
    </w:p>
    <w:p>
      <w:r>
        <w:rPr>
          <w:b/>
        </w:rPr>
        <w:t xml:space="preserve">Purpose: </w:t>
      </w:r>
      <w:r>
        <w:t>Synthesize efficacy, safety, CMC, and regulatory readiness data across all 5 ASO programs to generate final composite IND readiness scores and deliver evidence-based go/no-go recommendations prioritized by probability of successful clinical advancement and resource allocation efficiency.</w:t>
      </w:r>
    </w:p>
    <w:p>
      <w:r>
        <w:rPr>
          <w:b/>
        </w:rPr>
        <w:t>Inputs:</w:t>
      </w:r>
    </w:p>
    <w:p>
      <w:pPr>
        <w:pStyle w:val="ListBullet"/>
        <w:ind w:left="720"/>
      </w:pPr>
      <w:r>
        <w:t>Consolidated outputs from Stage 1 (Quiver EP rescue efficacy scores and reproducibility metrics), Stage 2 (safety pharmacology hazard scorecards), Stage 3 (GLP readiness assessments)</w:t>
      </w:r>
    </w:p>
    <w:p>
      <w:pPr>
        <w:pStyle w:val="ListBullet"/>
        <w:ind w:left="720"/>
      </w:pPr>
      <w:r>
        <w:t>Stage 4 (CMC readiness gap analysis and remediation timelines), Stage 5 (FDA regulatory strategy assessment and pre-IND meeting readiness), and supporting evidence from all prior analytical stages</w:t>
      </w:r>
    </w:p>
    <w:p>
      <w:pPr>
        <w:pStyle w:val="ListBullet"/>
        <w:ind w:left="720"/>
      </w:pPr>
      <w:r>
        <w:t>Program-specific business considerations: development timeline constraints, funding availability, competitive landscape positioning, partnership/out-licensing opportunities, internal resource allocation priorities</w:t>
      </w:r>
    </w:p>
    <w:p>
      <w:pPr>
        <w:pStyle w:val="ListBullet"/>
        <w:ind w:left="720"/>
      </w:pPr>
      <w:r>
        <w:t>Weighted scoring matrix parameters defining relative importance of efficacy vs. safety vs. CMC readiness vs. regulatory probability of success (weights typically: efficacy 30%, safety 25%, CMC 25%, regulatory 20%)</w:t>
      </w:r>
    </w:p>
    <w:p>
      <w:pPr>
        <w:pStyle w:val="ListBullet"/>
        <w:ind w:left="720"/>
      </w:pPr>
      <w:r>
        <w:t>Resource capacity analysis (nonclinical budget, manufacturing capacity, regulatory affairs staff, clinical trial startup timeline), external partnership availability (CRO, CMO, clinical research organization capacity), and internal decision-making criteria/thresholds</w:t>
      </w:r>
    </w:p>
    <w:p>
      <w:r>
        <w:rPr>
          <w:b/>
        </w:rPr>
        <w:t>Tools &amp; Databases Called:</w:t>
      </w:r>
    </w:p>
    <w:p>
      <w:pPr>
        <w:pStyle w:val="ListBullet"/>
        <w:ind w:left="720"/>
      </w:pPr>
      <w:r>
        <w:t>Multi-Criteria Decision Analysis Framework: weighted scoring system implementation, sensitivity analysis (weight variation impact), Monte Carlo simulation for uncertainty quantification, scenario planning tools</w:t>
      </w:r>
    </w:p>
    <w:p>
      <w:pPr>
        <w:pStyle w:val="ListBullet"/>
        <w:ind w:left="720"/>
      </w:pPr>
      <w:r>
        <w:t>Efficacy-Safety Risk Matrix: visual representation of programs in risk vs. benefit space, probability-of-success (PoS) estimation across clinical development phases using Tufts or comparable PoS databases</w:t>
      </w:r>
    </w:p>
    <w:p>
      <w:pPr>
        <w:pStyle w:val="ListBullet"/>
        <w:ind w:left="720"/>
      </w:pPr>
      <w:r>
        <w:t>Development Timeline Forecasting Engine: critical path analysis for GLP studies, CMC remediation, regulatory interactions, Phase 1 startup, and timeline-to-market calculations with Monte Carlo uncertainty</w:t>
      </w:r>
    </w:p>
    <w:p>
      <w:pPr>
        <w:pStyle w:val="ListBullet"/>
        <w:ind w:left="720"/>
      </w:pPr>
      <w:r>
        <w:t>Budget Impact Analysis Tool: nonclinical study cost estimation, CMC remediation spending, manufacturing capacity investments, regulatory consulting costs, clinical development budgeting for Phase 1-2 transition</w:t>
      </w:r>
    </w:p>
    <w:p>
      <w:pPr>
        <w:pStyle w:val="ListBullet"/>
        <w:ind w:left="720"/>
      </w:pPr>
      <w:r>
        <w:t>Portfolio Optimization Algorithms: resource-constrained program ranking, competing priority resolution, internal/external partnership opportunity scoring, competitive differentiation assessment</w:t>
      </w:r>
    </w:p>
    <w:p>
      <w:pPr>
        <w:pStyle w:val="ListBullet"/>
        <w:ind w:left="720"/>
      </w:pPr>
      <w:r>
        <w:t>Executive Decision Support Dashboard: real-time IND readiness visualization, program comparison matrices, go/no-go recommendation summaries with supporting evidence trails, scenario planning outputs</w:t>
      </w:r>
    </w:p>
    <w:p>
      <w:r>
        <w:rPr>
          <w:b/>
        </w:rPr>
        <w:t>Exemplary Sub-Prompts:</w:t>
      </w:r>
    </w:p>
    <w:p>
      <w:pPr>
        <w:pStyle w:val="ListBullet"/>
        <w:ind w:left="720"/>
      </w:pPr>
      <w:r>
        <w:t>Construct weighted multi-criteria scoring matrix for each ASO program integrating efficacy (Quiver EP rescue %), safety hazard score, CMC readiness (% gap closure), and regulatory probability-of-success using standard industry weights (efficacy 30%, safety 25%, CMC 25%, regulatory 20%).</w:t>
      </w:r>
    </w:p>
    <w:p>
      <w:pPr>
        <w:pStyle w:val="ListBullet"/>
        <w:ind w:left="720"/>
      </w:pPr>
      <w:r>
        <w:t>Perform sensitivity analysis on scoring matrix weights to identify programs robust to weighting assumptions vs. those sensitive to prioritization trade-offs; visualize efficacy-safety risk profiles in 2D risk matrices.</w:t>
      </w:r>
    </w:p>
    <w:p>
      <w:pPr>
        <w:pStyle w:val="ListBullet"/>
        <w:ind w:left="720"/>
      </w:pPr>
      <w:r>
        <w:t>Forecast development timelines for top 3-5 ranked programs including critical path GLP studies, CMC remediation milestones, FDA pre-IND/IND approval, Phase 1 startup, and market access projections using project management tools.</w:t>
      </w:r>
    </w:p>
    <w:p>
      <w:pPr>
        <w:pStyle w:val="ListBullet"/>
        <w:ind w:left="720"/>
      </w:pPr>
      <w:r>
        <w:t>Estimate nonclinical, manufacturing, regulatory, and clinical development budgets for top-ranked programs; compare against internal resource availability and external partnership capacity (CRO, CMO, clinical research organizations).</w:t>
      </w:r>
    </w:p>
    <w:p>
      <w:pPr>
        <w:pStyle w:val="ListBullet"/>
        <w:ind w:left="720"/>
      </w:pPr>
      <w:r>
        <w:t>Synthesize go/no-go recommendations with evidence trails: rank 5 programs by composite IND readiness score, highlight key decision factors (major risk flags, differentiating strengths), specify conditional go decisions (e.g., approval contingent on GLP completion timelines or CMC gap closure).</w:t>
      </w:r>
    </w:p>
    <w:p>
      <w:r>
        <w:rPr>
          <w:b/>
        </w:rPr>
        <w:t>Expected Outputs:</w:t>
      </w:r>
    </w:p>
    <w:p>
      <w:pPr>
        <w:pStyle w:val="ListBullet"/>
        <w:ind w:left="720"/>
      </w:pPr>
      <w:r>
        <w:t>Final composite IND readiness scorecard for each program (1-5+ ranking) with component scores: efficacy (%), safety hazard level, CMC readiness (%), regulatory PoS (%), overall weighted composite score</w:t>
      </w:r>
    </w:p>
    <w:p>
      <w:pPr>
        <w:pStyle w:val="ListBullet"/>
        <w:ind w:left="720"/>
      </w:pPr>
      <w:r>
        <w:t>Risk-benefit analysis matrices positioning programs in efficacy-safety space, sensitivity analysis demonstrating program ranking robustness to weight variation, and scenario analysis for alternative prioritization strategies</w:t>
      </w:r>
    </w:p>
    <w:p>
      <w:pPr>
        <w:pStyle w:val="ListBullet"/>
        <w:ind w:left="720"/>
      </w:pPr>
      <w:r>
        <w:t>Development timeline Gantt charts for top 3-5 ranked programs (critical path milestones: GLP initiation/completion, CMC remediation windows, FDA pre-IND/IND/Phase 1 approval, market access projections) with timeline-to-market summaries</w:t>
      </w:r>
    </w:p>
    <w:p>
      <w:pPr>
        <w:pStyle w:val="ListBullet"/>
        <w:ind w:left="720"/>
      </w:pPr>
      <w:r>
        <w:t>Budget impact summary for top-ranked programs (nonclinical costs, manufacturing investment, regulatory consulting, Phase 1 clinical costs) with resource allocation recommendations and internal/external partnership options</w:t>
      </w:r>
    </w:p>
    <w:p>
      <w:pPr>
        <w:pStyle w:val="ListBullet"/>
        <w:ind w:left="720"/>
      </w:pPr>
      <w:r>
        <w:t>Executive go/no-go recommendation with ranked program prioritization (1-5), key decision drivers (efficacy/safety/readiness strengths and gaps), conditional approval criteria, and resource allocation sequencing strategy</w:t>
      </w:r>
    </w:p>
    <w:p>
      <w:pPr>
        <w:pStyle w:val="ListBullet"/>
        <w:ind w:left="720"/>
      </w:pPr>
      <w:r>
        <w:t>Decision support dashboard with real-time program comparison visualizations, filtering/sorting by score components, drill-down to supporting evidence (Stage 1-5 details), and scenario planning outputs allowing weight/parameter sensitivity exploration</w:t>
      </w:r>
    </w:p>
    <w:p>
      <w:r>
        <w:rPr>
          <w:b/>
        </w:rPr>
        <w:t xml:space="preserve">Format: </w:t>
      </w:r>
      <w:r>
        <w:t>Executive briefing document with integrated scorecard, risk matrices, timeline projections, budget summaries, and go/no-go recommendations; comprehensive supporting analytics workbook with multi-criteria scoring, sensitivity analysis, and scenario planning outputs.</w:t>
      </w:r>
    </w:p>
    <w:p>
      <w:pPr>
        <w:pStyle w:val="Heading2"/>
      </w:pPr>
      <w:r>
        <w:t>Comprehensive Tools &amp; Databases Summary</w:t>
      </w:r>
    </w:p>
    <w:p>
      <w:pPr>
        <w:pStyle w:val="ListBullet"/>
        <w:ind w:left="720"/>
      </w:pPr>
      <w:r>
        <w:t>Quiver EP CRISPR Atlas: genome-wide electrophysiological phenotype database</w:t>
      </w:r>
    </w:p>
    <w:p>
      <w:pPr>
        <w:pStyle w:val="ListBullet"/>
        <w:ind w:left="720"/>
      </w:pPr>
      <w:r>
        <w:t>In Vitro Electrophysiology Processing Suite: spike detection, feature extraction</w:t>
      </w:r>
    </w:p>
    <w:p>
      <w:pPr>
        <w:pStyle w:val="ListBullet"/>
        <w:ind w:left="720"/>
      </w:pPr>
      <w:r>
        <w:t>OT-seq Off-Target Binding Database: off-target site prediction</w:t>
      </w:r>
    </w:p>
    <w:p>
      <w:pPr>
        <w:pStyle w:val="ListBullet"/>
        <w:ind w:left="720"/>
      </w:pPr>
      <w:r>
        <w:t>Multi-Electrode Array (MEA) Analysis: neuronal network activity quantification</w:t>
      </w:r>
    </w:p>
    <w:p>
      <w:pPr>
        <w:pStyle w:val="ListBullet"/>
        <w:ind w:left="720"/>
      </w:pPr>
      <w:r>
        <w:t>hERG Safety Prediction Engine: cardiac ion channel assessment</w:t>
      </w:r>
    </w:p>
    <w:p>
      <w:pPr>
        <w:pStyle w:val="ListBullet"/>
        <w:ind w:left="720"/>
      </w:pPr>
      <w:r>
        <w:t>CYP Enzyme Inhibition Database: metabolic pathway evaluation</w:t>
      </w:r>
    </w:p>
    <w:p>
      <w:pPr>
        <w:pStyle w:val="ListBullet"/>
        <w:ind w:left="720"/>
      </w:pPr>
      <w:r>
        <w:t>FDA Regulations &amp; Guidance Database: regulatory requirements mapping</w:t>
      </w:r>
    </w:p>
    <w:p>
      <w:pPr>
        <w:pStyle w:val="ListBullet"/>
        <w:ind w:left="720"/>
      </w:pPr>
      <w:r>
        <w:t>Regulatory Intelligence Platform: competitive intelligence, IND approvals</w:t>
      </w:r>
    </w:p>
    <w:p>
      <w:pPr>
        <w:pStyle w:val="ListBullet"/>
        <w:ind w:left="720"/>
      </w:pPr>
      <w:r>
        <w:t>GLP Laboratory Network Directory: CRO capabilities, timelines</w:t>
      </w:r>
    </w:p>
    <w:p>
      <w:pPr>
        <w:pStyle w:val="ListBullet"/>
        <w:ind w:left="720"/>
      </w:pPr>
      <w:r>
        <w:t>Analytical Method Validation Framework: HPLC, CE, MS method development</w:t>
      </w:r>
    </w:p>
    <w:p>
      <w:pPr>
        <w:pStyle w:val="ListBullet"/>
        <w:ind w:left="720"/>
      </w:pPr>
      <w:r>
        <w:t>Stability Prediction Modeling: shelf-life determination, degradation analysis</w:t>
      </w:r>
    </w:p>
    <w:p>
      <w:pPr>
        <w:pStyle w:val="ListBullet"/>
        <w:ind w:left="720"/>
      </w:pPr>
      <w:r>
        <w:t>Process Capability &amp; Manufacturing Tools: six-sigma optimization</w:t>
      </w:r>
    </w:p>
    <w:p>
      <w:pPr>
        <w:pStyle w:val="ListBullet"/>
        <w:ind w:left="720"/>
      </w:pPr>
      <w:r>
        <w:t>Supply Chain Risk Assessment Tools: vendor auditing, continuity planning</w:t>
      </w:r>
    </w:p>
    <w:p>
      <w:pPr>
        <w:pStyle w:val="ListBullet"/>
        <w:ind w:left="720"/>
      </w:pPr>
      <w:r>
        <w:t>Multi-Criteria Decision Analysis Framework: weighted scoring, sensitivity analysis</w:t>
      </w:r>
    </w:p>
    <w:p>
      <w:pPr>
        <w:pStyle w:val="ListBullet"/>
        <w:ind w:left="720"/>
      </w:pPr>
      <w:r>
        <w:t>Executive Decision Support Dashboard: real-time program comparison visualizations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