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Sapphire Pipeline Workflow: Identify Drug Repurposing Candidates with Pediatric Tolerability</w:t>
      </w:r>
    </w:p>
    <w:p>
      <w:r>
        <w:rPr>
          <w:b/>
        </w:rPr>
        <w:t xml:space="preserve">Prompt: </w:t>
      </w:r>
      <w:r>
        <w:t>Identify drug repurposing candidates with pediatric tolerability.</w:t>
      </w:r>
    </w:p>
    <w:p>
      <w:r>
        <w:t>This pipeline identifies clinical stage and FDA-approved drugs suitable for repurposing in pediatric neurological disease indications by evaluating pharmacological mechanisms using Quiver EP CRISPR atlas data, assessing pediatric safety profiles from clinical literature and FDA PEDS databases, and predicting age-appropriate dosing regimens accounting for developmental pharmacokinetics and neurotoxicology.</w:t>
      </w:r>
    </w:p>
    <w:p>
      <w:r>
        <w:t>Drug repurposing in pediatric CNS disorders offers accelerated clinical development timelines by leveraging existing safety data, known pharmacokinetics, manufacturing infrastructure, and established formulations. This pipeline synthesizes mechanism-of-action validation through electrophysiological phenotype correction, pediatric safety database mining, age-appropriate toxicology extrapolation, and regulatory pathway optimization to identify repurposing candidates with highest probability of successful pediatric development.</w:t>
      </w:r>
    </w:p>
    <w:p>
      <w:pPr>
        <w:pStyle w:val="Heading2"/>
      </w:pPr>
      <w:r>
        <w:t>Pipeline Overview</w:t>
      </w:r>
    </w:p>
    <w:p>
      <w:r>
        <w:t>The Sapphire Identify Drug Repurposing Candidates with Pediatric Tolerability Pipeline comprises six sequential analytical stages designed to comprehensively evaluate repurposing candidates across multiple critical domains. Each stage builds upon prior outputs to establish evidence-based recommendations.</w:t>
      </w:r>
    </w:p>
    <w:p>
      <w:r>
        <w:t>Integration of Quiver's EP CRISPR atlas data—encompassing ~18,000 gene perturbations with 500+ electrophysiological features per neuron—enables precise quantification of rescue efficacy. Combined with targeted safety assessments and regulatory intelligence, this pipeline delivers consolidated actionable recommendations.</w:t>
      </w:r>
    </w:p>
    <w:p>
      <w:pPr>
        <w:pStyle w:val="Heading2"/>
      </w:pPr>
      <w:r>
        <w:t>Stage 1: Mechanism-of-Action Validation using Quiver EP CRISPR Atlas</w:t>
      </w:r>
    </w:p>
    <w:p>
      <w:r>
        <w:rPr>
          <w:b/>
        </w:rPr>
        <w:t xml:space="preserve">Purpose: </w:t>
      </w:r>
      <w:r>
        <w:t>Validate proposed mechanisms of action for clinical-stage and approved drug candidates by screening against Quiver EP CRISPR atlas data to confirm electrophysiological phenotype correction in disease-relevant neuronal models and assess mechanistic specificity.</w:t>
      </w:r>
    </w:p>
    <w:p>
      <w:r>
        <w:rPr>
          <w:b/>
        </w:rPr>
        <w:t>Inputs:</w:t>
      </w:r>
    </w:p>
    <w:p>
      <w:pPr>
        <w:pStyle w:val="ListBullet"/>
        <w:ind w:left="720"/>
      </w:pPr>
      <w:r>
        <w:t>Clinical drug candidates and approved drugs with proposed CNS mechanisms, including target genes/proteins and hypothesized electrophysiological correction pathways</w:t>
      </w:r>
    </w:p>
    <w:p>
      <w:pPr>
        <w:pStyle w:val="ListBullet"/>
        <w:ind w:left="720"/>
      </w:pPr>
      <w:r>
        <w:t>Quiver CRISPR atlas perturbation data for proposed drug targets and mechanistically-related genes, with baseline disease phenotypes and rescue signatures</w:t>
      </w:r>
    </w:p>
    <w:p>
      <w:pPr>
        <w:pStyle w:val="ListBullet"/>
        <w:ind w:left="720"/>
      </w:pPr>
      <w:r>
        <w:t>Published literature on drug pharmacology, target binding kinetics, off-target interactions, and known CNS electrophysiological effects in animal models or human studies</w:t>
      </w:r>
    </w:p>
    <w:p>
      <w:pPr>
        <w:pStyle w:val="ListBullet"/>
        <w:ind w:left="720"/>
      </w:pPr>
      <w:r>
        <w:t>Electrophysiological data from disease-relevant iPSC neuronal models or patient-derived cells treated with candidate drugs, including dose-response relationships</w:t>
      </w:r>
    </w:p>
    <w:p>
      <w:pPr>
        <w:pStyle w:val="ListBullet"/>
        <w:ind w:left="720"/>
      </w:pPr>
      <w:r>
        <w:t>Information on existing FDA-approved pediatric formulations, pediatric pharmacokinetic studies, and prior pediatric use experience (if applicable)</w:t>
      </w:r>
    </w:p>
    <w:p>
      <w:r>
        <w:rPr>
          <w:b/>
        </w:rPr>
        <w:t>Tools &amp; Databases Called:</w:t>
      </w:r>
    </w:p>
    <w:p>
      <w:pPr>
        <w:pStyle w:val="ListBullet"/>
        <w:ind w:left="720"/>
      </w:pPr>
      <w:r>
        <w:t>Quiver EP CRISPR Atlas: mechanism-of-action validation through genetic perturbation phenotypes, target engagement biomarkers, mechanistic clustering analysis</w:t>
      </w:r>
    </w:p>
    <w:p>
      <w:pPr>
        <w:pStyle w:val="ListBullet"/>
        <w:ind w:left="720"/>
      </w:pPr>
      <w:r>
        <w:t>Drug Target Database Integration: DrugBank, ChEMBL, OpenTargets linking drug targets to Quiver-measurable electrophysiological phenotypes</w:t>
      </w:r>
    </w:p>
    <w:p>
      <w:pPr>
        <w:pStyle w:val="ListBullet"/>
        <w:ind w:left="720"/>
      </w:pPr>
      <w:r>
        <w:t>Mechanistic Signature Matching: unsupervised clustering of drug-induced EP changes, cross-validation against CRISPR knockdown phenotypes for target gene, off-target activity assessment</w:t>
      </w:r>
    </w:p>
    <w:p>
      <w:pPr>
        <w:pStyle w:val="ListBullet"/>
        <w:ind w:left="720"/>
      </w:pPr>
      <w:r>
        <w:t>Literature Mining &amp; NLP Pipeline: automated extraction of mechanistic insights from published drug studies, clinical trial databases, adverse event reports relevant to pediatric CNS effects</w:t>
      </w:r>
    </w:p>
    <w:p>
      <w:pPr>
        <w:pStyle w:val="ListBullet"/>
        <w:ind w:left="720"/>
      </w:pPr>
      <w:r>
        <w:t>Dose-Response Curve Fitting: drug concentration-dependent electrophysiological changes, EC50/IC50 determination, therapeutic window characterization</w:t>
      </w:r>
    </w:p>
    <w:p>
      <w:pPr>
        <w:pStyle w:val="ListBullet"/>
        <w:ind w:left="720"/>
      </w:pPr>
      <w:r>
        <w:t>Phenotypic Rescue Quantification: normalized percent rescue of disease-associated EP features by drug treatment, effect size calculation, mechanistic specificity scoring</w:t>
      </w:r>
    </w:p>
    <w:p>
      <w:r>
        <w:rPr>
          <w:b/>
        </w:rPr>
        <w:t>Exemplary Sub-Prompts:</w:t>
      </w:r>
    </w:p>
    <w:p>
      <w:pPr>
        <w:pStyle w:val="ListBullet"/>
        <w:ind w:left="720"/>
      </w:pPr>
      <w:r>
        <w:t>Screen clinical drug candidates against Quiver atlas CRISPR knockdown signatures for proposed target genes to validate mechanism-of-action and quantify phenotypic overlap with genetic target perturbation.</w:t>
      </w:r>
    </w:p>
    <w:p>
      <w:pPr>
        <w:pStyle w:val="ListBullet"/>
        <w:ind w:left="720"/>
      </w:pPr>
      <w:r>
        <w:t>Quantify off-target EP effects by comparing drug-induced electrophysiological changes to non-target CRISPR knockdown signatures, identifying unexpected phenotypic changes indicating off-target activity or toxicity mechanisms.</w:t>
      </w:r>
    </w:p>
    <w:p>
      <w:pPr>
        <w:pStyle w:val="ListBullet"/>
        <w:ind w:left="720"/>
      </w:pPr>
      <w:r>
        <w:t>Calculate dose-response curves for mechanistically-relevant EP parameters (spike rate, burst frequency, action potential duration, input resistance) at therapeutically relevant drug concentrations in disease-relevant neuronal cells.</w:t>
      </w:r>
    </w:p>
    <w:p>
      <w:pPr>
        <w:pStyle w:val="ListBullet"/>
        <w:ind w:left="720"/>
      </w:pPr>
      <w:r>
        <w:t>Cross-reference drug targets with FDA FAERS adverse event database to identify potential pediatric safety signals and off-target liability patterns from post-marketing surveillance data.</w:t>
      </w:r>
    </w:p>
    <w:p>
      <w:pPr>
        <w:pStyle w:val="ListBullet"/>
        <w:ind w:left="720"/>
      </w:pPr>
      <w:r>
        <w:t>Assign mechanistic specificity scores to candidate drugs based on overlap with intended target CRISPR phenotype vs. expected off-target phenotype deviation, weighting by clinical disease relevance.</w:t>
      </w:r>
    </w:p>
    <w:p>
      <w:r>
        <w:rPr>
          <w:b/>
        </w:rPr>
        <w:t>Expected Outputs:</w:t>
      </w:r>
    </w:p>
    <w:p>
      <w:pPr>
        <w:pStyle w:val="ListBullet"/>
        <w:ind w:left="720"/>
      </w:pPr>
      <w:r>
        <w:t>Mechanism-of-action validation scorecard for each drug listing target genes, Quiver atlas phenotypic overlap with CRISPR knockdown (% overlap metric), EC50/IC50 values, and therapeutic window characterization</w:t>
      </w:r>
    </w:p>
    <w:p>
      <w:pPr>
        <w:pStyle w:val="ListBullet"/>
        <w:ind w:left="720"/>
      </w:pPr>
      <w:r>
        <w:t>Off-target activity assessment identifying unexpected electrophysiological phenotypes and cross-referencing with published drug interactions and FDA FAERS adverse events</w:t>
      </w:r>
    </w:p>
    <w:p>
      <w:pPr>
        <w:pStyle w:val="ListBullet"/>
        <w:ind w:left="720"/>
      </w:pPr>
      <w:r>
        <w:t>Dose-response curves for disease-relevant EP parameters at therapeutically achievable drug concentrations, with EC50 values and therapeutic dose range predictions</w:t>
      </w:r>
    </w:p>
    <w:p>
      <w:pPr>
        <w:pStyle w:val="ListBullet"/>
        <w:ind w:left="720"/>
      </w:pPr>
      <w:r>
        <w:t>Mechanistic clustering analysis comparing drug-induced phenotypes to genetic perturbation signatures, identifying distinct rescue pathways vs. toxicity-related off-target effects</w:t>
      </w:r>
    </w:p>
    <w:p>
      <w:pPr>
        <w:pStyle w:val="ListBullet"/>
        <w:ind w:left="720"/>
      </w:pPr>
      <w:r>
        <w:t>Phenotypic rescue quantification across 20-30 disease-predictive EP features, ranked by rescue magnitude and mechanistic relevance to proposed indication</w:t>
      </w:r>
    </w:p>
    <w:p>
      <w:pPr>
        <w:pStyle w:val="ListBullet"/>
        <w:ind w:left="720"/>
      </w:pPr>
      <w:r>
        <w:t>Mechanism validation ranking of drug candidates (1-5 scoring) based on phenotypic overlap with intended target, specificity profile, and disease-relevant rescue characteristics</w:t>
      </w:r>
    </w:p>
    <w:p>
      <w:r>
        <w:rPr>
          <w:b/>
        </w:rPr>
        <w:t xml:space="preserve">Format: </w:t>
      </w:r>
      <w:r>
        <w:t>Interactive Excel workbook with mechanism-of-action summaries, dose-response curve visualizations, phenotypic rescue heatmaps, and cross-reference tables to FDA FAERS data and published literature.</w:t>
      </w:r>
    </w:p>
    <w:p>
      <w:pPr>
        <w:pStyle w:val="Heading2"/>
      </w:pPr>
      <w:r>
        <w:t>Stage 2: Pediatric Safety Profile Mining &amp; Clinical Experience Assessment</w:t>
      </w:r>
    </w:p>
    <w:p>
      <w:r>
        <w:rPr>
          <w:b/>
        </w:rPr>
        <w:t xml:space="preserve">Purpose: </w:t>
      </w:r>
      <w:r>
        <w:t>Comprehensively evaluate existing pediatric safety data for candidate drugs through systematic mining of pediatric clinical trials, FDA PEDS assessment data, published pediatric case reports, and pharmacovigilance databases to characterize developmental safety signals and age-specific tolerability.</w:t>
      </w:r>
    </w:p>
    <w:p>
      <w:r>
        <w:rPr>
          <w:b/>
        </w:rPr>
        <w:t>Inputs:</w:t>
      </w:r>
    </w:p>
    <w:p>
      <w:pPr>
        <w:pStyle w:val="ListBullet"/>
        <w:ind w:left="720"/>
      </w:pPr>
      <w:r>
        <w:t>FDA pediatric study plans and PEDS assessment summaries for candidate drugs, documenting prior pediatric trials and formulation experience in pediatric populations</w:t>
      </w:r>
    </w:p>
    <w:p>
      <w:pPr>
        <w:pStyle w:val="ListBullet"/>
        <w:ind w:left="720"/>
      </w:pPr>
      <w:r>
        <w:t>Published pediatric clinical trial data including age ranges studied, safety endpoints, adverse event profiles, and post-marketing pediatric case reports</w:t>
      </w:r>
    </w:p>
    <w:p>
      <w:pPr>
        <w:pStyle w:val="ListBullet"/>
        <w:ind w:left="720"/>
      </w:pPr>
      <w:r>
        <w:t>Off-label pediatric use experience from literature case series, hospital-based pediatric databases, and drug information resources documenting real-world pediatric tolerability</w:t>
      </w:r>
    </w:p>
    <w:p>
      <w:pPr>
        <w:pStyle w:val="ListBullet"/>
        <w:ind w:left="720"/>
      </w:pPr>
      <w:r>
        <w:t>Pediatric adverse event data from FDA FAERS, VigiBase, and international pharmacovigilance systems stratified by age group (neonatal, infant, child, adolescent)</w:t>
      </w:r>
    </w:p>
    <w:p>
      <w:pPr>
        <w:pStyle w:val="ListBullet"/>
        <w:ind w:left="720"/>
      </w:pPr>
      <w:r>
        <w:t>Developmental toxicology information from published animal studies assessing prenatal/early postnatal developmental effects and long-term neurodevelopmental outcomes</w:t>
      </w:r>
    </w:p>
    <w:p>
      <w:r>
        <w:rPr>
          <w:b/>
        </w:rPr>
        <w:t>Tools &amp; Databases Called:</w:t>
      </w:r>
    </w:p>
    <w:p>
      <w:pPr>
        <w:pStyle w:val="ListBullet"/>
        <w:ind w:left="720"/>
      </w:pPr>
      <w:r>
        <w:t>FDA PEDS Database: automated extraction of pediatric assessments, pediatric study plans, prior pediatric trial results and formulation approvals</w:t>
      </w:r>
    </w:p>
    <w:p>
      <w:pPr>
        <w:pStyle w:val="ListBullet"/>
        <w:ind w:left="720"/>
      </w:pPr>
      <w:r>
        <w:t>PubMed/Literature NLP Pipeline: systematic mining of pediatric clinical trial publications, off-label use case reports, developmental safety signals specific to CNS indications</w:t>
      </w:r>
    </w:p>
    <w:p>
      <w:pPr>
        <w:pStyle w:val="ListBullet"/>
        <w:ind w:left="720"/>
      </w:pPr>
      <w:r>
        <w:t>FDA FAERS Pediatric Safety Analytics: pediatric adverse event stratification by age group (neonatal to adolescent), temporal trend analysis, serious adverse event frequency calculation</w:t>
      </w:r>
    </w:p>
    <w:p>
      <w:pPr>
        <w:pStyle w:val="ListBullet"/>
        <w:ind w:left="720"/>
      </w:pPr>
      <w:r>
        <w:t>International Pharmacovigilance Integration: VigiBase, EudraVigilance pediatric safety data aggregation, disproportionality analysis for pediatric-specific safety signals</w:t>
      </w:r>
    </w:p>
    <w:p>
      <w:pPr>
        <w:pStyle w:val="ListBullet"/>
        <w:ind w:left="720"/>
      </w:pPr>
      <w:r>
        <w:t>Developmental Neurotoxicology Database: published animal developmental toxicology studies, critical window-of-exposure analysis, long-term neurobehavioral outcome data</w:t>
      </w:r>
    </w:p>
    <w:p>
      <w:pPr>
        <w:pStyle w:val="ListBullet"/>
        <w:ind w:left="720"/>
      </w:pPr>
      <w:r>
        <w:t>Pediatric Safety Signal Prioritization: signal strength calculation (proportional reporting ratio, reporting odds ratio), background incidence rate adjustment, clinical severity scoring</w:t>
      </w:r>
    </w:p>
    <w:p>
      <w:r>
        <w:rPr>
          <w:b/>
        </w:rPr>
        <w:t>Exemplary Sub-Prompts:</w:t>
      </w:r>
    </w:p>
    <w:p>
      <w:pPr>
        <w:pStyle w:val="ListBullet"/>
        <w:ind w:left="720"/>
      </w:pPr>
      <w:r>
        <w:t>Extract all prior pediatric trial data and FDA PEDS assessments for each candidate drug, documenting age ranges tested, formulation approvals, primary safety concerns, and contraindications in pediatric populations.</w:t>
      </w:r>
    </w:p>
    <w:p>
      <w:pPr>
        <w:pStyle w:val="ListBullet"/>
        <w:ind w:left="720"/>
      </w:pPr>
      <w:r>
        <w:t>Perform systematic literature review identifying off-label pediatric CNS use case reports and published case series documenting real-world tolerability experience and adverse event patterns specific to pediatric populations.</w:t>
      </w:r>
    </w:p>
    <w:p>
      <w:pPr>
        <w:pStyle w:val="ListBullet"/>
        <w:ind w:left="720"/>
      </w:pPr>
      <w:r>
        <w:t>Mine FDA FAERS and international pharmacovigilance databases for pediatric safety signals, stratifying adverse events by age group (neonatal, infant, early child, older child, adolescent) and calculating signal strength metrics.</w:t>
      </w:r>
    </w:p>
    <w:p>
      <w:pPr>
        <w:pStyle w:val="ListBullet"/>
        <w:ind w:left="720"/>
      </w:pPr>
      <w:r>
        <w:t>Assess developmental neurotoxicology risk by reviewing published animal studies for critical windows of developmental vulnerability, prenatal toxicity concerns, and long-term neurobehavioral outcome effects relevant to pediatric CNS indications.</w:t>
      </w:r>
    </w:p>
    <w:p>
      <w:pPr>
        <w:pStyle w:val="ListBullet"/>
        <w:ind w:left="720"/>
      </w:pPr>
      <w:r>
        <w:t>Synthesize pediatric safety profile for each drug by age-group (neonatal, infant, child, adolescent) with graded severity assessment of identified safety signals and contraindication flags for specific pediatric age ranges.</w:t>
      </w:r>
    </w:p>
    <w:p>
      <w:r>
        <w:rPr>
          <w:b/>
        </w:rPr>
        <w:t>Expected Outputs:</w:t>
      </w:r>
    </w:p>
    <w:p>
      <w:pPr>
        <w:pStyle w:val="ListBullet"/>
        <w:ind w:left="720"/>
      </w:pPr>
      <w:r>
        <w:t>Comprehensive pediatric safety summary for each drug listing prior FDA pediatric trial results, FDA PEDS assessment recommendations, pediatric formulation approvals, and studied age ranges with documented safety/tolerability</w:t>
      </w:r>
    </w:p>
    <w:p>
      <w:pPr>
        <w:pStyle w:val="ListBullet"/>
        <w:ind w:left="720"/>
      </w:pPr>
      <w:r>
        <w:t>Pediatric adverse event profile stratified by age group (neonatal, infant, child, adolescent) from FDA FAERS and international databases, with disproportionality analysis and signal strength calculations (PRR, ROR values)</w:t>
      </w:r>
    </w:p>
    <w:p>
      <w:pPr>
        <w:pStyle w:val="ListBullet"/>
        <w:ind w:left="720"/>
      </w:pPr>
      <w:r>
        <w:t>Off-label pediatric use experience summary from literature case reports and case series documenting CNS disease treatment in pediatric populations, real-world adverse event frequencies, and clinical outcome patterns</w:t>
      </w:r>
    </w:p>
    <w:p>
      <w:pPr>
        <w:pStyle w:val="ListBullet"/>
        <w:ind w:left="720"/>
      </w:pPr>
      <w:r>
        <w:t>Developmental neurotoxicology assessment identifying critical windows of developmental vulnerability, prenatal toxicity signals, and long-term neurobehavioral outcome concerns from animal developmental toxicity studies</w:t>
      </w:r>
    </w:p>
    <w:p>
      <w:pPr>
        <w:pStyle w:val="ListBullet"/>
        <w:ind w:left="720"/>
      </w:pPr>
      <w:r>
        <w:t>Age-specific safety profile grading (acceptable/concerning/contraindicated) for pediatric age ranges (neonatal, infant, child, adolescent) with severity-weighted adverse event scoring</w:t>
      </w:r>
    </w:p>
    <w:p>
      <w:pPr>
        <w:pStyle w:val="ListBullet"/>
        <w:ind w:left="720"/>
      </w:pPr>
      <w:r>
        <w:t>Pediatric safety ranking of drug candidates (1-5) based on breadth of pediatric experience, absence of serious developmental safety signals, and favorable age-specific tolerability profile</w:t>
      </w:r>
    </w:p>
    <w:p>
      <w:r>
        <w:rPr>
          <w:b/>
        </w:rPr>
        <w:t xml:space="preserve">Format: </w:t>
      </w:r>
      <w:r>
        <w:t>Pediatric safety dossier with executive summary, FDA PEDS data extraction tables, literature-mined adverse event profiles, age-stratified safety characterizations, and development neurotoxicology assessment summaries.</w:t>
      </w:r>
    </w:p>
    <w:p>
      <w:pPr>
        <w:pStyle w:val="Heading2"/>
      </w:pPr>
      <w:r>
        <w:t>Stage 3: Age-Appropriate Dosing Extrapolation &amp; Developmental Pharmacokinetics</w:t>
      </w:r>
    </w:p>
    <w:p>
      <w:r>
        <w:rPr>
          <w:b/>
        </w:rPr>
        <w:t xml:space="preserve">Purpose: </w:t>
      </w:r>
      <w:r>
        <w:t>Develop evidence-based pediatric dose recommendations by integrating adult pharmacokinetics data with developmental pharmacokinetic principles, published pediatric PK studies, and allometric scaling to derive age-appropriate dosing for neonatal through adolescent populations.</w:t>
      </w:r>
    </w:p>
    <w:p>
      <w:r>
        <w:rPr>
          <w:b/>
        </w:rPr>
        <w:t>Inputs:</w:t>
      </w:r>
    </w:p>
    <w:p>
      <w:pPr>
        <w:pStyle w:val="ListBullet"/>
        <w:ind w:left="720"/>
      </w:pPr>
      <w:r>
        <w:t>Adult pharmacokinetic parameters (bioavailability, clearance, half-life, volume of distribution, protein binding) from published studies and FDA label information</w:t>
      </w:r>
    </w:p>
    <w:p>
      <w:pPr>
        <w:pStyle w:val="ListBullet"/>
        <w:ind w:left="720"/>
      </w:pPr>
      <w:r>
        <w:t>Published pediatric pharmacokinetic studies in various age groups, documenting age-dependent changes in absorption, metabolism, distribution, and excretion</w:t>
      </w:r>
    </w:p>
    <w:p>
      <w:pPr>
        <w:pStyle w:val="ListBullet"/>
        <w:ind w:left="720"/>
      </w:pPr>
      <w:r>
        <w:t>Developmental pharmacology principles (age-dependent CYP enzyme maturation, renal clearance development, blood-brain barrier maturation, protein binding changes)</w:t>
      </w:r>
    </w:p>
    <w:p>
      <w:pPr>
        <w:pStyle w:val="ListBullet"/>
        <w:ind w:left="720"/>
      </w:pPr>
      <w:r>
        <w:t>Drug metabolism pathway information (CYP enzyme involvement, non-hepatic metabolism, active metabolites) and age-dependent ontogeny of relevant metabolic pathways</w:t>
      </w:r>
    </w:p>
    <w:p>
      <w:pPr>
        <w:pStyle w:val="ListBullet"/>
        <w:ind w:left="720"/>
      </w:pPr>
      <w:r>
        <w:t>Target tissue drug concentration requirements (therapeutic and toxic thresholds) based on adult efficacy data and pediatric safety assessment from Stage 2</w:t>
      </w:r>
    </w:p>
    <w:p>
      <w:r>
        <w:rPr>
          <w:b/>
        </w:rPr>
        <w:t>Tools &amp; Databases Called:</w:t>
      </w:r>
    </w:p>
    <w:p>
      <w:pPr>
        <w:pStyle w:val="ListBullet"/>
        <w:ind w:left="720"/>
      </w:pPr>
      <w:r>
        <w:t>Allometric Scaling Framework: body weight-based dose adjustments, age-dependent clearance predictions using ontogeny scaling factors (CYP enzymes, renal function, hepatic capacity)</w:t>
      </w:r>
    </w:p>
    <w:p>
      <w:pPr>
        <w:pStyle w:val="ListBullet"/>
        <w:ind w:left="720"/>
      </w:pPr>
      <w:r>
        <w:t>Pediatric PK/PD Modeling: population pharmacokinetic analysis, physiologically-based PK (PBPK) modeling incorporating developmental changes in organ function and drug transport</w:t>
      </w:r>
    </w:p>
    <w:p>
      <w:pPr>
        <w:pStyle w:val="ListBullet"/>
        <w:ind w:left="720"/>
      </w:pPr>
      <w:r>
        <w:t>CYP Enzyme Ontogeny Database: age-dependent maturation rates for CYP3A4, CYP2D6, CYP2C9, CYP2C19 and other metabolic enzymes, published ontogeny curves from pediatric studies</w:t>
      </w:r>
    </w:p>
    <w:p>
      <w:pPr>
        <w:pStyle w:val="ListBullet"/>
        <w:ind w:left="720"/>
      </w:pPr>
      <w:r>
        <w:t>Renal Function Development Integration: age-dependent glomerular filtration rate (GFR) maturation, active tubular secretion ontogeny, creatinine clearance prediction by age</w:t>
      </w:r>
    </w:p>
    <w:p>
      <w:pPr>
        <w:pStyle w:val="ListBullet"/>
        <w:ind w:left="720"/>
      </w:pPr>
      <w:r>
        <w:t>BBB Permeability Maturation: developmental changes in blood-brain barrier function affecting CNS drug penetration and distribution in neonates vs. older children</w:t>
      </w:r>
    </w:p>
    <w:p>
      <w:pPr>
        <w:pStyle w:val="ListBullet"/>
        <w:ind w:left="720"/>
      </w:pPr>
      <w:r>
        <w:t>Pediatric Dose Calculator: derived pediatric doses for each age group (neonatal, infant, child, adolescent) with uncertainty quantification and therapeutic index calculations</w:t>
      </w:r>
    </w:p>
    <w:p>
      <w:r>
        <w:rPr>
          <w:b/>
        </w:rPr>
        <w:t>Exemplary Sub-Prompts:</w:t>
      </w:r>
    </w:p>
    <w:p>
      <w:pPr>
        <w:pStyle w:val="ListBullet"/>
        <w:ind w:left="720"/>
      </w:pPr>
      <w:r>
        <w:t>Perform allometric dose scaling from adult PK parameters to pediatric age groups (neonatal, infant, child, adolescent) using body weight adjustments and age-dependent ontogeny factors for relevant CYP enzymes and renal function.</w:t>
      </w:r>
    </w:p>
    <w:p>
      <w:pPr>
        <w:pStyle w:val="ListBullet"/>
        <w:ind w:left="720"/>
      </w:pPr>
      <w:r>
        <w:t>Identify primary drug metabolism pathways and apply age-dependent ontogeny scaling for relevant CYP enzymes (e.g., CYP3A4 maturation ~3-12 months to adult capacity, CYP2D6 maturation slower) to predict pediatric clearance.</w:t>
      </w:r>
    </w:p>
    <w:p>
      <w:pPr>
        <w:pStyle w:val="ListBullet"/>
        <w:ind w:left="720"/>
      </w:pPr>
      <w:r>
        <w:t>Calculate developmentally-adjusted target drug concentrations for pediatric populations accounting for ontogeny-related differences in drug sensitivity, therapeutic window shifts, and organ system maturation.</w:t>
      </w:r>
    </w:p>
    <w:p>
      <w:pPr>
        <w:pStyle w:val="ListBullet"/>
        <w:ind w:left="720"/>
      </w:pPr>
      <w:r>
        <w:t>Derive pediatric dose regimens by age group integrating allometric scaling, CYP ontogeny adjustments, renal maturation factors, and target therapeutic concentration achievement, with safety margin incorporation.</w:t>
      </w:r>
    </w:p>
    <w:p>
      <w:pPr>
        <w:pStyle w:val="ListBullet"/>
        <w:ind w:left="720"/>
      </w:pPr>
      <w:r>
        <w:t>Construct pediatric dose recommendations with age-specific dosing intervals accounting for developmental changes in drug clearance (e.g., neonates may require longer intervals due to immature metabolism).</w:t>
      </w:r>
    </w:p>
    <w:p>
      <w:r>
        <w:rPr>
          <w:b/>
        </w:rPr>
        <w:t>Expected Outputs:</w:t>
      </w:r>
    </w:p>
    <w:p>
      <w:pPr>
        <w:pStyle w:val="ListBullet"/>
        <w:ind w:left="720"/>
      </w:pPr>
      <w:r>
        <w:t>Comprehensive pediatric pharmacokinetic assessment documenting adult PK parameters, age-dependent changes in absorption/metabolism/distribution/excretion, and developmental maturation timelines for relevant metabolic pathways</w:t>
      </w:r>
    </w:p>
    <w:p>
      <w:pPr>
        <w:pStyle w:val="ListBullet"/>
        <w:ind w:left="720"/>
      </w:pPr>
      <w:r>
        <w:t>CYP enzyme ontogeny-adjusted clearance predictions for each pediatric age group with documentation of scaling factors and maturation timeline assumptions</w:t>
      </w:r>
    </w:p>
    <w:p>
      <w:pPr>
        <w:pStyle w:val="ListBullet"/>
        <w:ind w:left="720"/>
      </w:pPr>
      <w:r>
        <w:t>Allometric dose scaling derivations for pediatric age groups (neonatal, infant, child, adolescent) showing calculation methodology, safety margin incorporation, and therapeutic index estimates</w:t>
      </w:r>
    </w:p>
    <w:p>
      <w:pPr>
        <w:pStyle w:val="ListBullet"/>
        <w:ind w:left="720"/>
      </w:pPr>
      <w:r>
        <w:t>Age-specific dosing recommendations (mg/kg or absolute dose) for neonatal through adolescent populations with proposed dosing intervals accounting for developmentally-adjusted clearance rates</w:t>
      </w:r>
    </w:p>
    <w:p>
      <w:pPr>
        <w:pStyle w:val="ListBullet"/>
        <w:ind w:left="720"/>
      </w:pPr>
      <w:r>
        <w:t>Therapeutic drug concentration targets by age group derived from adult efficacy data and pediatric-specific safety assessment, with PK/PD simulations demonstrating achievement of target concentrations at proposed pediatric doses</w:t>
      </w:r>
    </w:p>
    <w:p>
      <w:pPr>
        <w:pStyle w:val="ListBullet"/>
        <w:ind w:left="720"/>
      </w:pPr>
      <w:r>
        <w:t>Pediatric dosing strategy summary with comparative analysis across age groups, identification of special populations requiring dose adjustment (renal/hepatic impairment, drug-drug interactions), and proposed pediatric label language</w:t>
      </w:r>
    </w:p>
    <w:p>
      <w:r>
        <w:rPr>
          <w:b/>
        </w:rPr>
        <w:t xml:space="preserve">Format: </w:t>
      </w:r>
      <w:r>
        <w:t>Pediatric pharmacokinetics dossier with adult PK data summary, developmental pharmacology integration, allometric scaling calculations, CYP ontogeny analysis, and detailed pediatric dose derivations with supporting PK/PD simulations.</w:t>
      </w:r>
    </w:p>
    <w:p>
      <w:pPr>
        <w:pStyle w:val="Heading2"/>
      </w:pPr>
      <w:r>
        <w:t>Stage 4: FDA Pediatric Requirement Assessment &amp; Regulatory Pathway Optimization</w:t>
      </w:r>
    </w:p>
    <w:p>
      <w:r>
        <w:rPr>
          <w:b/>
        </w:rPr>
        <w:t xml:space="preserve">Purpose: </w:t>
      </w:r>
      <w:r>
        <w:t>Analyze FDA pediatric regulatory requirements (PREA/FDASIA requirements, pediatric study plan obligations) for candidate repurposing drugs, assess existing pediatric data completeness against regulatory expectations, and optimize regulatory pathway to minimize study requirements and accelerate pediatric approval.</w:t>
      </w:r>
    </w:p>
    <w:p>
      <w:r>
        <w:rPr>
          <w:b/>
        </w:rPr>
        <w:t>Inputs:</w:t>
      </w:r>
    </w:p>
    <w:p>
      <w:pPr>
        <w:pStyle w:val="ListBullet"/>
        <w:ind w:left="720"/>
      </w:pPr>
      <w:r>
        <w:t>FDA pediatric study plan (PSP) requirements and PREA/FDASIA obligations for each candidate drug's original indication and repurposing indication</w:t>
      </w:r>
    </w:p>
    <w:p>
      <w:pPr>
        <w:pStyle w:val="ListBullet"/>
        <w:ind w:left="720"/>
      </w:pPr>
      <w:r>
        <w:t>Pediatric exclusivity status and pediatric priority review voucher (PPRV) eligibility assessment for repurposed drugs</w:t>
      </w:r>
    </w:p>
    <w:p>
      <w:pPr>
        <w:pStyle w:val="ListBullet"/>
        <w:ind w:left="720"/>
      </w:pPr>
      <w:r>
        <w:t>Prior pediatric trial data completeness assessment comparing existing studies against PREA requirement expectations</w:t>
      </w:r>
    </w:p>
    <w:p>
      <w:pPr>
        <w:pStyle w:val="ListBullet"/>
        <w:ind w:left="720"/>
      </w:pPr>
      <w:r>
        <w:t>Proposed pediatric indication characteristics (prevalence, unmet medical need, severity) and comparison to FDA pediatric rule applicability thresholds</w:t>
      </w:r>
    </w:p>
    <w:p>
      <w:pPr>
        <w:pStyle w:val="ListBullet"/>
        <w:ind w:left="720"/>
      </w:pPr>
      <w:r>
        <w:t>Regulatory precedent for similar drug repurposing programs in pediatric CNS disorders with documented FDA pathways, pediatric study plan requirements, and approval timelines</w:t>
      </w:r>
    </w:p>
    <w:p>
      <w:r>
        <w:rPr>
          <w:b/>
        </w:rPr>
        <w:t>Tools &amp; Databases Called:</w:t>
      </w:r>
    </w:p>
    <w:p>
      <w:pPr>
        <w:pStyle w:val="ListBullet"/>
        <w:ind w:left="720"/>
      </w:pPr>
      <w:r>
        <w:t>FDA PREA/FDASIA Requirement Database: pediatric exclusivity obligations, pediatric study plan requirement applicability, exemption criteria documentation</w:t>
      </w:r>
    </w:p>
    <w:p>
      <w:pPr>
        <w:pStyle w:val="ListBullet"/>
        <w:ind w:left="720"/>
      </w:pPr>
      <w:r>
        <w:t>Pediatric Study Plan Template Generator: proposed pediatric study design templates, age group stratification, safety/efficacy assessment study designs aligned with FDA PSP requirements</w:t>
      </w:r>
    </w:p>
    <w:p>
      <w:pPr>
        <w:pStyle w:val="ListBullet"/>
        <w:ind w:left="720"/>
      </w:pPr>
      <w:r>
        <w:t>Pediatric Exclusivity &amp; PPRV Eligibility Analyzer: determination of orphan drug, rare disease classification, and PPRV eligibility for expedited regulatory pathways</w:t>
      </w:r>
    </w:p>
    <w:p>
      <w:pPr>
        <w:pStyle w:val="ListBullet"/>
        <w:ind w:left="720"/>
      </w:pPr>
      <w:r>
        <w:t>Pediatric Data Gap Analysis Tool: comparison of existing pediatric trial data against FDA PSP requirements, identification of critical missing studies</w:t>
      </w:r>
    </w:p>
    <w:p>
      <w:pPr>
        <w:pStyle w:val="ListBullet"/>
        <w:ind w:left="720"/>
      </w:pPr>
      <w:r>
        <w:t>Regulatory Precedent Intelligence: historical FDA pediatric approvals for drug repurposing programs, pediatric development timelines, study design precedent extraction</w:t>
      </w:r>
    </w:p>
    <w:p>
      <w:pPr>
        <w:pStyle w:val="ListBullet"/>
        <w:ind w:left="720"/>
      </w:pPr>
      <w:r>
        <w:t>Regulatory Pathway Optimization Framework: comparison of full PREA vs. waiver/deferral pathways, accelerated approval program feasibility, priority review designation eligibility</w:t>
      </w:r>
    </w:p>
    <w:p>
      <w:r>
        <w:rPr>
          <w:b/>
        </w:rPr>
        <w:t>Exemplary Sub-Prompts:</w:t>
      </w:r>
    </w:p>
    <w:p>
      <w:pPr>
        <w:pStyle w:val="ListBullet"/>
        <w:ind w:left="720"/>
      </w:pPr>
      <w:r>
        <w:t>Determine PREA applicability and specific pediatric study plan requirements for each repurposing drug in proposed pediatric indication, identifying potential exemptions or waiver opportunities based on disease prevalence/severity.</w:t>
      </w:r>
    </w:p>
    <w:p>
      <w:pPr>
        <w:pStyle w:val="ListBullet"/>
        <w:ind w:left="720"/>
      </w:pPr>
      <w:r>
        <w:t>Assess pediatric exclusivity and PPRV eligibility for candidate drugs, evaluating financial incentive opportunities for pediatric development and potential for expedited regulatory designation.</w:t>
      </w:r>
    </w:p>
    <w:p>
      <w:pPr>
        <w:pStyle w:val="ListBullet"/>
        <w:ind w:left="720"/>
      </w:pPr>
      <w:r>
        <w:t>Compare existing pediatric trial data against FDA PSP requirements to identify critical gaps requiring additional pediatric studies (age group-specific efficacy, safety monitoring parameters, long-term follow-up).</w:t>
      </w:r>
    </w:p>
    <w:p>
      <w:pPr>
        <w:pStyle w:val="ListBullet"/>
        <w:ind w:left="720"/>
      </w:pPr>
      <w:r>
        <w:t>Analyze regulatory precedent from similar pediatric drug repurposing programs to extract FDA-accepted pediatric study designs, acceptable endpoints, and approval timelines for comparable indications.</w:t>
      </w:r>
    </w:p>
    <w:p>
      <w:pPr>
        <w:pStyle w:val="ListBullet"/>
        <w:ind w:left="720"/>
      </w:pPr>
      <w:r>
        <w:t>Recommend optimized regulatory pathway balancing PREA compliance with study feasibility and timeline optimization, including potential deferral strategies or waiver justifications for less critical pediatric study arms.</w:t>
      </w:r>
    </w:p>
    <w:p>
      <w:r>
        <w:rPr>
          <w:b/>
        </w:rPr>
        <w:t>Expected Outputs:</w:t>
      </w:r>
    </w:p>
    <w:p>
      <w:pPr>
        <w:pStyle w:val="ListBullet"/>
        <w:ind w:left="720"/>
      </w:pPr>
      <w:r>
        <w:t>PREA applicability assessment and specific pediatric study plan requirements for each drug in proposed pediatric indication, with exemption/waiver justification analysis</w:t>
      </w:r>
    </w:p>
    <w:p>
      <w:pPr>
        <w:pStyle w:val="ListBullet"/>
        <w:ind w:left="720"/>
      </w:pPr>
      <w:r>
        <w:t>Pediatric exclusivity and PPRV eligibility determination with financial incentive quantification and timeline implications for pediatric development program</w:t>
      </w:r>
    </w:p>
    <w:p>
      <w:pPr>
        <w:pStyle w:val="ListBullet"/>
        <w:ind w:left="720"/>
      </w:pPr>
      <w:r>
        <w:t>Pediatric data gap analysis comparing existing trial data against FDA PSP requirements, with detailed specification of required additional studies (age groups, study designs, endpoints)</w:t>
      </w:r>
    </w:p>
    <w:p>
      <w:pPr>
        <w:pStyle w:val="ListBullet"/>
        <w:ind w:left="720"/>
      </w:pPr>
      <w:r>
        <w:t>Proposed pediatric study plan (FDA-aligned) specifying age groups to be studied, safety/efficacy assessment designs, duration of follow-up, and post-approval pediatric monitoring plans</w:t>
      </w:r>
    </w:p>
    <w:p>
      <w:pPr>
        <w:pStyle w:val="ListBullet"/>
        <w:ind w:left="720"/>
      </w:pPr>
      <w:r>
        <w:t>Regulatory pathway optimization analysis comparing full PREA compliance vs. deferred/waivered pathway options, with timeline and resource implications for each pathway</w:t>
      </w:r>
    </w:p>
    <w:p>
      <w:pPr>
        <w:pStyle w:val="ListBullet"/>
        <w:ind w:left="720"/>
      </w:pPr>
      <w:r>
        <w:t>Regulatory intelligence summary extracting FDA precedent for similar pediatric repurposing programs with documented study design approvals, accepted endpoints, and historical approval timelines</w:t>
      </w:r>
    </w:p>
    <w:p>
      <w:r>
        <w:rPr>
          <w:b/>
        </w:rPr>
        <w:t xml:space="preserve">Format: </w:t>
      </w:r>
      <w:r>
        <w:t>Pediatric regulatory strategy document including PREA analysis, FDA pediatric study plan requirements summary, data gap analysis with proposed studies, regulatory pathway optimization recommendations, and precedent intelligence briefing.</w:t>
      </w:r>
    </w:p>
    <w:p>
      <w:pPr>
        <w:pStyle w:val="Heading2"/>
      </w:pPr>
      <w:r>
        <w:t>Stage 5: Formulation Development &amp; Pediatric-Accessible Delivery Systems</w:t>
      </w:r>
    </w:p>
    <w:p>
      <w:r>
        <w:rPr>
          <w:b/>
        </w:rPr>
        <w:t xml:space="preserve">Purpose: </w:t>
      </w:r>
      <w:r>
        <w:t>Assess existing drug formulations for pediatric accessibility and developability, specify reformulation requirements for pediatric patient populations (neonates/infants requiring liquid formulations, age-appropriate dosing accuracy), and evaluate regulatory pathway for pediatric formulation approvals.</w:t>
      </w:r>
    </w:p>
    <w:p>
      <w:r>
        <w:rPr>
          <w:b/>
        </w:rPr>
        <w:t>Inputs:</w:t>
      </w:r>
    </w:p>
    <w:p>
      <w:pPr>
        <w:pStyle w:val="ListBullet"/>
        <w:ind w:left="720"/>
      </w:pPr>
      <w:r>
        <w:t>Current approved drug formulations (tablets, capsules, injections, etc.) and pediatric accessibility/usability assessment across age groups (swallowing capacity, dose accuracy achievable)</w:t>
      </w:r>
    </w:p>
    <w:p>
      <w:pPr>
        <w:pStyle w:val="ListBullet"/>
        <w:ind w:left="720"/>
      </w:pPr>
      <w:r>
        <w:t>Existing pediatric formulation data (if available): liquid suspensions, sprinkle capsules, pre-filled syringes, age-specific formulation approvals</w:t>
      </w:r>
    </w:p>
    <w:p>
      <w:pPr>
        <w:pStyle w:val="ListBullet"/>
        <w:ind w:left="720"/>
      </w:pPr>
      <w:r>
        <w:t>Drug substance properties relevant to formulation (aqueous solubility, stability in liquid formulations, pH sensitivity, chemical degradation pathways)</w:t>
      </w:r>
    </w:p>
    <w:p>
      <w:pPr>
        <w:pStyle w:val="ListBullet"/>
        <w:ind w:left="720"/>
      </w:pPr>
      <w:r>
        <w:t>Pediatric formulation development status and timeline for accelerating formulation availability for targeted age groups (neonates, infants, young children requiring liquid formulations)</w:t>
      </w:r>
    </w:p>
    <w:p>
      <w:pPr>
        <w:pStyle w:val="ListBullet"/>
        <w:ind w:left="720"/>
      </w:pPr>
      <w:r>
        <w:t>Manufacturing capacity and supply chain considerations for commercial-scale pediatric formulation production</w:t>
      </w:r>
    </w:p>
    <w:p>
      <w:r>
        <w:rPr>
          <w:b/>
        </w:rPr>
        <w:t>Tools &amp; Databases Called:</w:t>
      </w:r>
    </w:p>
    <w:p>
      <w:pPr>
        <w:pStyle w:val="ListBullet"/>
        <w:ind w:left="720"/>
      </w:pPr>
      <w:r>
        <w:t>Pediatric Formulation Accessibility Assessment: age-group specific formulation suitability (tablets for older children, liquids for infants/neonates, pre-filled syringes for precise dosing)</w:t>
      </w:r>
    </w:p>
    <w:p>
      <w:pPr>
        <w:pStyle w:val="ListBullet"/>
        <w:ind w:left="720"/>
      </w:pPr>
      <w:r>
        <w:t>Liquid Formulation Stability &amp; Compatibility Database: aqueous solubility predictions, pH-dependent stability models, excipient compatibility assessment for pediatric formulations</w:t>
      </w:r>
    </w:p>
    <w:p>
      <w:pPr>
        <w:pStyle w:val="ListBullet"/>
        <w:ind w:left="720"/>
      </w:pPr>
      <w:r>
        <w:t>Pediatric Dosage Form Development Framework: pediatric-accessible formulation options (liquid suspensions, sprinkle capsules, powder-for-suspension, pre-filled syringes) with feasibility assessment</w:t>
      </w:r>
    </w:p>
    <w:p>
      <w:pPr>
        <w:pStyle w:val="ListBullet"/>
        <w:ind w:left="720"/>
      </w:pPr>
      <w:r>
        <w:t>Regulatory Approval Pathway for Pediatric Formulations: FDA guidance on pediatric formulation approvals, CMC requirements, stability protocol recommendations</w:t>
      </w:r>
    </w:p>
    <w:p>
      <w:pPr>
        <w:pStyle w:val="ListBullet"/>
        <w:ind w:left="720"/>
      </w:pPr>
      <w:r>
        <w:t>Manufacturing Scalability Assessment: GMP pediatric formulation manufacturing capability, fill-finish equipment compatibility, pediatric supply chain feasibility</w:t>
      </w:r>
    </w:p>
    <w:p>
      <w:pPr>
        <w:pStyle w:val="ListBullet"/>
        <w:ind w:left="720"/>
      </w:pPr>
      <w:r>
        <w:t>Pediatric Formulation Costing Model: development cost estimation, manufacturing cost projections, commercial supply impact assessment</w:t>
      </w:r>
    </w:p>
    <w:p>
      <w:r>
        <w:rPr>
          <w:b/>
        </w:rPr>
        <w:t>Exemplary Sub-Prompts:</w:t>
      </w:r>
    </w:p>
    <w:p>
      <w:pPr>
        <w:pStyle w:val="ListBullet"/>
        <w:ind w:left="720"/>
      </w:pPr>
      <w:r>
        <w:t>Assess pediatric accessibility of currently approved formulations for each drug across age groups (neonates unable to swallow tablets, infants/young children requiring accurate dosing in liquid form, older children potentially acceptable for tablets).</w:t>
      </w:r>
    </w:p>
    <w:p>
      <w:pPr>
        <w:pStyle w:val="ListBullet"/>
        <w:ind w:left="720"/>
      </w:pPr>
      <w:r>
        <w:t>Identify required reformulation to support pediatric dosing accuracy and accessibility (liquid suspensions for neonatal/infant dosing, sprinkle capsules for dose flexibility, pre-filled syringes for precise drug delivery).</w:t>
      </w:r>
    </w:p>
    <w:p>
      <w:pPr>
        <w:pStyle w:val="ListBullet"/>
        <w:ind w:left="720"/>
      </w:pPr>
      <w:r>
        <w:t>Evaluate drug substance chemical/physical properties for liquid formulation compatibility (aqueous solubility, pH-dependent stability, degradation rates) and specify excipients compatible with pediatric populations.</w:t>
      </w:r>
    </w:p>
    <w:p>
      <w:pPr>
        <w:pStyle w:val="ListBullet"/>
        <w:ind w:left="720"/>
      </w:pPr>
      <w:r>
        <w:t>Determine pediatric formulation development timeline and regulatory pathway, including CMC requirements for pediatric formulation approval and compatibility with expedited development programs.</w:t>
      </w:r>
    </w:p>
    <w:p>
      <w:pPr>
        <w:pStyle w:val="ListBullet"/>
        <w:ind w:left="720"/>
      </w:pPr>
      <w:r>
        <w:t>Assess manufacturing capability and supply chain feasibility for pediatric formulation production at anticipated pediatric development enrollment scales and commercial launch demands.</w:t>
      </w:r>
    </w:p>
    <w:p>
      <w:r>
        <w:rPr>
          <w:b/>
        </w:rPr>
        <w:t>Expected Outputs:</w:t>
      </w:r>
    </w:p>
    <w:p>
      <w:pPr>
        <w:pStyle w:val="ListBullet"/>
        <w:ind w:left="720"/>
      </w:pPr>
      <w:r>
        <w:t>Pediatric formulation accessibility assessment documenting current formulation suitability for neonatal through adolescent age groups, with age-specific feasibility ratings</w:t>
      </w:r>
    </w:p>
    <w:p>
      <w:pPr>
        <w:pStyle w:val="ListBullet"/>
        <w:ind w:left="720"/>
      </w:pPr>
      <w:r>
        <w:t>Reformulation requirements specification for pediatric populations (liquid suspension composition for infants/neonates, sprinkle capsule design for dosing flexibility, pre-filled syringe specifications for precise delivery)</w:t>
      </w:r>
    </w:p>
    <w:p>
      <w:pPr>
        <w:pStyle w:val="ListBullet"/>
        <w:ind w:left="720"/>
      </w:pPr>
      <w:r>
        <w:t>Chemical/physical property assessment for liquid formulation compatibility including aqueous solubility, pH-dependent stability, degradation kinetics, and excipient compatibility documentation</w:t>
      </w:r>
    </w:p>
    <w:p>
      <w:pPr>
        <w:pStyle w:val="ListBullet"/>
        <w:ind w:left="720"/>
      </w:pPr>
      <w:r>
        <w:t>Pediatric formulation development plan with timeline milestones (formulation optimization, stability studies, CMC batches, regulatory submission), regulatory alignment, and anticipated completion date</w:t>
      </w:r>
    </w:p>
    <w:p>
      <w:pPr>
        <w:pStyle w:val="ListBullet"/>
        <w:ind w:left="720"/>
      </w:pPr>
      <w:r>
        <w:t>Manufacturing scale-up assessment for pediatric formulation including GMP capability evaluation, equipment compatibility, fill-finish feasibility, and commercial supply projections</w:t>
      </w:r>
    </w:p>
    <w:p>
      <w:pPr>
        <w:pStyle w:val="ListBullet"/>
        <w:ind w:left="720"/>
      </w:pPr>
      <w:r>
        <w:t>Pediatric formulation cost analysis including development costs, manufacturing cost projections, supply chain requirements, and impact on drug cost-of-goods for pediatric indications</w:t>
      </w:r>
    </w:p>
    <w:p>
      <w:r>
        <w:rPr>
          <w:b/>
        </w:rPr>
        <w:t xml:space="preserve">Format: </w:t>
      </w:r>
      <w:r>
        <w:t>Pediatric formulation development strategy document with accessibility assessment, reformulation specifications, chemical property analysis, development timeline, manufacturing feasibility analysis, and cost projections.</w:t>
      </w:r>
    </w:p>
    <w:p>
      <w:pPr>
        <w:pStyle w:val="Heading2"/>
      </w:pPr>
      <w:r>
        <w:t>Stage 6: Competitive Risk Assessment &amp; Market Opportunity Analysis</w:t>
      </w:r>
    </w:p>
    <w:p>
      <w:r>
        <w:rPr>
          <w:b/>
        </w:rPr>
        <w:t xml:space="preserve">Purpose: </w:t>
      </w:r>
      <w:r>
        <w:t>Evaluate competitive landscape and market opportunity for repurposed drugs in target pediatric indications, assess freedom-to-operate and intellectual property landscape, and estimate commercial viability and development prioritization based on unmet medical need, market size, and competitive differentiation.</w:t>
      </w:r>
    </w:p>
    <w:p>
      <w:r>
        <w:rPr>
          <w:b/>
        </w:rPr>
        <w:t>Inputs:</w:t>
      </w:r>
    </w:p>
    <w:p>
      <w:pPr>
        <w:pStyle w:val="ListBullet"/>
        <w:ind w:left="720"/>
      </w:pPr>
      <w:r>
        <w:t>Target pediatric disease epidemiology (prevalence, incidence, age of onset, disease progression) and current treatment landscape (approved drugs, clinical pipeline, off-label use prevalence)</w:t>
      </w:r>
    </w:p>
    <w:p>
      <w:pPr>
        <w:pStyle w:val="ListBullet"/>
        <w:ind w:left="720"/>
      </w:pPr>
      <w:r>
        <w:t>Competitive drug analysis including approved therapies, clinical stage competitors, mechanism-of-action similarity, clinical efficacy/safety profiles in pediatric populations</w:t>
      </w:r>
    </w:p>
    <w:p>
      <w:pPr>
        <w:pStyle w:val="ListBullet"/>
        <w:ind w:left="720"/>
      </w:pPr>
      <w:r>
        <w:t>Intellectual property landscape including patent freedom-to-operate assessment for repurposed drug, existing patents covering pediatric formulations/uses, potential patent term extension opportunities</w:t>
      </w:r>
    </w:p>
    <w:p>
      <w:pPr>
        <w:pStyle w:val="ListBullet"/>
        <w:ind w:left="720"/>
      </w:pPr>
      <w:r>
        <w:t>Regulatory exclusivity status (orphan drug designation, pediatric exclusivity, market exclusivity windows) for repurposed drug and competitive products</w:t>
      </w:r>
    </w:p>
    <w:p>
      <w:pPr>
        <w:pStyle w:val="ListBullet"/>
        <w:ind w:left="720"/>
      </w:pPr>
      <w:r>
        <w:t>Commercial market size projections, pricing precedent from similar pediatric CNS therapeutics, and reimbursement landscape (pediatric coverage policies, health plan restrictions)</w:t>
      </w:r>
    </w:p>
    <w:p>
      <w:r>
        <w:rPr>
          <w:b/>
        </w:rPr>
        <w:t>Tools &amp; Databases Called:</w:t>
      </w:r>
    </w:p>
    <w:p>
      <w:pPr>
        <w:pStyle w:val="ListBullet"/>
        <w:ind w:left="720"/>
      </w:pPr>
      <w:r>
        <w:t>Market Research Databases: Evaluate Pharma, IQVIA, Cortellis disease area market analysis, pediatric CNS disease prevalence, treatment gap quantification</w:t>
      </w:r>
    </w:p>
    <w:p>
      <w:pPr>
        <w:pStyle w:val="ListBullet"/>
        <w:ind w:left="720"/>
      </w:pPr>
      <w:r>
        <w:t>Competitive Intelligence Platform: FDA approval databases, clinical trial registries (ClinicalTrials.gov, EMA EUDRA), competitor pipeline tracking, mechanism-of-action comparison tools</w:t>
      </w:r>
    </w:p>
    <w:p>
      <w:pPr>
        <w:pStyle w:val="ListBullet"/>
        <w:ind w:left="720"/>
      </w:pPr>
      <w:r>
        <w:t>Intellectual Property Landscape Analysis: patent claim analysis for repurposed drug and competitors, freedom-to-operate assessment, patent term extension (PLTOE) eligibility evaluation</w:t>
      </w:r>
    </w:p>
    <w:p>
      <w:pPr>
        <w:pStyle w:val="ListBullet"/>
        <w:ind w:left="720"/>
      </w:pPr>
      <w:r>
        <w:t>Regulatory Exclusivity Database: orphan drug status validation, pediatric exclusivity windows, market exclusivity timelines for repurposed drug and competitors</w:t>
      </w:r>
    </w:p>
    <w:p>
      <w:pPr>
        <w:pStyle w:val="ListBullet"/>
        <w:ind w:left="720"/>
      </w:pPr>
      <w:r>
        <w:t>Commercial Viability Modeling: revenue projections based on market size, pricing precedent, market share assumptions, development cost recovery timelines</w:t>
      </w:r>
    </w:p>
    <w:p>
      <w:pPr>
        <w:pStyle w:val="ListBullet"/>
        <w:ind w:left="720"/>
      </w:pPr>
      <w:r>
        <w:t>Risk-Opportunity Portfolio Positioning: competitive differentiation scoring, market opportunity quantification, development risk assessment, go/no-go thresholds</w:t>
      </w:r>
    </w:p>
    <w:p>
      <w:r>
        <w:rPr>
          <w:b/>
        </w:rPr>
        <w:t>Exemplary Sub-Prompts:</w:t>
      </w:r>
    </w:p>
    <w:p>
      <w:pPr>
        <w:pStyle w:val="ListBullet"/>
        <w:ind w:left="720"/>
      </w:pPr>
      <w:r>
        <w:t>Analyze target pediatric disease epidemiology and treatment gap: current standard of care, disease burden, patient population numbers by age group, prevalence of off-label use for repurposed drug candidate.</w:t>
      </w:r>
    </w:p>
    <w:p>
      <w:pPr>
        <w:pStyle w:val="ListBullet"/>
        <w:ind w:left="720"/>
      </w:pPr>
      <w:r>
        <w:t>Conduct competitive landscape assessment identifying approved and clinical-stage drugs, comparative mechanism-of-analysis, clinical efficacy/safety profiles in pediatric populations, and estimated market share distribution.</w:t>
      </w:r>
    </w:p>
    <w:p>
      <w:pPr>
        <w:pStyle w:val="ListBullet"/>
        <w:ind w:left="720"/>
      </w:pPr>
      <w:r>
        <w:t>Perform freedom-to-operate analysis assessing patent landscape for repurposed drug and competitors, identifying potential patent litigation risks, and evaluating patent term extension (PLTOE) opportunities.</w:t>
      </w:r>
    </w:p>
    <w:p>
      <w:pPr>
        <w:pStyle w:val="ListBullet"/>
        <w:ind w:left="720"/>
      </w:pPr>
      <w:r>
        <w:t>Assess regulatory exclusivity status (orphan designation, pediatric exclusivity windows) for repurposed drug and competitive products, with timeline implications for market entry.</w:t>
      </w:r>
    </w:p>
    <w:p>
      <w:pPr>
        <w:pStyle w:val="ListBullet"/>
        <w:ind w:left="720"/>
      </w:pPr>
      <w:r>
        <w:t>Project commercial market opportunity including market size estimation (eligible patient population, treatment penetration assumptions), pricing precedent from comparable pediatric CNS drugs, and break-even analysis with development cost assumptions.</w:t>
      </w:r>
    </w:p>
    <w:p>
      <w:r>
        <w:rPr>
          <w:b/>
        </w:rPr>
        <w:t>Expected Outputs:</w:t>
      </w:r>
    </w:p>
    <w:p>
      <w:pPr>
        <w:pStyle w:val="ListBullet"/>
        <w:ind w:left="720"/>
      </w:pPr>
      <w:r>
        <w:t>Target disease epidemiology summary documenting prevalence by age group, treatment gap quantification, current standard of care, and patient population eligible for repurposed drug</w:t>
      </w:r>
    </w:p>
    <w:p>
      <w:pPr>
        <w:pStyle w:val="ListBullet"/>
        <w:ind w:left="720"/>
      </w:pPr>
      <w:r>
        <w:t>Competitive landscape analysis identifying approved/clinical-stage competitors, mechanism-of-action comparison, published/reported clinical efficacy/safety profiles in pediatric populations, competitive differentiation assessment</w:t>
      </w:r>
    </w:p>
    <w:p>
      <w:pPr>
        <w:pStyle w:val="ListBullet"/>
        <w:ind w:left="720"/>
      </w:pPr>
      <w:r>
        <w:t>Intellectual property and freedom-to-operate assessment documenting existing patents, patent claim coverage relevant to repurposed drug, patent litigation risk analysis, and PLTOE extension potential</w:t>
      </w:r>
    </w:p>
    <w:p>
      <w:pPr>
        <w:pStyle w:val="ListBullet"/>
        <w:ind w:left="720"/>
      </w:pPr>
      <w:r>
        <w:t>Regulatory exclusivity status documentation including orphan drug qualification, pediatric exclusivity eligibility/timeline, and market exclusivity windows for repurposed drug and competitors</w:t>
      </w:r>
    </w:p>
    <w:p>
      <w:pPr>
        <w:pStyle w:val="ListBullet"/>
        <w:ind w:left="720"/>
      </w:pPr>
      <w:r>
        <w:t>Commercial viability projection including market size estimation (total addressable market, serviceable addressable market by age group), pricing precedent analysis from comparable pediatric CNS drugs, break-even analysis with development cost assumptions</w:t>
      </w:r>
    </w:p>
    <w:p>
      <w:pPr>
        <w:pStyle w:val="ListBullet"/>
        <w:ind w:left="720"/>
      </w:pPr>
      <w:r>
        <w:t>Risk-opportunity positioning assessment comparing market opportunity against development risk profile, regulatory pathway complexity, and competitive landscape risk, with go/no-go recommendation and development priority ranking (1-5)</w:t>
      </w:r>
    </w:p>
    <w:p>
      <w:r>
        <w:rPr>
          <w:b/>
        </w:rPr>
        <w:t xml:space="preserve">Format: </w:t>
      </w:r>
      <w:r>
        <w:t>Market opportunity analysis briefing with disease epidemiology summary, competitive intelligence report, IP/FTO analysis, regulatory exclusivity documentation, commercial viability projections, and risk-opportunity positioning dashboard.</w:t>
      </w:r>
    </w:p>
    <w:p>
      <w:pPr>
        <w:pStyle w:val="Heading2"/>
      </w:pPr>
      <w:r>
        <w:t>Comprehensive Tools &amp; Databases Summary</w:t>
      </w:r>
    </w:p>
    <w:p>
      <w:pPr>
        <w:pStyle w:val="ListBullet"/>
        <w:ind w:left="720"/>
      </w:pPr>
      <w:r>
        <w:t>Quiver EP CRISPR Atlas: genome-wide electrophysiological phenotype database</w:t>
      </w:r>
    </w:p>
    <w:p>
      <w:pPr>
        <w:pStyle w:val="ListBullet"/>
        <w:ind w:left="720"/>
      </w:pPr>
      <w:r>
        <w:t>In Vitro Electrophysiology Processing Suite: spike detection, feature extraction</w:t>
      </w:r>
    </w:p>
    <w:p>
      <w:pPr>
        <w:pStyle w:val="ListBullet"/>
        <w:ind w:left="720"/>
      </w:pPr>
      <w:r>
        <w:t>OT-seq Off-Target Binding Database: off-target site prediction</w:t>
      </w:r>
    </w:p>
    <w:p>
      <w:pPr>
        <w:pStyle w:val="ListBullet"/>
        <w:ind w:left="720"/>
      </w:pPr>
      <w:r>
        <w:t>Multi-Electrode Array (MEA) Analysis: neuronal network activity quantification</w:t>
      </w:r>
    </w:p>
    <w:p>
      <w:pPr>
        <w:pStyle w:val="ListBullet"/>
        <w:ind w:left="720"/>
      </w:pPr>
      <w:r>
        <w:t>hERG Safety Prediction Engine: cardiac ion channel assessment</w:t>
      </w:r>
    </w:p>
    <w:p>
      <w:pPr>
        <w:pStyle w:val="ListBullet"/>
        <w:ind w:left="720"/>
      </w:pPr>
      <w:r>
        <w:t>CYP Enzyme Inhibition Database: metabolic pathway evaluation</w:t>
      </w:r>
    </w:p>
    <w:p>
      <w:pPr>
        <w:pStyle w:val="ListBullet"/>
        <w:ind w:left="720"/>
      </w:pPr>
      <w:r>
        <w:t>FDA Regulations &amp; Guidance Database: regulatory requirements mapping</w:t>
      </w:r>
    </w:p>
    <w:p>
      <w:pPr>
        <w:pStyle w:val="ListBullet"/>
        <w:ind w:left="720"/>
      </w:pPr>
      <w:r>
        <w:t>Regulatory Intelligence Platform: competitive intelligence, IND approvals</w:t>
      </w:r>
    </w:p>
    <w:p>
      <w:pPr>
        <w:pStyle w:val="ListBullet"/>
        <w:ind w:left="720"/>
      </w:pPr>
      <w:r>
        <w:t>GLP Laboratory Network Directory: CRO capabilities, timelines</w:t>
      </w:r>
    </w:p>
    <w:p>
      <w:pPr>
        <w:pStyle w:val="ListBullet"/>
        <w:ind w:left="720"/>
      </w:pPr>
      <w:r>
        <w:t>Analytical Method Validation Framework: HPLC, CE, MS method development</w:t>
      </w:r>
    </w:p>
    <w:p>
      <w:pPr>
        <w:pStyle w:val="ListBullet"/>
        <w:ind w:left="720"/>
      </w:pPr>
      <w:r>
        <w:t>Stability Prediction Modeling: shelf-life determination, degradation analysis</w:t>
      </w:r>
    </w:p>
    <w:p>
      <w:pPr>
        <w:pStyle w:val="ListBullet"/>
        <w:ind w:left="720"/>
      </w:pPr>
      <w:r>
        <w:t>Process Capability &amp; Manufacturing Tools: six-sigma optimization</w:t>
      </w:r>
    </w:p>
    <w:p>
      <w:pPr>
        <w:pStyle w:val="ListBullet"/>
        <w:ind w:left="720"/>
      </w:pPr>
      <w:r>
        <w:t>Supply Chain Risk Assessment Tools: vendor auditing, continuity planning</w:t>
      </w:r>
    </w:p>
    <w:p>
      <w:pPr>
        <w:pStyle w:val="ListBullet"/>
        <w:ind w:left="720"/>
      </w:pPr>
      <w:r>
        <w:t>Multi-Criteria Decision Analysis Framework: weighted scoring, sensitivity analysis</w:t>
      </w:r>
    </w:p>
    <w:p>
      <w:pPr>
        <w:pStyle w:val="ListBullet"/>
        <w:ind w:left="720"/>
      </w:pPr>
      <w:r>
        <w:t>Executive Decision Support Dashboard: real-time program comparison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