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Sapphire Pipeline Workflow: Rank Novel Scaffolds for CNS Targeting using Quiver + Chemoinformatics</w:t>
      </w:r>
    </w:p>
    <w:p>
      <w:r>
        <w:rPr>
          <w:b/>
        </w:rPr>
        <w:t xml:space="preserve">Prompt: </w:t>
      </w:r>
      <w:r>
        <w:t>Rank novel scaffolds for CNS targeting using Quiver + chemoinformatics.</w:t>
      </w:r>
    </w:p>
    <w:p>
      <w:r>
        <w:t>This pipeline ranks novel chemical scaffolds and compound series for CNS targeting by integrating Quiver EP CRISPR atlas phenotypic rescue data with chemoinformatic property optimization, scaffold hopping analyses, and medicinal chemistry SAR (structure-activity relationship) integration. The workflow prioritizes chemical matter demonstrating potent in vitro electrophysiological rescue through target engagement, coupled with optimized molecular properties for CNS penetration (blood-brain barrier permeability, optimal MW/cLogP/PSA).</w:t>
      </w:r>
    </w:p>
    <w:p>
      <w:r>
        <w:t>Novel scaffold discovery for neurological disorders benefits from early integration of Quiver phenotypic efficacy screening to validate mechanism-of-action before extensive medicinal chemistry investment. This pipeline synthesizes electrophysiological rescue scoring, chemoinformatic property optimization, scaffold hopping precedent extraction, and BBB penetration prediction to objectively rank novel scaffolds by discovery-stage potential and probability of clinical translation.</w:t>
      </w:r>
    </w:p>
    <w:p>
      <w:pPr>
        <w:pStyle w:val="Heading2"/>
      </w:pPr>
      <w:r>
        <w:t>Pipeline Overview</w:t>
      </w:r>
    </w:p>
    <w:p>
      <w:r>
        <w:t>The Sapphire Rank Novel Scaffolds for CNS Targeting using Quiver + Chemoinformatics Pipeline comprises six sequential analytical stages designed to comprehensively evaluate candidates across multiple critical domains. Each stage builds upon prior outputs to establish evidence-based recommendations.</w:t>
      </w:r>
    </w:p>
    <w:p>
      <w:r>
        <w:t>Integration of Quiver's EP CRISPR atlas data—encompassing ~18,000 gene perturbations with 500+ electrophysiological features per neuron—enables precise quantification of rescue efficacy. Combined with targeted assessments and strategic analysis, this pipeline delivers consolidated actionable recommendations.</w:t>
      </w:r>
    </w:p>
    <w:p>
      <w:pPr>
        <w:pStyle w:val="Heading2"/>
      </w:pPr>
      <w:r>
        <w:t>Stage 1: Novel Scaffold Mechanism-of-Action Validation via Quiver EP Screening</w:t>
      </w:r>
    </w:p>
    <w:p>
      <w:r>
        <w:rPr>
          <w:b/>
        </w:rPr>
        <w:t xml:space="preserve">Purpose: </w:t>
      </w:r>
      <w:r>
        <w:t>Validate mechanism-of-action for novel chemical scaffolds by high-throughput screening against Quiver EP CRISPR atlas data to assess electrophysiological phenotype rescue across disease-relevant neuronal models and quantify off-target effect potential through phenotypic clustering analysis.</w:t>
      </w:r>
    </w:p>
    <w:p>
      <w:r>
        <w:rPr>
          <w:b/>
        </w:rPr>
        <w:t>Inputs:</w:t>
      </w:r>
    </w:p>
    <w:p>
      <w:pPr>
        <w:pStyle w:val="ListBullet"/>
        <w:ind w:left="720"/>
      </w:pPr>
      <w:r>
        <w:t>Novel chemical scaffolds and compound series with target gene/protein designations and proposed mechanism-of-action hypotheses</w:t>
      </w:r>
    </w:p>
    <w:p>
      <w:pPr>
        <w:pStyle w:val="ListBullet"/>
        <w:ind w:left="720"/>
      </w:pPr>
      <w:r>
        <w:t>Biochemical binding data (Kd values, IC50 against target protein), selectivity profiling versus closely-related gene family members</w:t>
      </w:r>
    </w:p>
    <w:p>
      <w:pPr>
        <w:pStyle w:val="ListBullet"/>
        <w:ind w:left="720"/>
      </w:pPr>
      <w:r>
        <w:t>In vitro electrophysiological screening data from disease-relevant iPSC neuronal models or patient-derived cells treated with novel scaffolds at dose-response concentrations</w:t>
      </w:r>
    </w:p>
    <w:p>
      <w:pPr>
        <w:pStyle w:val="ListBullet"/>
        <w:ind w:left="720"/>
      </w:pPr>
      <w:r>
        <w:t>Quiver CRISPR atlas baseline phenotypes for proposed targets and mechanistically-related genes, with disease pathophysiology signatures</w:t>
      </w:r>
    </w:p>
    <w:p>
      <w:pPr>
        <w:pStyle w:val="ListBullet"/>
        <w:ind w:left="720"/>
      </w:pPr>
      <w:r>
        <w:t>Prior precedent data from approved drugs targeting same gene/pathway with validated Quiver phenotypic rescue signatures for comparison</w:t>
      </w:r>
    </w:p>
    <w:p>
      <w:r>
        <w:rPr>
          <w:b/>
        </w:rPr>
        <w:t>Tools &amp; Databases Called:</w:t>
      </w:r>
    </w:p>
    <w:p>
      <w:pPr>
        <w:pStyle w:val="ListBullet"/>
        <w:ind w:left="720"/>
      </w:pPr>
      <w:r>
        <w:t>Quiver EP CRISPR Atlas: mechanistic signature matching, unsupervised clustering of novel scaffold-induced phenotypes against genetic perturbation databases</w:t>
      </w:r>
    </w:p>
    <w:p>
      <w:pPr>
        <w:pStyle w:val="ListBullet"/>
        <w:ind w:left="720"/>
      </w:pPr>
      <w:r>
        <w:t>High-Throughput Electrophysiology Analysis: automated spike detection, feature extraction, dose-response curve fitting for compound screening</w:t>
      </w:r>
    </w:p>
    <w:p>
      <w:pPr>
        <w:pStyle w:val="ListBullet"/>
        <w:ind w:left="720"/>
      </w:pPr>
      <w:r>
        <w:t>Phenotypic Rescue Quantification Engine: normalized percent rescue calculation, effect size determination (Cohen's d), mechanistic specificity scoring</w:t>
      </w:r>
    </w:p>
    <w:p>
      <w:pPr>
        <w:pStyle w:val="ListBullet"/>
        <w:ind w:left="720"/>
      </w:pPr>
      <w:r>
        <w:t>Off-Target Activity Assessment: phenotypic clustering to identify non-target-related electrophysiological changes, toxicity-related phenotype detection</w:t>
      </w:r>
    </w:p>
    <w:p>
      <w:pPr>
        <w:pStyle w:val="ListBullet"/>
        <w:ind w:left="720"/>
      </w:pPr>
      <w:r>
        <w:t>Target Binding Affinity Integration: Kd/IC50 correlation with electrophysiological rescue magnitude, target engagement biomarker validation</w:t>
      </w:r>
    </w:p>
    <w:p>
      <w:pPr>
        <w:pStyle w:val="ListBullet"/>
        <w:ind w:left="720"/>
      </w:pPr>
      <w:r>
        <w:t>Mechanism Similarity Scoring: cross-correlation of novel scaffold phenotypes with precedent approved drugs targeting same pathway, mechanistic confidence assessment</w:t>
      </w:r>
    </w:p>
    <w:p>
      <w:r>
        <w:rPr>
          <w:b/>
        </w:rPr>
        <w:t>Exemplary Sub-Prompts:</w:t>
      </w:r>
    </w:p>
    <w:p>
      <w:pPr>
        <w:pStyle w:val="ListBullet"/>
        <w:ind w:left="720"/>
      </w:pPr>
      <w:r>
        <w:t>Screen novel chemical scaffolds against Quiver atlas CRISPR knockdown phenotypes for proposed targets, quantifying phenotypic overlap (percent matching features in disease-relevant EP signature) as mechanism-of-action validation metric.</w:t>
      </w:r>
    </w:p>
    <w:p>
      <w:pPr>
        <w:pStyle w:val="ListBullet"/>
        <w:ind w:left="720"/>
      </w:pPr>
      <w:r>
        <w:t>Perform unsupervised clustering of novel scaffold-induced electrophysiological changes to identify distinct rescue phenotypes, distinguish on-target rescue from off-target toxicity effects, and assess phenotypic consistency across compound analogs.</w:t>
      </w:r>
    </w:p>
    <w:p>
      <w:pPr>
        <w:pStyle w:val="ListBullet"/>
        <w:ind w:left="720"/>
      </w:pPr>
      <w:r>
        <w:t>Correlate biochemical binding affinity (Kd/IC50) with magnitude of electrophysiological rescue, establishing target engagement threshold for compounds requiring higher potency to achieve clinical-relevant phenotype correction.</w:t>
      </w:r>
    </w:p>
    <w:p>
      <w:pPr>
        <w:pStyle w:val="ListBullet"/>
        <w:ind w:left="720"/>
      </w:pPr>
      <w:r>
        <w:t>Compare novel scaffold phenotypic signatures to precedent approved drugs targeting same gene/pathway, extracting medicinal chemistry insights into property requirements for phenotypic efficacy.</w:t>
      </w:r>
    </w:p>
    <w:p>
      <w:pPr>
        <w:pStyle w:val="ListBullet"/>
        <w:ind w:left="720"/>
      </w:pPr>
      <w:r>
        <w:t>Assign mechanism-of-action confidence scores to novel scaffolds based on phenotypic overlap with genetic target, absence of off-target toxicity phenotypes, and consistency across compound series members.</w:t>
      </w:r>
    </w:p>
    <w:p>
      <w:r>
        <w:rPr>
          <w:b/>
        </w:rPr>
        <w:t>Expected Outputs:</w:t>
      </w:r>
    </w:p>
    <w:p>
      <w:pPr>
        <w:pStyle w:val="ListBullet"/>
        <w:ind w:left="720"/>
      </w:pPr>
      <w:r>
        <w:t>Mechanism-of-action validation scorecard for each novel scaffold series listing target gene, Quiver phenotypic overlap percentage, off-target activity assessment, and confidence score (1-5)</w:t>
      </w:r>
    </w:p>
    <w:p>
      <w:pPr>
        <w:pStyle w:val="ListBullet"/>
        <w:ind w:left="720"/>
      </w:pPr>
      <w:r>
        <w:t>Dose-response curves for disease-relevant EP parameters showing compound-induced rescue magnitude, EC50 values, and therapeutic window characterization across scaffold analogs</w:t>
      </w:r>
    </w:p>
    <w:p>
      <w:pPr>
        <w:pStyle w:val="ListBullet"/>
        <w:ind w:left="720"/>
      </w:pPr>
      <w:r>
        <w:t>Phenotypic clustering analysis comparing novel scaffold-induced phenotypes to genetic target knockdowns, off-target phenotype signatures, and toxicity-related EP changes</w:t>
      </w:r>
    </w:p>
    <w:p>
      <w:pPr>
        <w:pStyle w:val="ListBullet"/>
        <w:ind w:left="720"/>
      </w:pPr>
      <w:r>
        <w:t>Target engagement biomarker correlation analysis relating biochemical binding affinity (Kd/IC50) to electrophysiological rescue magnitude, identifying potency thresholds for phenotypic efficacy</w:t>
      </w:r>
    </w:p>
    <w:p>
      <w:pPr>
        <w:pStyle w:val="ListBullet"/>
        <w:ind w:left="720"/>
      </w:pPr>
      <w:r>
        <w:t>Mechanistic precedent comparison to approved drugs targeting same pathway, extracting property-function relationships informing medicinal chemistry strategy</w:t>
      </w:r>
    </w:p>
    <w:p>
      <w:pPr>
        <w:pStyle w:val="ListBullet"/>
        <w:ind w:left="720"/>
      </w:pPr>
      <w:r>
        <w:t>Scaffold series ranking (1-5+) by mechanism-of-action validation confidence, phenotypic rescue magnitude, and consistency across analogs, prioritizing series for medicinal chemistry advancement</w:t>
      </w:r>
    </w:p>
    <w:p>
      <w:r>
        <w:rPr>
          <w:b/>
        </w:rPr>
        <w:t xml:space="preserve">Format: </w:t>
      </w:r>
      <w:r>
        <w:t>Interactive Excel workbook with mechanism validation scorecards, dose-response curve visualizations, phenotypic clustering heatmaps, target engagement correlations, and compound potency ranking tables.</w:t>
      </w:r>
    </w:p>
    <w:p>
      <w:pPr>
        <w:pStyle w:val="Heading2"/>
      </w:pPr>
      <w:r>
        <w:t>Stage 2: Chemoinformatic Property Optimization for CNS BBB Penetration</w:t>
      </w:r>
    </w:p>
    <w:p>
      <w:r>
        <w:rPr>
          <w:b/>
        </w:rPr>
        <w:t xml:space="preserve">Purpose: </w:t>
      </w:r>
      <w:r>
        <w:t>Optimize novel scaffold molecular properties for blood-brain barrier (BBB) penetration and CNS target engagement by integrating chemoinformatic prediction tools, evaluated against experimental BBB permeability data, to select compounds with optimal ADME properties (MW, cLogP, PSA, rotatable bonds, H-bond donors/acceptors).</w:t>
      </w:r>
    </w:p>
    <w:p>
      <w:r>
        <w:rPr>
          <w:b/>
        </w:rPr>
        <w:t>Inputs:</w:t>
      </w:r>
    </w:p>
    <w:p>
      <w:pPr>
        <w:pStyle w:val="ListBullet"/>
        <w:ind w:left="720"/>
      </w:pPr>
      <w:r>
        <w:t>Chemical structures of novel scaffold series with molecular property calculations (MW, cLogP, PSA, rotatable bonds, H-bond donors/acceptors, polar surface area)</w:t>
      </w:r>
    </w:p>
    <w:p>
      <w:pPr>
        <w:pStyle w:val="ListBullet"/>
        <w:ind w:left="720"/>
      </w:pPr>
      <w:r>
        <w:t>Experimental BBB permeability data (in vitro BBB penetration models: MDCK-MDR1 cells, primary brain endothelial cells; or in vivo brain penetration from rat/mouse PK studies) if available</w:t>
      </w:r>
    </w:p>
    <w:p>
      <w:pPr>
        <w:pStyle w:val="ListBullet"/>
        <w:ind w:left="720"/>
      </w:pPr>
      <w:r>
        <w:t>CNS/plasma concentration ratios from in vivo PK studies demonstrating BBB penetration capability for scaffold or analogs</w:t>
      </w:r>
    </w:p>
    <w:p>
      <w:pPr>
        <w:pStyle w:val="ListBullet"/>
        <w:ind w:left="720"/>
      </w:pPr>
      <w:r>
        <w:t>Physicochemical property data and metabolic stability information (hepatic microsomes, human S9 fraction) enabling ADME property-function relationship analysis</w:t>
      </w:r>
    </w:p>
    <w:p>
      <w:pPr>
        <w:pStyle w:val="ListBullet"/>
        <w:ind w:left="720"/>
      </w:pPr>
      <w:r>
        <w:t>Published CNS-targeting chemoinformatic property guidelines and Lipinski's Rule of Five modifications for optimal BBB penetration (MW &lt;500, cLogP &lt;3, PSA 40-80)</w:t>
      </w:r>
    </w:p>
    <w:p>
      <w:r>
        <w:rPr>
          <w:b/>
        </w:rPr>
        <w:t>Tools &amp; Databases Called:</w:t>
      </w:r>
    </w:p>
    <w:p>
      <w:pPr>
        <w:pStyle w:val="ListBullet"/>
        <w:ind w:left="720"/>
      </w:pPr>
      <w:r>
        <w:t>Molecular Property Calculator: automated MW, cLogP, PSA, rotatable bonds, H-bond calculation from chemical structures</w:t>
      </w:r>
    </w:p>
    <w:p>
      <w:pPr>
        <w:pStyle w:val="ListBullet"/>
        <w:ind w:left="720"/>
      </w:pPr>
      <w:r>
        <w:t>BBB Penetration Prediction Engines: machine learning models (Random Forest, SVM) predicting BBB permeability from molecular properties, trained on experimental BBB data</w:t>
      </w:r>
    </w:p>
    <w:p>
      <w:pPr>
        <w:pStyle w:val="ListBullet"/>
        <w:ind w:left="720"/>
      </w:pPr>
      <w:r>
        <w:t>Lipinski &amp; Oprea CNS Rules Assessment: property-based filtering for CNS drug optimization, Lipinski's modifications for BBB penetration</w:t>
      </w:r>
    </w:p>
    <w:p>
      <w:pPr>
        <w:pStyle w:val="ListBullet"/>
        <w:ind w:left="720"/>
      </w:pPr>
      <w:r>
        <w:t>Chemoinformatic Similarity Analysis: structural similarity to approved CNS drugs, property space clustering, lead-likeness assessment</w:t>
      </w:r>
    </w:p>
    <w:p>
      <w:pPr>
        <w:pStyle w:val="ListBullet"/>
        <w:ind w:left="720"/>
      </w:pPr>
      <w:r>
        <w:t>ADME Prediction Framework: hepatic metabolic stability prediction, CYP enzyme substrate probability, metabolite structure prediction</w:t>
      </w:r>
    </w:p>
    <w:p>
      <w:pPr>
        <w:pStyle w:val="ListBullet"/>
        <w:ind w:left="720"/>
      </w:pPr>
      <w:r>
        <w:t>Property-Function Correlation Engine: relating molecular properties (MW, cLogP, PSA) to electrophysiological rescue magnitude and BBB penetration probability across scaffold series</w:t>
      </w:r>
    </w:p>
    <w:p>
      <w:r>
        <w:rPr>
          <w:b/>
        </w:rPr>
        <w:t>Exemplary Sub-Prompts:</w:t>
      </w:r>
    </w:p>
    <w:p>
      <w:pPr>
        <w:pStyle w:val="ListBullet"/>
        <w:ind w:left="720"/>
      </w:pPr>
      <w:r>
        <w:t>Calculate molecular properties (MW, cLogP, PSA, rotatable bonds, H-bond donors/acceptors) for all novel scaffolds; compare against published CNS-optimized property ranges and Lipinski/Oprea guidelines for BBB-penetrating drugs.</w:t>
      </w:r>
    </w:p>
    <w:p>
      <w:pPr>
        <w:pStyle w:val="ListBullet"/>
        <w:ind w:left="720"/>
      </w:pPr>
      <w:r>
        <w:t>Predict BBB permeability for novel scaffolds using machine learning models trained on experimental BBB data, correlating predicted permeability with electrophysiological rescue magnitude to identify property-efficacy relationships.</w:t>
      </w:r>
    </w:p>
    <w:p>
      <w:pPr>
        <w:pStyle w:val="ListBullet"/>
        <w:ind w:left="720"/>
      </w:pPr>
      <w:r>
        <w:t>Map novel scaffold series in CNS chemoinformatic property space (MW vs. cLogP vs. PSA), identifying clusters of compounds with favorable BBB penetration properties and comparing to approved CNS drugs for property precedent.</w:t>
      </w:r>
    </w:p>
    <w:p>
      <w:pPr>
        <w:pStyle w:val="ListBullet"/>
        <w:ind w:left="720"/>
      </w:pPr>
      <w:r>
        <w:t>Assess ADME properties (hepatic metabolic stability, CYP substrate probability, metabolite liability) for novel scaffolds, identifying compounds with acceptable metabolic stability to support CNS efficacy.</w:t>
      </w:r>
    </w:p>
    <w:p>
      <w:pPr>
        <w:pStyle w:val="ListBullet"/>
        <w:ind w:left="720"/>
      </w:pPr>
      <w:r>
        <w:t>Prioritize novel scaffold analogs for medicinal chemistry advancement based on property optimization (MW/cLogP/PSA) and predicted BBB penetration, balancing efficacy-driven modifications against ADME property preservation.</w:t>
      </w:r>
    </w:p>
    <w:p>
      <w:r>
        <w:rPr>
          <w:b/>
        </w:rPr>
        <w:t>Expected Outputs:</w:t>
      </w:r>
    </w:p>
    <w:p>
      <w:pPr>
        <w:pStyle w:val="ListBullet"/>
        <w:ind w:left="720"/>
      </w:pPr>
      <w:r>
        <w:t>Comprehensive molecular property analysis for all scaffolds and analogs including MW, cLogP, PSA, rotatable bonds, H-bond donors/acceptors, and comparison against CNS optimization guidelines</w:t>
      </w:r>
    </w:p>
    <w:p>
      <w:pPr>
        <w:pStyle w:val="ListBullet"/>
        <w:ind w:left="720"/>
      </w:pPr>
      <w:r>
        <w:t>BBB penetration predictions for novel scaffolds using machine learning models, with property contribution analysis identifying which molecular properties most strongly correlate with predicted BBB permeability</w:t>
      </w:r>
    </w:p>
    <w:p>
      <w:pPr>
        <w:pStyle w:val="ListBullet"/>
        <w:ind w:left="720"/>
      </w:pPr>
      <w:r>
        <w:t>Property-efficacy correlation analysis relating molecular properties to electrophysiological rescue magnitude, identifying optimal property ranges for balance of efficacy and CNS penetration</w:t>
      </w:r>
    </w:p>
    <w:p>
      <w:pPr>
        <w:pStyle w:val="ListBullet"/>
        <w:ind w:left="720"/>
      </w:pPr>
      <w:r>
        <w:t>CNS chemoinformatic property space mapping (MW vs. cLogP vs. PSA) with novel scaffolds positioned against approved CNS drugs for property precedent comparison</w:t>
      </w:r>
    </w:p>
    <w:p>
      <w:pPr>
        <w:pStyle w:val="ListBullet"/>
        <w:ind w:left="720"/>
      </w:pPr>
      <w:r>
        <w:t>ADME property assessment (hepatic stability, CYP inhibition/substrate probability, metabolite liability) with recommendations for structural modifications to optimize metabolic stability while preserving BBB penetration</w:t>
      </w:r>
    </w:p>
    <w:p>
      <w:pPr>
        <w:pStyle w:val="ListBullet"/>
        <w:ind w:left="720"/>
      </w:pPr>
      <w:r>
        <w:t>Prioritized scaffold analog selection (1-5 ranking) balancing electrophysiological efficacy, predicted BBB penetration, and ADME property favorability, with structure optimization recommendations for medicinal chemistry</w:t>
      </w:r>
    </w:p>
    <w:p>
      <w:r>
        <w:rPr>
          <w:b/>
        </w:rPr>
        <w:t xml:space="preserve">Format: </w:t>
      </w:r>
      <w:r>
        <w:t>Chemoinformatic analysis workbook with property calculation tables, BBB permeability predictions, property-efficacy correlations, CNS property space visualizations, ADME assessments, and prioritized structure recommendations.</w:t>
      </w:r>
    </w:p>
    <w:p>
      <w:pPr>
        <w:pStyle w:val="Heading2"/>
      </w:pPr>
      <w:r>
        <w:t>Stage 3: Scaffold Hopping &amp; Medicinal Chemistry SAR Integration from Precedent Programs</w:t>
      </w:r>
    </w:p>
    <w:p>
      <w:r>
        <w:rPr>
          <w:b/>
        </w:rPr>
        <w:t xml:space="preserve">Purpose: </w:t>
      </w:r>
      <w:r>
        <w:t>Systematically mine literature and approved drug precedent for structure-activity relationships (SAR) in target-driven medicinal chemistry programs, extract scaffold hopping strategies and property-function insights applicable to novel scaffold optimization, and assess patent freedom-to-operate landscape.</w:t>
      </w:r>
    </w:p>
    <w:p>
      <w:r>
        <w:rPr>
          <w:b/>
        </w:rPr>
        <w:t>Inputs:</w:t>
      </w:r>
    </w:p>
    <w:p>
      <w:pPr>
        <w:pStyle w:val="ListBullet"/>
        <w:ind w:left="720"/>
      </w:pPr>
      <w:r>
        <w:t>Published medicinal chemistry manuscripts describing SAR studies for approved or clinical-stage drugs targeting same gene/pathway, documenting structure-property relationships and optimization strategies</w:t>
      </w:r>
    </w:p>
    <w:p>
      <w:pPr>
        <w:pStyle w:val="ListBullet"/>
        <w:ind w:left="720"/>
      </w:pPr>
      <w:r>
        <w:t>Patent landscape analysis including approved drug patents, expired patents for scaffold/target enabling scaffold hopping opportunities, and composition-of-matter patent claims relevant to novel scaffolds</w:t>
      </w:r>
    </w:p>
    <w:p>
      <w:pPr>
        <w:pStyle w:val="ListBullet"/>
        <w:ind w:left="720"/>
      </w:pPr>
      <w:r>
        <w:t>Approved drug structures and chemical scaffolds for precedent target-directed programs with documented clinical efficacy, ADME properties, and manufacturing viability</w:t>
      </w:r>
    </w:p>
    <w:p>
      <w:pPr>
        <w:pStyle w:val="ListBullet"/>
        <w:ind w:left="720"/>
      </w:pPr>
      <w:r>
        <w:t>Clinical trial data and published safety/efficacy profiles from precedent programs targeting same mechanism, informing property modification strategies to optimize safety/efficacy</w:t>
      </w:r>
    </w:p>
    <w:p>
      <w:pPr>
        <w:pStyle w:val="ListBullet"/>
        <w:ind w:left="720"/>
      </w:pPr>
      <w:r>
        <w:t>Chemical database analysis (ChEMBL, PubChem) of prior compounds targeting proposed target/mechanism with documented activity and property data enabling SAR pattern extraction</w:t>
      </w:r>
    </w:p>
    <w:p>
      <w:r>
        <w:rPr>
          <w:b/>
        </w:rPr>
        <w:t>Tools &amp; Databases Called:</w:t>
      </w:r>
    </w:p>
    <w:p>
      <w:pPr>
        <w:pStyle w:val="ListBullet"/>
        <w:ind w:left="720"/>
      </w:pPr>
      <w:r>
        <w:t>Patent Landscape Analysis Tools: patent claim analysis, scaffold patent coverage assessment, freedom-to-operate evaluation, patent term extension potential</w:t>
      </w:r>
    </w:p>
    <w:p>
      <w:pPr>
        <w:pStyle w:val="ListBullet"/>
        <w:ind w:left="720"/>
      </w:pPr>
      <w:r>
        <w:t>Literature NLP Pipeline: automated extraction of SAR insights from medicinal chemistry publications, structure-property relationships, optimization strategies for target class</w:t>
      </w:r>
    </w:p>
    <w:p>
      <w:pPr>
        <w:pStyle w:val="ListBullet"/>
        <w:ind w:left="720"/>
      </w:pPr>
      <w:r>
        <w:t>Chemical Structure Database Mining: ChEMBL, PubChem activity data extraction for precedent target/mechanism, SAR pattern recognition using machine learning clustering</w:t>
      </w:r>
    </w:p>
    <w:p>
      <w:pPr>
        <w:pStyle w:val="ListBullet"/>
        <w:ind w:left="720"/>
      </w:pPr>
      <w:r>
        <w:t>Scaffold Hopping Algorithms: computational generation of scaffold analogs with favorable properties, bioisosteric replacement suggestions, structural diversity assessment</w:t>
      </w:r>
    </w:p>
    <w:p>
      <w:pPr>
        <w:pStyle w:val="ListBullet"/>
        <w:ind w:left="720"/>
      </w:pPr>
      <w:r>
        <w:t>Property-Function SAR Analysis: extraction of optimal property ranges from precedent clinical drugs, validation against novel scaffold property-efficacy correlations</w:t>
      </w:r>
    </w:p>
    <w:p>
      <w:pPr>
        <w:pStyle w:val="ListBullet"/>
        <w:ind w:left="720"/>
      </w:pPr>
      <w:r>
        <w:t>Competitive Scaffold Assessment: structural novelty scoring relative to precedent programs and patent landscape, differentiation potential assessment</w:t>
      </w:r>
    </w:p>
    <w:p>
      <w:r>
        <w:rPr>
          <w:b/>
        </w:rPr>
        <w:t>Exemplary Sub-Prompts:</w:t>
      </w:r>
    </w:p>
    <w:p>
      <w:pPr>
        <w:pStyle w:val="ListBullet"/>
        <w:ind w:left="720"/>
      </w:pPr>
      <w:r>
        <w:t>Perform systematic literature review extracting SAR studies from published medicinal chemistry programs targeting proposed gene/pathway, documenting key structure-property relationships informing property optimization strategy.</w:t>
      </w:r>
    </w:p>
    <w:p>
      <w:pPr>
        <w:pStyle w:val="ListBullet"/>
        <w:ind w:left="720"/>
      </w:pPr>
      <w:r>
        <w:t>Conduct patent landscape analysis assessing freedom-to-operate for novel scaffolds, identifying expired patents enabling scaffold hopping strategies, and evaluating composition-of-matter patent risks from competing programs.</w:t>
      </w:r>
    </w:p>
    <w:p>
      <w:pPr>
        <w:pStyle w:val="ListBullet"/>
        <w:ind w:left="720"/>
      </w:pPr>
      <w:r>
        <w:t>Mine chemical structure databases (ChEMBL, PubChem) for prior compounds targeting proposed target/mechanism, extracting SAR patterns and property ranges associated with documented activity.</w:t>
      </w:r>
    </w:p>
    <w:p>
      <w:pPr>
        <w:pStyle w:val="ListBullet"/>
        <w:ind w:left="720"/>
      </w:pPr>
      <w:r>
        <w:t>Apply scaffold hopping computational tools to generate novel scaffold analogs with optimized property profiles relative to approved precedent drugs, bioisosteric replacement for property improvement.</w:t>
      </w:r>
    </w:p>
    <w:p>
      <w:pPr>
        <w:pStyle w:val="ListBullet"/>
        <w:ind w:left="720"/>
      </w:pPr>
      <w:r>
        <w:t>Synthesize SAR insights from literature and database mining into property modification recommendations for novel scaffolds, balancing efficacy optimization with mechanistic specificity preservation and patent freedom-to-operate.</w:t>
      </w:r>
    </w:p>
    <w:p>
      <w:r>
        <w:rPr>
          <w:b/>
        </w:rPr>
        <w:t>Expected Outputs:</w:t>
      </w:r>
    </w:p>
    <w:p>
      <w:pPr>
        <w:pStyle w:val="ListBullet"/>
        <w:ind w:left="720"/>
      </w:pPr>
      <w:r>
        <w:t>Comprehensive literature-extracted SAR summary documenting key structure-property relationships from precedent medicinal chemistry programs, property ranges optimal for target/mechanism class</w:t>
      </w:r>
    </w:p>
    <w:p>
      <w:pPr>
        <w:pStyle w:val="ListBullet"/>
        <w:ind w:left="720"/>
      </w:pPr>
      <w:r>
        <w:t>Patent landscape analysis including scaffold patent coverage assessment, freedom-to-operate evaluation, patent expiration timeline enabling scaffold hopping, and differentiation potential of novel scaffolds</w:t>
      </w:r>
    </w:p>
    <w:p>
      <w:pPr>
        <w:pStyle w:val="ListBullet"/>
        <w:ind w:left="720"/>
      </w:pPr>
      <w:r>
        <w:t>Chemical structure database SAR pattern analysis from ChEMBL/PubChem extracting structure-activity correlations, optimal property ranges from precedent compounds, and potency/selectivity trade-off analysis</w:t>
      </w:r>
    </w:p>
    <w:p>
      <w:pPr>
        <w:pStyle w:val="ListBullet"/>
        <w:ind w:left="720"/>
      </w:pPr>
      <w:r>
        <w:t>Scaffold hopping computational results generating novel scaffold analogs with optimized property profiles, bioisosteric replacement suggestions, and structural diversity assessment relative to existing patent landscape</w:t>
      </w:r>
    </w:p>
    <w:p>
      <w:pPr>
        <w:pStyle w:val="ListBullet"/>
        <w:ind w:left="720"/>
      </w:pPr>
      <w:r>
        <w:t>Property-function SAR synthesis integrating literature, database, and computational insights into actionable structure modification recommendations for novel scaffolds optimizing efficacy, BBB penetration, and ADME properties</w:t>
      </w:r>
    </w:p>
    <w:p>
      <w:pPr>
        <w:pStyle w:val="ListBullet"/>
        <w:ind w:left="720"/>
      </w:pPr>
      <w:r>
        <w:t>Freedom-to-operate and differentiation assessment for novel scaffolds with risk flags for potential patent infringement, recommendations for structure modifications enhancing patent freedom and competitive differentiation</w:t>
      </w:r>
    </w:p>
    <w:p>
      <w:r>
        <w:rPr>
          <w:b/>
        </w:rPr>
        <w:t xml:space="preserve">Format: </w:t>
      </w:r>
      <w:r>
        <w:t>SAR analysis document with literature-extracted insights, patent landscape analysis, chemical database mining results, scaffold hopping recommendations, integrated property modification guidance, and FTO assessment summary.</w:t>
      </w:r>
    </w:p>
    <w:p>
      <w:pPr>
        <w:pStyle w:val="Heading2"/>
      </w:pPr>
      <w:r>
        <w:t>Stage 4: Lead Optimization &amp; In Vitro ADME Profiling</w:t>
      </w:r>
    </w:p>
    <w:p>
      <w:r>
        <w:rPr>
          <w:b/>
        </w:rPr>
        <w:t xml:space="preserve">Purpose: </w:t>
      </w:r>
      <w:r>
        <w:t>Advance optimized novel scaffolds through iterative lead optimization cycles, conducting comprehensive in vitro ADME profiling (hepatic metabolic stability, CYP enzyme substrate/inhibitor classification, metabolite identification, off-target binding assessment) to identify compounds with balanced efficacy and ADME properties suitable for in vivo PK validation.</w:t>
      </w:r>
    </w:p>
    <w:p>
      <w:r>
        <w:rPr>
          <w:b/>
        </w:rPr>
        <w:t>Inputs:</w:t>
      </w:r>
    </w:p>
    <w:p>
      <w:pPr>
        <w:pStyle w:val="ListBullet"/>
        <w:ind w:left="720"/>
      </w:pPr>
      <w:r>
        <w:t>Optimized novel scaffold candidates selected from prior stages with confirmed electrophysiological rescue and favorable chemoinformatic properties</w:t>
      </w:r>
    </w:p>
    <w:p>
      <w:pPr>
        <w:pStyle w:val="ListBullet"/>
        <w:ind w:left="720"/>
      </w:pPr>
      <w:r>
        <w:t>Biochemical binding affinity data (Kd/IC50) for target and known off-target proteins for selectivity assessment across scaffold analogs</w:t>
      </w:r>
    </w:p>
    <w:p>
      <w:pPr>
        <w:pStyle w:val="ListBullet"/>
        <w:ind w:left="720"/>
      </w:pPr>
      <w:r>
        <w:t>Published off-target binding profiles for approved drugs with same target/mechanism, informing selectivity requirements for novel scaffolds</w:t>
      </w:r>
    </w:p>
    <w:p>
      <w:pPr>
        <w:pStyle w:val="ListBullet"/>
        <w:ind w:left="720"/>
      </w:pPr>
      <w:r>
        <w:t>Preliminary in vitro ADME data (if available): hepatic metabolic stability results, CYP substrate/inhibitor classification, metabolite structures from prior scaffolds or analogs</w:t>
      </w:r>
    </w:p>
    <w:p>
      <w:pPr>
        <w:pStyle w:val="ListBullet"/>
        <w:ind w:left="720"/>
      </w:pPr>
      <w:r>
        <w:t>Anticipated clinical dosing regimen and target plasma concentrations informing ADME property requirements (e.g., long half-life vs. frequent dosing, metabolic stability thresholds)</w:t>
      </w:r>
    </w:p>
    <w:p>
      <w:r>
        <w:rPr>
          <w:b/>
        </w:rPr>
        <w:t>Tools &amp; Databases Called:</w:t>
      </w:r>
    </w:p>
    <w:p>
      <w:pPr>
        <w:pStyle w:val="ListBullet"/>
        <w:ind w:left="720"/>
      </w:pPr>
      <w:r>
        <w:t>Hepatic Metabolic Stability Assays: in vitro human liver microsomes, human S9 fraction testing, metabolic clearance quantification (CLint determination)</w:t>
      </w:r>
    </w:p>
    <w:p>
      <w:pPr>
        <w:pStyle w:val="ListBullet"/>
        <w:ind w:left="720"/>
      </w:pPr>
      <w:r>
        <w:t>CYP Enzyme Assessment: substrate/inhibitor classification (CYP3A4, 2D6, 2C9, 2C19), IC50 determination, time-dependent inhibition assessment</w:t>
      </w:r>
    </w:p>
    <w:p>
      <w:pPr>
        <w:pStyle w:val="ListBullet"/>
        <w:ind w:left="720"/>
      </w:pPr>
      <w:r>
        <w:t>Metabolite Identification &amp; Characterization: liquid chromatography-mass spectrometry (LC-MS/MS), structure elucidation, metabolic pathway mapping</w:t>
      </w:r>
    </w:p>
    <w:p>
      <w:pPr>
        <w:pStyle w:val="ListBullet"/>
        <w:ind w:left="720"/>
      </w:pPr>
      <w:r>
        <w:t>Off-Target Binding Profiling: comprehensive panel testing (50-100 off-targets) quantifying selectivity profile and potential safety liabilities</w:t>
      </w:r>
    </w:p>
    <w:p>
      <w:pPr>
        <w:pStyle w:val="ListBullet"/>
        <w:ind w:left="720"/>
      </w:pPr>
      <w:r>
        <w:t>PK/PD Modeling: IV/oral bioavailability prediction, half-life estimation, dose requirement projections from ADME data</w:t>
      </w:r>
    </w:p>
    <w:p>
      <w:pPr>
        <w:pStyle w:val="ListBullet"/>
        <w:ind w:left="720"/>
      </w:pPr>
      <w:r>
        <w:t>Property Optimization Dashboard: iterative lead optimization tracking, ADME property-function relationships, compound selection criteria for advancement</w:t>
      </w:r>
    </w:p>
    <w:p>
      <w:r>
        <w:rPr>
          <w:b/>
        </w:rPr>
        <w:t>Exemplary Sub-Prompts:</w:t>
      </w:r>
    </w:p>
    <w:p>
      <w:pPr>
        <w:pStyle w:val="ListBullet"/>
        <w:ind w:left="720"/>
      </w:pPr>
      <w:r>
        <w:t>Conduct comprehensive hepatic metabolic stability testing (human liver microsomes, human S9 fraction) for prioritized novel scaffolds, quantifying intrinsic hepatic clearance (CLint) and estimating in vivo hepatic clearance.</w:t>
      </w:r>
    </w:p>
    <w:p>
      <w:pPr>
        <w:pStyle w:val="ListBullet"/>
        <w:ind w:left="720"/>
      </w:pPr>
      <w:r>
        <w:t>Perform CYP enzyme substrate/inhibitor classification (CYP3A4, 2D6, 2C9, 2C19) for lead compounds, quantifying IC50 values and assessing time-dependent inhibition potential for drug-drug interaction risk assessment.</w:t>
      </w:r>
    </w:p>
    <w:p>
      <w:pPr>
        <w:pStyle w:val="ListBullet"/>
        <w:ind w:left="720"/>
      </w:pPr>
      <w:r>
        <w:t>Execute metabolite identification studies via LC-MS/MS for lead scaffolds, elucidating metabolic pathways and potential reactive metabolite formation; assess metabolite toxicity liability through literature precedent.</w:t>
      </w:r>
    </w:p>
    <w:p>
      <w:pPr>
        <w:pStyle w:val="ListBullet"/>
        <w:ind w:left="720"/>
      </w:pPr>
      <w:r>
        <w:t>Conduct off-target binding profiling across comprehensive panel (50+ off-targets) to quantify selectivity profile for lead scaffolds, comparing to approved drugs targeting same mechanism for safety signal assessment.</w:t>
      </w:r>
    </w:p>
    <w:p>
      <w:pPr>
        <w:pStyle w:val="ListBullet"/>
        <w:ind w:left="720"/>
      </w:pPr>
      <w:r>
        <w:t>Predict IV/oral bioavailability, half-life, and dose requirements from ADME data and established PK/PD models; optimize compound selection balancing efficacy, selectivity, metabolic stability, and projected PK properties.</w:t>
      </w:r>
    </w:p>
    <w:p>
      <w:r>
        <w:rPr>
          <w:b/>
        </w:rPr>
        <w:t>Expected Outputs:</w:t>
      </w:r>
    </w:p>
    <w:p>
      <w:pPr>
        <w:pStyle w:val="ListBullet"/>
        <w:ind w:left="720"/>
      </w:pPr>
      <w:r>
        <w:t>Hepatic metabolic stability results for optimized scaffolds quantifying intrinsic hepatic clearance (CLint), predicted hepatic clearance, and estimated in vivo half-life extrapolations</w:t>
      </w:r>
    </w:p>
    <w:p>
      <w:pPr>
        <w:pStyle w:val="ListBullet"/>
        <w:ind w:left="720"/>
      </w:pPr>
      <w:r>
        <w:t>CYP enzyme substrate/inhibitor classification results including IC50 values, time-dependent inhibition assessment, and drug-drug interaction risk stratification for lead compounds</w:t>
      </w:r>
    </w:p>
    <w:p>
      <w:pPr>
        <w:pStyle w:val="ListBullet"/>
        <w:ind w:left="720"/>
      </w:pPr>
      <w:r>
        <w:t>Metabolite identification results including structures, formation pathways, abundance quantification, and potential reactive metabolite/toxicity liability assessment for lead compounds</w:t>
      </w:r>
    </w:p>
    <w:p>
      <w:pPr>
        <w:pStyle w:val="ListBullet"/>
        <w:ind w:left="720"/>
      </w:pPr>
      <w:r>
        <w:t>Off-target binding selectivity profiling comparing lead scaffolds to approved drugs, quantifying selectivity index (target IC50/off-target IC50 ratios), and potential safety signal assessment</w:t>
      </w:r>
    </w:p>
    <w:p>
      <w:pPr>
        <w:pStyle w:val="ListBullet"/>
        <w:ind w:left="720"/>
      </w:pPr>
      <w:r>
        <w:t>PK/PD predictions from ADME data estimating IV/oral bioavailability, projected half-life, steady-state plasma concentrations at anticipated clinical doses, and dosing frequency requirements</w:t>
      </w:r>
    </w:p>
    <w:p>
      <w:pPr>
        <w:pStyle w:val="ListBullet"/>
        <w:ind w:left="720"/>
      </w:pPr>
      <w:r>
        <w:t>Lead compound selection recommendations with iterative optimization targets: efficacy/selectivity balance, metabolic stability thresholds, anticipated PK properties supporting advancement to in vivo PK studies</w:t>
      </w:r>
    </w:p>
    <w:p>
      <w:r>
        <w:rPr>
          <w:b/>
        </w:rPr>
        <w:t xml:space="preserve">Format: </w:t>
      </w:r>
      <w:r>
        <w:t>Lead optimization dossier with hepatic stability results, CYP enzyme classification, metabolite characterization, off-target binding profiles, PK/PD predictions, and advanced compound selection criteria.</w:t>
      </w:r>
    </w:p>
    <w:p>
      <w:pPr>
        <w:pStyle w:val="Heading2"/>
      </w:pPr>
      <w:r>
        <w:t>Stage 5: In Vivo Pharmacokinetics Validation &amp; BBB Penetration Confirmation</w:t>
      </w:r>
    </w:p>
    <w:p>
      <w:r>
        <w:rPr>
          <w:b/>
        </w:rPr>
        <w:t xml:space="preserve">Purpose: </w:t>
      </w:r>
      <w:r>
        <w:t>Validate predicted blood-brain barrier penetration and in vivo pharmacokinetics for optimized lead scaffolds through rodent PK studies, confirming CNS target tissue drug levels achieve concentrations required for electrophysiological rescue, and assessing brain-to-plasma ratios as validation of chemoinformatic BBB penetration predictions.</w:t>
      </w:r>
    </w:p>
    <w:p>
      <w:r>
        <w:rPr>
          <w:b/>
        </w:rPr>
        <w:t>Inputs:</w:t>
      </w:r>
    </w:p>
    <w:p>
      <w:pPr>
        <w:pStyle w:val="ListBullet"/>
        <w:ind w:left="720"/>
      </w:pPr>
      <w:r>
        <w:t>Lead scaffold candidates selected from in vitro ADME profiling with confirmed efficacy, selectivity, and metabolic stability</w:t>
      </w:r>
    </w:p>
    <w:p>
      <w:pPr>
        <w:pStyle w:val="ListBullet"/>
        <w:ind w:left="720"/>
      </w:pPr>
      <w:r>
        <w:t>Dose selection informed by in vitro efficacy and predicted metabolic clearance, targeting plasma concentrations expected to achieve CNS target engagement</w:t>
      </w:r>
    </w:p>
    <w:p>
      <w:pPr>
        <w:pStyle w:val="ListBullet"/>
        <w:ind w:left="720"/>
      </w:pPr>
      <w:r>
        <w:t>Target tissue drug concentration requirements derived from in vitro electrophysiological efficacy (EC50 values) and prior precedent data from approved drugs</w:t>
      </w:r>
    </w:p>
    <w:p>
      <w:pPr>
        <w:pStyle w:val="ListBullet"/>
        <w:ind w:left="720"/>
      </w:pPr>
      <w:r>
        <w:t>Rodent PK study design specifications (mouse vs. rat selection, dosing route IV/PO, sampling timepoints, bioanalytical method sensitivity)</w:t>
      </w:r>
    </w:p>
    <w:p>
      <w:pPr>
        <w:pStyle w:val="ListBullet"/>
        <w:ind w:left="720"/>
      </w:pPr>
      <w:r>
        <w:t>Expected tissue distribution requirements (CNS penetration priority vs. off-target tissue accumulation assessment for safety signal prediction)</w:t>
      </w:r>
    </w:p>
    <w:p>
      <w:r>
        <w:rPr>
          <w:b/>
        </w:rPr>
        <w:t>Tools &amp; Databases Called:</w:t>
      </w:r>
    </w:p>
    <w:p>
      <w:pPr>
        <w:pStyle w:val="ListBullet"/>
        <w:ind w:left="720"/>
      </w:pPr>
      <w:r>
        <w:t>Rodent Pharmacokinetics Modeling: IV/oral bioavailability calculation, clearance/half-life determination, brain-to-plasma ratio (Kp) quantification, CNS penetration scoring</w:t>
      </w:r>
    </w:p>
    <w:p>
      <w:pPr>
        <w:pStyle w:val="ListBullet"/>
        <w:ind w:left="720"/>
      </w:pPr>
      <w:r>
        <w:t>Bioanalytical Method Development: liquid chromatography-mass spectrometry (LC-MS/MS) for plasma/brain tissue drug quantification, method validation and sensitivity assessment</w:t>
      </w:r>
    </w:p>
    <w:p>
      <w:pPr>
        <w:pStyle w:val="ListBullet"/>
        <w:ind w:left="720"/>
      </w:pPr>
      <w:r>
        <w:t>Brain Penetration Prediction Validation: comparing observed Kp (brain/plasma ratio) to chemoinformatic predictions, assessing model accuracy and refining BBB penetration predictions</w:t>
      </w:r>
    </w:p>
    <w:p>
      <w:pPr>
        <w:pStyle w:val="ListBullet"/>
        <w:ind w:left="720"/>
      </w:pPr>
      <w:r>
        <w:t>Target Tissue Level Assessment: correlating observed brain drug concentrations to in vitro EC50 values, determining adequacy of CNS target engagement at pharmacologically-achievable doses</w:t>
      </w:r>
    </w:p>
    <w:p>
      <w:pPr>
        <w:pStyle w:val="ListBullet"/>
        <w:ind w:left="720"/>
      </w:pPr>
      <w:r>
        <w:t>Species PK Scaling: rodent PK extrapolation to predicted human PK using allometric scaling, informing human equivalent dose (HED) projections and clinical dosing predictions</w:t>
      </w:r>
    </w:p>
    <w:p>
      <w:pPr>
        <w:pStyle w:val="ListBullet"/>
        <w:ind w:left="720"/>
      </w:pPr>
      <w:r>
        <w:t>Tissue Distribution Analysis: assessment of off-target tissue accumulation (liver, kidney, adipose) and CNS selectivity, safety signal assessment from unexpected tissue distribution patterns</w:t>
      </w:r>
    </w:p>
    <w:p>
      <w:r>
        <w:rPr>
          <w:b/>
        </w:rPr>
        <w:t>Exemplary Sub-Prompts:</w:t>
      </w:r>
    </w:p>
    <w:p>
      <w:pPr>
        <w:pStyle w:val="ListBullet"/>
        <w:ind w:left="720"/>
      </w:pPr>
      <w:r>
        <w:t>Design and execute rodent PK studies (mouse or rat) for prioritized lead scaffolds at doses achieving targeted plasma concentrations, with sampling timepoints supporting PK parameter estimation (Cmax, AUC, t1/2).</w:t>
      </w:r>
    </w:p>
    <w:p>
      <w:pPr>
        <w:pStyle w:val="ListBullet"/>
        <w:ind w:left="720"/>
      </w:pPr>
      <w:r>
        <w:t>Develop and validate bioanalytical methods (LC-MS/MS) for sensitive quantification of lead scaffolds in plasma and brain tissue, ensuring method specificity and sensitivity supporting brain penetration assessment.</w:t>
      </w:r>
    </w:p>
    <w:p>
      <w:pPr>
        <w:pStyle w:val="ListBullet"/>
        <w:ind w:left="720"/>
      </w:pPr>
      <w:r>
        <w:t>Calculate brain-to-plasma partition coefficients (Kp values) from in vivo PK data, comparing observed CNS penetration to chemoinformatic predictions to validate/refine BBB penetration prediction models.</w:t>
      </w:r>
    </w:p>
    <w:p>
      <w:pPr>
        <w:pStyle w:val="ListBullet"/>
        <w:ind w:left="720"/>
      </w:pPr>
      <w:r>
        <w:t>Correlate observed brain drug concentrations to in vitro EC50 values, quantifying margin (fold) between achieved CNS levels and efficacy thresholds to assess adequacy of target engagement and safety margin from toxicity.</w:t>
      </w:r>
    </w:p>
    <w:p>
      <w:pPr>
        <w:pStyle w:val="ListBullet"/>
        <w:ind w:left="720"/>
      </w:pPr>
      <w:r>
        <w:t>Extrapolate rodent PK to predicted human PK using allometric scaling and species-specific differences in metabolic capacity, projecting human equivalent doses (HED) and clinical dosing regimens.</w:t>
      </w:r>
    </w:p>
    <w:p>
      <w:r>
        <w:rPr>
          <w:b/>
        </w:rPr>
        <w:t>Expected Outputs:</w:t>
      </w:r>
    </w:p>
    <w:p>
      <w:pPr>
        <w:pStyle w:val="ListBullet"/>
        <w:ind w:left="720"/>
      </w:pPr>
      <w:r>
        <w:t>Rodent pharmacokinetic parameter summary for lead scaffolds including IV/oral bioavailability, plasma clearance, half-life, volume of distribution, and brain-to-plasma partition coefficients (Kp)</w:t>
      </w:r>
    </w:p>
    <w:p>
      <w:pPr>
        <w:pStyle w:val="ListBullet"/>
        <w:ind w:left="720"/>
      </w:pPr>
      <w:r>
        <w:t>Brain tissue drug concentration time-course data demonstrating CNS penetration adequacy, peak brain concentrations, sustained drug levels in CNS, and temporal correlation with efficacy requirements</w:t>
      </w:r>
    </w:p>
    <w:p>
      <w:pPr>
        <w:pStyle w:val="ListBullet"/>
        <w:ind w:left="720"/>
      </w:pPr>
      <w:r>
        <w:t>Validation of chemoinformatic BBB penetration predictions by comparing predicted vs. observed Kp values, assessment of prediction model accuracy and recommendations for model refinement</w:t>
      </w:r>
    </w:p>
    <w:p>
      <w:pPr>
        <w:pStyle w:val="ListBullet"/>
        <w:ind w:left="720"/>
      </w:pPr>
      <w:r>
        <w:t>Target tissue engagement assessment correlating observed brain drug concentrations to in vitro EC50 values, quantifying safety margin (fold above EC50) achieved at proposed clinical doses</w:t>
      </w:r>
    </w:p>
    <w:p>
      <w:pPr>
        <w:pStyle w:val="ListBullet"/>
        <w:ind w:left="720"/>
      </w:pPr>
      <w:r>
        <w:t>Tissue distribution profiles for lead scaffolds documenting CNS selectivity (brain/plasma ratio), off-target tissue accumulation (liver, kidney, adipose), and potential safety signal assessment from unexpected distributions</w:t>
      </w:r>
    </w:p>
    <w:p>
      <w:pPr>
        <w:pStyle w:val="ListBullet"/>
        <w:ind w:left="720"/>
      </w:pPr>
      <w:r>
        <w:t>Human pharmacokinetic predictions from allometric scaling with projected human PK parameters (t1/2, clearance, Vd), estimated human equivalent doses (HED), and proposed clinical dosing regimens for Phase 1</w:t>
      </w:r>
    </w:p>
    <w:p>
      <w:r>
        <w:rPr>
          <w:b/>
        </w:rPr>
        <w:t xml:space="preserve">Format: </w:t>
      </w:r>
      <w:r>
        <w:t>Rodent PK validation report with study design justification, PK parameter tables, brain penetration data with Kp calculations, chemoinformatic prediction validation analysis, target engagement assessment, tissue distribution profiles, and human PK extrapolations.</w:t>
      </w:r>
    </w:p>
    <w:p>
      <w:pPr>
        <w:pStyle w:val="Heading2"/>
      </w:pPr>
      <w:r>
        <w:t>Stage 6: IND Readiness Assessment &amp; Clinical Candidacy Ranking</w:t>
      </w:r>
    </w:p>
    <w:p>
      <w:r>
        <w:rPr>
          <w:b/>
        </w:rPr>
        <w:t xml:space="preserve">Purpose: </w:t>
      </w:r>
      <w:r>
        <w:t>Synthesize electrophysiological efficacy, chemoinformatic optimization, ADME profiling, and in vivo PK validation data to generate final IND readiness scores for novel scaffolds, delivering evidence-based go/no-go recommendations for clinical development advancement and resource prioritization.</w:t>
      </w:r>
    </w:p>
    <w:p>
      <w:r>
        <w:rPr>
          <w:b/>
        </w:rPr>
        <w:t>Inputs:</w:t>
      </w:r>
    </w:p>
    <w:p>
      <w:pPr>
        <w:pStyle w:val="ListBullet"/>
        <w:ind w:left="720"/>
      </w:pPr>
      <w:r>
        <w:t>Consolidated data from all prior stages: Quiver mechanism-of-action validation, chemoinformatic property optimization, SAR integration, lead optimization ADME profiling, and in vivo PK validation results</w:t>
      </w:r>
    </w:p>
    <w:p>
      <w:pPr>
        <w:pStyle w:val="ListBullet"/>
        <w:ind w:left="720"/>
      </w:pPr>
      <w:r>
        <w:t>IND-enabling studies status and gaps: acute toxicology, repeat-dose GLP studies, safety pharmacology, off-target binding profiling, anticipated manufacturing readiness</w:t>
      </w:r>
    </w:p>
    <w:p>
      <w:pPr>
        <w:pStyle w:val="ListBullet"/>
        <w:ind w:left="720"/>
      </w:pPr>
      <w:r>
        <w:t>Competitive landscape assessment for proposed clinical indication: approved drugs, clinical-stage competitors, unmet medical need, market opportunity</w:t>
      </w:r>
    </w:p>
    <w:p>
      <w:pPr>
        <w:pStyle w:val="ListBullet"/>
        <w:ind w:left="720"/>
      </w:pPr>
      <w:r>
        <w:t>Development timeline and resource requirements: CMC scale-up feasibility, GLP study timelines, IND submission preparation, anticipated clinical development phases</w:t>
      </w:r>
    </w:p>
    <w:p>
      <w:pPr>
        <w:pStyle w:val="ListBullet"/>
        <w:ind w:left="720"/>
      </w:pPr>
      <w:r>
        <w:t>Internal decision-making criteria: efficacy threshold for clinical advancement, acceptable safety profile, manufacturing viability, financial resource availability</w:t>
      </w:r>
    </w:p>
    <w:p>
      <w:r>
        <w:rPr>
          <w:b/>
        </w:rPr>
        <w:t>Tools &amp; Databases Called:</w:t>
      </w:r>
    </w:p>
    <w:p>
      <w:pPr>
        <w:pStyle w:val="ListBullet"/>
        <w:ind w:left="720"/>
      </w:pPr>
      <w:r>
        <w:t>Multi-Criteria Decision Analysis: weighted scoring integration across efficacy (Quiver EP rescue %), selectivity, ADME properties, predicted BBB penetration, in vivo PK validation</w:t>
      </w:r>
    </w:p>
    <w:p>
      <w:pPr>
        <w:pStyle w:val="ListBullet"/>
        <w:ind w:left="720"/>
      </w:pPr>
      <w:r>
        <w:t>IND Readiness Scorecard: systematic assessment of nonclinical data completeness, CMC readiness, safety database adequacy, regulatory precedent alignment with IND submission requirements</w:t>
      </w:r>
    </w:p>
    <w:p>
      <w:pPr>
        <w:pStyle w:val="ListBullet"/>
        <w:ind w:left="720"/>
      </w:pPr>
      <w:r>
        <w:t>Risk-Opportunity Positioning Matrix: efficacy vs. safety profile visualization, unmet medical need vs. competitive risk assessment, development timeline vs. resource requirement forecasting</w:t>
      </w:r>
    </w:p>
    <w:p>
      <w:pPr>
        <w:pStyle w:val="ListBullet"/>
        <w:ind w:left="720"/>
      </w:pPr>
      <w:r>
        <w:t>Probability-of-Success (PoS) Estimation: historical success rates for similar scaffolds/mechanisms, clinical development phase success predictions using Tufts Center PoS data</w:t>
      </w:r>
    </w:p>
    <w:p>
      <w:pPr>
        <w:pStyle w:val="ListBullet"/>
        <w:ind w:left="720"/>
      </w:pPr>
      <w:r>
        <w:t>Development Timeline Forecasting: critical path analysis for IND-enabling studies, CMC scale-up, GLP completion, IND preparation, Phase 1 startup timelines with Monte Carlo uncertainty</w:t>
      </w:r>
    </w:p>
    <w:p>
      <w:pPr>
        <w:pStyle w:val="ListBullet"/>
        <w:ind w:left="720"/>
      </w:pPr>
      <w:r>
        <w:t>Portfolio Optimization: resource-constrained ranking of candidates, internal development prioritization, out-licensing opportunity assessment</w:t>
      </w:r>
    </w:p>
    <w:p>
      <w:r>
        <w:rPr>
          <w:b/>
        </w:rPr>
        <w:t>Exemplary Sub-Prompts:</w:t>
      </w:r>
    </w:p>
    <w:p>
      <w:pPr>
        <w:pStyle w:val="ListBullet"/>
        <w:ind w:left="720"/>
      </w:pPr>
      <w:r>
        <w:t>Construct weighted multi-criteria scoring matrix for lead scaffolds integrating efficacy (Quiver EP rescue %), selectivity profile, metabolic stability, predicted BBB penetration, and confirmed in vivo PK validation results.</w:t>
      </w:r>
    </w:p>
    <w:p>
      <w:pPr>
        <w:pStyle w:val="ListBullet"/>
        <w:ind w:left="720"/>
      </w:pPr>
      <w:r>
        <w:t>Assess IND readiness comparing current nonclinical data package against FDA IND requirements: acute/repeat-dose GLP toxicology gaps, safety pharmacology completeness, off-target binding assessment adequacy, CMC readiness.</w:t>
      </w:r>
    </w:p>
    <w:p>
      <w:pPr>
        <w:pStyle w:val="ListBullet"/>
        <w:ind w:left="720"/>
      </w:pPr>
      <w:r>
        <w:t>Project development timeline from current stage to IND submission including GLP study initiation/completion, CMC scale-up and manufacturing validation, IND dossier preparation and regulatory submission timelines.</w:t>
      </w:r>
    </w:p>
    <w:p>
      <w:pPr>
        <w:pStyle w:val="ListBullet"/>
        <w:ind w:left="720"/>
      </w:pPr>
      <w:r>
        <w:t>Estimate development costs and resource requirements (nonclinical studies, manufacturing scale-up, regulatory consulting) and compare against internal capacity and external partnership availability (CROs, CMOs).</w:t>
      </w:r>
    </w:p>
    <w:p>
      <w:pPr>
        <w:pStyle w:val="ListBullet"/>
        <w:ind w:left="720"/>
      </w:pPr>
      <w:r>
        <w:t>Generate evidence-based go/no-go recommendations for lead scaffolds with composite IND readiness ranking, identification of critical development gaps requiring remediation, conditional advancement criteria, and resource prioritization strategy.</w:t>
      </w:r>
    </w:p>
    <w:p>
      <w:r>
        <w:rPr>
          <w:b/>
        </w:rPr>
        <w:t>Expected Outputs:</w:t>
      </w:r>
    </w:p>
    <w:p>
      <w:pPr>
        <w:pStyle w:val="ListBullet"/>
        <w:ind w:left="720"/>
      </w:pPr>
      <w:r>
        <w:t>Final composite IND readiness scorecard for each lead scaffold including efficacy score (Quiver EP rescue %), selectivity/safety profile assessment, ADME property optimization score, in vivo PK validation confirmation, and overall weighted IND readiness rank (1-5+)</w:t>
      </w:r>
    </w:p>
    <w:p>
      <w:pPr>
        <w:pStyle w:val="ListBullet"/>
        <w:ind w:left="720"/>
      </w:pPr>
      <w:r>
        <w:t>IND requirements gap analysis identifying nonclinical data completeness gaps, CMC readiness status, safety database adequacy, and specific studies required for IND submission</w:t>
      </w:r>
    </w:p>
    <w:p>
      <w:pPr>
        <w:pStyle w:val="ListBullet"/>
        <w:ind w:left="720"/>
      </w:pPr>
      <w:r>
        <w:t>Risk-benefit positioning matrices placing scaffolds in efficacy-safety space, competitive risk assessment relative to approved/clinical competitors, and unmet medical need opportunity quantification</w:t>
      </w:r>
    </w:p>
    <w:p>
      <w:pPr>
        <w:pStyle w:val="ListBullet"/>
        <w:ind w:left="720"/>
      </w:pPr>
      <w:r>
        <w:t>Development timeline projections for top-ranked scaffolds including critical path GLP studies, CMC manufacturing scale-up, IND preparation, Phase 1 startup, and market access timelines</w:t>
      </w:r>
    </w:p>
    <w:p>
      <w:pPr>
        <w:pStyle w:val="ListBullet"/>
        <w:ind w:left="720"/>
      </w:pPr>
      <w:r>
        <w:t>Development cost estimation for top-ranked scaffolds including nonclinical study costs, CMC investments, regulatory consulting, clinical trial startup costs, and payback analysis</w:t>
      </w:r>
    </w:p>
    <w:p>
      <w:pPr>
        <w:pStyle w:val="ListBullet"/>
        <w:ind w:left="720"/>
      </w:pPr>
      <w:r>
        <w:t>Executive go/no-go recommendation with ranked scaffold prioritization (1-5+), key decision drivers (efficacy/selectivity/ADME strengths), critical development gaps requiring remediation, and resource allocation strategy</w:t>
      </w:r>
    </w:p>
    <w:p>
      <w:r>
        <w:rPr>
          <w:b/>
        </w:rPr>
        <w:t xml:space="preserve">Format: </w:t>
      </w:r>
      <w:r>
        <w:t>Executive IND readiness assessment document with integrated scorecard, gap analysis, risk matrices, timeline/cost projections, and go/no-go recommendations; comprehensive supporting analytics workbook with multi-criteria scoring, development forecasting, and scenario planning.</w:t>
      </w:r>
    </w:p>
    <w:p>
      <w:pPr>
        <w:pStyle w:val="Heading2"/>
      </w:pPr>
      <w:r>
        <w:t>Comprehensive Tools &amp; Databases Summary</w:t>
      </w:r>
    </w:p>
    <w:p>
      <w:pPr>
        <w:pStyle w:val="ListBullet"/>
        <w:ind w:left="720"/>
      </w:pPr>
      <w:r>
        <w:t>Quiver EP CRISPR Atlas: genome-wide phenotype database with 18k+ perturbations and 500+ features per neuron</w:t>
      </w:r>
    </w:p>
    <w:p>
      <w:pPr>
        <w:pStyle w:val="ListBullet"/>
        <w:ind w:left="720"/>
      </w:pPr>
      <w:r>
        <w:t>High-Throughput Electrophysiology: MEA, patch-clamp, automated feature extraction and analysis pipelines</w:t>
      </w:r>
    </w:p>
    <w:p>
      <w:pPr>
        <w:pStyle w:val="ListBullet"/>
        <w:ind w:left="720"/>
      </w:pPr>
      <w:r>
        <w:t>Quiver Morphological Imaging: dendritic reconstruction, spine quantification, soma morphometry</w:t>
      </w:r>
    </w:p>
    <w:p>
      <w:pPr>
        <w:pStyle w:val="ListBullet"/>
        <w:ind w:left="720"/>
      </w:pPr>
      <w:r>
        <w:t>ChEMBL &amp; PubChem: chemical structure and bioactivity databases for SAR analysis and precedent extraction</w:t>
      </w:r>
    </w:p>
    <w:p>
      <w:pPr>
        <w:pStyle w:val="ListBullet"/>
        <w:ind w:left="720"/>
      </w:pPr>
      <w:r>
        <w:t>Patent Intelligence Platforms: FreePatentsOnline, Google Patents, specialized FTO analysis tools</w:t>
      </w:r>
    </w:p>
    <w:p>
      <w:pPr>
        <w:pStyle w:val="ListBullet"/>
        <w:ind w:left="720"/>
      </w:pPr>
      <w:r>
        <w:t>FDA Regulatory Databases: CBER approvals, PREA/FDASIA requirement tracking, pediatric study data</w:t>
      </w:r>
    </w:p>
    <w:p>
      <w:pPr>
        <w:pStyle w:val="ListBullet"/>
        <w:ind w:left="720"/>
      </w:pPr>
      <w:r>
        <w:t>Clinical Trial Registries: ClinicalTrials.gov, EMA EudraCT, competitor pipeline tracking</w:t>
      </w:r>
    </w:p>
    <w:p>
      <w:pPr>
        <w:pStyle w:val="ListBullet"/>
        <w:ind w:left="720"/>
      </w:pPr>
      <w:r>
        <w:t>Gene Expression Databases: GTEx, Allen Brain Atlas, single-cell transcriptomics for neuronal subtype profiling</w:t>
      </w:r>
    </w:p>
    <w:p>
      <w:pPr>
        <w:pStyle w:val="ListBullet"/>
        <w:ind w:left="720"/>
      </w:pPr>
      <w:r>
        <w:t>Disease Epidemiology Resources: Global Burden of Disease, WHO epidemiology, prevalence/incidence data</w:t>
      </w:r>
    </w:p>
    <w:p>
      <w:pPr>
        <w:pStyle w:val="ListBullet"/>
        <w:ind w:left="720"/>
      </w:pPr>
      <w:r>
        <w:t>Pharmacokinetics Modeling: allometric scaling, PBPK modeling, CYP enzyme ontogeny databases</w:t>
      </w:r>
    </w:p>
    <w:p>
      <w:pPr>
        <w:pStyle w:val="ListBullet"/>
        <w:ind w:left="720"/>
      </w:pPr>
      <w:r>
        <w:t>Off-Target Binding Prediction: OT-seq database, comprehensive protein panel screening</w:t>
      </w:r>
    </w:p>
    <w:p>
      <w:pPr>
        <w:pStyle w:val="ListBullet"/>
        <w:ind w:left="720"/>
      </w:pPr>
      <w:r>
        <w:t>Regulatory Intelligence: FDA guidance documents, precedent IND/NDA analysis, advisory committee minutes</w:t>
      </w:r>
    </w:p>
    <w:p>
      <w:pPr>
        <w:pStyle w:val="ListBullet"/>
        <w:ind w:left="720"/>
      </w:pPr>
      <w:r>
        <w:t>Multi-Criteria Decision Analysis: weighted scoring frameworks, sensitivity analysis, Monte Carlo simulation</w:t>
      </w:r>
    </w:p>
    <w:p>
      <w:pPr>
        <w:pStyle w:val="ListBullet"/>
        <w:ind w:left="720"/>
      </w:pPr>
      <w:r>
        <w:t>Development Timeline Forecasting: critical path analysis, project management tools, PoS estimation</w:t>
      </w:r>
    </w:p>
    <w:p>
      <w:pPr>
        <w:pStyle w:val="ListBullet"/>
        <w:ind w:left="720"/>
      </w:pPr>
      <w:r>
        <w:t>Executive Decision Support: real-time visualization dashboards, scenario planning interfaces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