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Sapphire Pipeline Workflow: Rank Top 10 White-Space CNS Targets with Low Competitive Density</w:t>
      </w:r>
    </w:p>
    <w:p>
      <w:r>
        <w:rPr>
          <w:b/>
        </w:rPr>
        <w:t xml:space="preserve">Prompt: </w:t>
      </w:r>
      <w:r>
        <w:t>Rank top 10 white-space CNS targets with low competitive density.</w:t>
      </w:r>
    </w:p>
    <w:p>
      <w:r>
        <w:t>This pipeline identifies and ranks under-exploited (white-space) CNS drug targets with high unmet medical need but low competitive density, evaluating target validation strength through Quiver EP CRISPR atlas perturbation data, assessing freedom-to-operate and patent landscape, and estimating market opportunity to prioritize target-to-lead compound discovery programs with minimal competitive risk.</w:t>
      </w:r>
    </w:p>
    <w:p>
      <w:r>
        <w:t>White-space CNS target identification leverages Quiver's comprehensive gene perturbation coverage to systematically evaluate target pathology relevance, disease mechanism engagement, and clinical phenotype rescue potential while assessing competitive landscape sparsity. This pipeline synthesizes target validation metrics, intellectual property freedom, unmet medical need quantification, and competitive risk assessment to enable prioritization of under-exploited yet scientifically validated CNS targets for new chemical matter discovery.</w:t>
      </w:r>
    </w:p>
    <w:p>
      <w:pPr>
        <w:pStyle w:val="Heading2"/>
      </w:pPr>
      <w:r>
        <w:t>Pipeline Overview</w:t>
      </w:r>
    </w:p>
    <w:p>
      <w:r>
        <w:t>The Sapphire Rank Top 10 White-Space CNS Targets with Low Competitive Density Pipeline comprises six sequential analytical stages designed to comprehensively evaluate candidates across multiple critical domains. Each stage builds upon prior outputs to establish evidence-based recommendations.</w:t>
      </w:r>
    </w:p>
    <w:p>
      <w:r>
        <w:t>Integration of Quiver's EP CRISPR atlas data—encompassing ~18,000 gene perturbations with 500+ electrophysiological features per neuron—enables precise quantification of rescue efficacy. Combined with targeted assessments and strategic analysis, this pipeline delivers consolidated actionable recommendations.</w:t>
      </w:r>
    </w:p>
    <w:p>
      <w:pPr>
        <w:pStyle w:val="Heading2"/>
      </w:pPr>
      <w:r>
        <w:t>Stage 1: CNS Target Universe Definition &amp; Disease-Mechanism Relevance Mapping</w:t>
      </w:r>
    </w:p>
    <w:p>
      <w:r>
        <w:rPr>
          <w:b/>
        </w:rPr>
        <w:t xml:space="preserve">Purpose: </w:t>
      </w:r>
      <w:r>
        <w:t>Systematically define CNS target universe encompassing genes expressed in disease-relevant neuronal cell types and circuits, prioritize targets based on disease mechanism relevance using literature and pathway analysis, and establish baseline target universe for competitive density and white-space assessment.</w:t>
      </w:r>
    </w:p>
    <w:p>
      <w:r>
        <w:rPr>
          <w:b/>
        </w:rPr>
        <w:t>Inputs:</w:t>
      </w:r>
    </w:p>
    <w:p>
      <w:pPr>
        <w:pStyle w:val="ListBullet"/>
        <w:ind w:left="720"/>
      </w:pPr>
      <w:r>
        <w:t>Disease indication definition with mechanistic hypotheses and known genetic/pharmacological targets, target tissues/cell types affected (cortical pyramidal neurons, cerebellar Purkinje cells, etc.)</w:t>
      </w:r>
    </w:p>
    <w:p>
      <w:pPr>
        <w:pStyle w:val="ListBullet"/>
        <w:ind w:left="720"/>
      </w:pPr>
      <w:r>
        <w:t>Gene expression databases (GTEx, Allen Brain Atlas) defining gene expression specificity in disease-relevant neuronal subtypes and brain circuits</w:t>
      </w:r>
    </w:p>
    <w:p>
      <w:pPr>
        <w:pStyle w:val="ListBullet"/>
        <w:ind w:left="720"/>
      </w:pPr>
      <w:r>
        <w:t>Published genome-wide association studies (GWAS), exome sequencing studies documenting genetic variants associated with target disease, candidate causal genes from human genetic linkage</w:t>
      </w:r>
    </w:p>
    <w:p>
      <w:pPr>
        <w:pStyle w:val="ListBullet"/>
        <w:ind w:left="720"/>
      </w:pPr>
      <w:r>
        <w:t>Pathway analysis resources (Reactome, KEGG, IPA) defining molecular pathways involved in disease pathophysiology and potential therapeutic targets</w:t>
      </w:r>
    </w:p>
    <w:p>
      <w:pPr>
        <w:pStyle w:val="ListBullet"/>
        <w:ind w:left="720"/>
      </w:pPr>
      <w:r>
        <w:t>Published literature on disease mechanisms and druggable target hypotheses from model organism genetics and functional studies</w:t>
      </w:r>
    </w:p>
    <w:p>
      <w:r>
        <w:rPr>
          <w:b/>
        </w:rPr>
        <w:t>Tools &amp; Databases Called:</w:t>
      </w:r>
    </w:p>
    <w:p>
      <w:pPr>
        <w:pStyle w:val="ListBullet"/>
        <w:ind w:left="720"/>
      </w:pPr>
      <w:r>
        <w:t>Gene Expression Database Integration: GTEx, Allen Brain Atlas, single-cell transcriptomics databases for neuronal subtype-specific expression profiling</w:t>
      </w:r>
    </w:p>
    <w:p>
      <w:pPr>
        <w:pStyle w:val="ListBullet"/>
        <w:ind w:left="720"/>
      </w:pPr>
      <w:r>
        <w:t>Pathway Analysis Framework: Reactome, KEGG, Ingenuity Pathway Analysis (IPA) for disease mechanism pathway identification and target prioritization by pathway centrality</w:t>
      </w:r>
    </w:p>
    <w:p>
      <w:pPr>
        <w:pStyle w:val="ListBullet"/>
        <w:ind w:left="720"/>
      </w:pPr>
      <w:r>
        <w:t>GWAS/Genetic Analysis Integration: mapping disease-associated genetic variants to candidate causal genes, gene burden analysis for target prioritization</w:t>
      </w:r>
    </w:p>
    <w:p>
      <w:pPr>
        <w:pStyle w:val="ListBullet"/>
        <w:ind w:left="720"/>
      </w:pPr>
      <w:r>
        <w:t>Target Filtering Pipeline: selection of druggable proteins (kinases, GPCRs, ion channels, transporters, enzymes) from candidate gene universe</w:t>
      </w:r>
    </w:p>
    <w:p>
      <w:pPr>
        <w:pStyle w:val="ListBullet"/>
        <w:ind w:left="720"/>
      </w:pPr>
      <w:r>
        <w:t>Literature Mining NLP: systematic extraction of target mentions from published disease mechanism studies, ranking targets by literature prevalence as evidence of mechanism relevance</w:t>
      </w:r>
    </w:p>
    <w:p>
      <w:pPr>
        <w:pStyle w:val="ListBullet"/>
        <w:ind w:left="720"/>
      </w:pPr>
      <w:r>
        <w:t>Target Universe Database: consolidated list of disease-mechanism-relevant potential drug targets with annotation of expression specificity, pathway involvement, genetic evidence</w:t>
      </w:r>
    </w:p>
    <w:p>
      <w:r>
        <w:rPr>
          <w:b/>
        </w:rPr>
        <w:t>Exemplary Sub-Prompts:</w:t>
      </w:r>
    </w:p>
    <w:p>
      <w:pPr>
        <w:pStyle w:val="ListBullet"/>
        <w:ind w:left="720"/>
      </w:pPr>
      <w:r>
        <w:t>Define disease-relevant neuronal cell types and circuits based on pathophysiology (e.g., cerebellar dysfunction = Purkinje cells + granule cell circuits), mapping target expression patterns to affected cellular systems.</w:t>
      </w:r>
    </w:p>
    <w:p>
      <w:pPr>
        <w:pStyle w:val="ListBullet"/>
        <w:ind w:left="720"/>
      </w:pPr>
      <w:r>
        <w:t>Mine GWAS and exome sequencing literature identifying disease-associated genetic variants, mapping variants to candidate causal genes and prioritizing based on genetic evidence strength.</w:t>
      </w:r>
    </w:p>
    <w:p>
      <w:pPr>
        <w:pStyle w:val="ListBullet"/>
        <w:ind w:left="720"/>
      </w:pPr>
      <w:r>
        <w:t>Perform pathway analysis identifying molecular pathways dysregulated in disease pathophysiology, extracting pathway-central genes as high-priority targets based on mechanistic centrality.</w:t>
      </w:r>
    </w:p>
    <w:p>
      <w:pPr>
        <w:pStyle w:val="ListBullet"/>
        <w:ind w:left="720"/>
      </w:pPr>
      <w:r>
        <w:t>Curate literature evidence of disease mechanism involvement for each candidate target, extracting pharmacological and genetic evidence supporting target-disease relevance.</w:t>
      </w:r>
    </w:p>
    <w:p>
      <w:pPr>
        <w:pStyle w:val="ListBullet"/>
        <w:ind w:left="720"/>
      </w:pPr>
      <w:r>
        <w:t>Filter target universe to druggable proteins (kinases, GPCRs, ion channels, transporters, enzymes, chromatin regulators) removing undruggable targets, generating prioritized target list.</w:t>
      </w:r>
    </w:p>
    <w:p>
      <w:r>
        <w:rPr>
          <w:b/>
        </w:rPr>
        <w:t>Expected Outputs:</w:t>
      </w:r>
    </w:p>
    <w:p>
      <w:pPr>
        <w:pStyle w:val="ListBullet"/>
        <w:ind w:left="720"/>
      </w:pPr>
      <w:r>
        <w:t>Consolidated disease-mechanism-relevant target universe (50-200+ targets) with annotations: target gene/protein, druggability classification, expression in disease-relevant cell types, pathway involvement, genetic evidence for target-disease linkage</w:t>
      </w:r>
    </w:p>
    <w:p>
      <w:pPr>
        <w:pStyle w:val="ListBullet"/>
        <w:ind w:left="720"/>
      </w:pPr>
      <w:r>
        <w:t>Disease mechanism pathway maps showing target genes in context of dysregulated molecular cascades, identifying pathway-central high-priority targets</w:t>
      </w:r>
    </w:p>
    <w:p>
      <w:pPr>
        <w:pStyle w:val="ListBullet"/>
        <w:ind w:left="720"/>
      </w:pPr>
      <w:r>
        <w:t>Genetic evidence summary for each target including GWAS p-values, effect sizes, exome variant frequency, biological plausibility scoring</w:t>
      </w:r>
    </w:p>
    <w:p>
      <w:pPr>
        <w:pStyle w:val="ListBullet"/>
        <w:ind w:left="720"/>
      </w:pPr>
      <w:r>
        <w:t>Literature prevalence ranking of targets by publication frequency in disease mechanism studies, evidence synthesis of target relevance</w:t>
      </w:r>
    </w:p>
    <w:p>
      <w:pPr>
        <w:pStyle w:val="ListBullet"/>
        <w:ind w:left="720"/>
      </w:pPr>
      <w:r>
        <w:t>Target filtration report documenting druggability assessment, elimination of non-druggable targets, and final prioritized target universe for competitive assessment</w:t>
      </w:r>
    </w:p>
    <w:p>
      <w:r>
        <w:rPr>
          <w:b/>
        </w:rPr>
        <w:t xml:space="preserve">Format: </w:t>
      </w:r>
      <w:r>
        <w:t>Target universe definition report with disease mechanism pathway maps, GWAS/genetic evidence integration, literature prevalence rankings, druggability assessment, and consolidated target list for downstream competitive analysis.</w:t>
      </w:r>
    </w:p>
    <w:p>
      <w:pPr>
        <w:pStyle w:val="Heading2"/>
      </w:pPr>
      <w:r>
        <w:t>Stage 2: Quiver EP CRISPR Atlas Target Validation &amp; Phenotypic Rescue Scoring</w:t>
      </w:r>
    </w:p>
    <w:p>
      <w:r>
        <w:rPr>
          <w:b/>
        </w:rPr>
        <w:t xml:space="preserve">Purpose: </w:t>
      </w:r>
      <w:r>
        <w:t>Evaluate target validation strength for disease-mechanism-relevant targets using Quiver EP CRISPR atlas perturbation data, quantifying electrophysiological phenotypic rescue potential for each target and assessing mechanistic consistency with disease pathophysiology.</w:t>
      </w:r>
    </w:p>
    <w:p>
      <w:r>
        <w:rPr>
          <w:b/>
        </w:rPr>
        <w:t>Inputs:</w:t>
      </w:r>
    </w:p>
    <w:p>
      <w:pPr>
        <w:pStyle w:val="ListBullet"/>
        <w:ind w:left="720"/>
      </w:pPr>
      <w:r>
        <w:t>Prioritized CNS target list (50-200+) from Stage 1 disease mechanism mapping</w:t>
      </w:r>
    </w:p>
    <w:p>
      <w:pPr>
        <w:pStyle w:val="ListBullet"/>
        <w:ind w:left="720"/>
      </w:pPr>
      <w:r>
        <w:t>Quiver EP CRISPR atlas knockdown phenotypes for prioritized targets in disease-relevant neuronal subtypes, baseline disease phenotypes for comparison</w:t>
      </w:r>
    </w:p>
    <w:p>
      <w:pPr>
        <w:pStyle w:val="ListBullet"/>
        <w:ind w:left="720"/>
      </w:pPr>
      <w:r>
        <w:t>Published literature on known gene function and predicted biological activity, supporting expected phenotypic changes from knockdown/activation</w:t>
      </w:r>
    </w:p>
    <w:p>
      <w:pPr>
        <w:pStyle w:val="ListBullet"/>
        <w:ind w:left="720"/>
      </w:pPr>
      <w:r>
        <w:t>Disease model electrophysiological phenotypes from literature documenting expected EP rescue patterns for mechanism-on-target perturbations</w:t>
      </w:r>
    </w:p>
    <w:p>
      <w:pPr>
        <w:pStyle w:val="ListBullet"/>
        <w:ind w:left="720"/>
      </w:pPr>
      <w:r>
        <w:t>Mechanistically-related genes with documented Quiver phenotypes for pathway context and validation of mechanistic consistency</w:t>
      </w:r>
    </w:p>
    <w:p>
      <w:r>
        <w:rPr>
          <w:b/>
        </w:rPr>
        <w:t>Tools &amp; Databases Called:</w:t>
      </w:r>
    </w:p>
    <w:p>
      <w:pPr>
        <w:pStyle w:val="ListBullet"/>
        <w:ind w:left="720"/>
      </w:pPr>
      <w:r>
        <w:t>Quiver EP CRISPR Atlas Phenotypic Rescue Scoring: quantifying percent rescue of disease-associated EP features for each target knockdown, effect size calculations (Cohen's d)</w:t>
      </w:r>
    </w:p>
    <w:p>
      <w:pPr>
        <w:pStyle w:val="ListBullet"/>
        <w:ind w:left="720"/>
      </w:pPr>
      <w:r>
        <w:t>Phenotypic Clustering &amp; Mechanism Validation: comparing target knockdown phenotypes to disease model phenotypes, assessing mechanistic consistency and on-target rescue patterns</w:t>
      </w:r>
    </w:p>
    <w:p>
      <w:pPr>
        <w:pStyle w:val="ListBullet"/>
        <w:ind w:left="720"/>
      </w:pPr>
      <w:r>
        <w:t>Pathway-Level Phenotypic Analysis: integrating phenotypes across pathway-related genes, assessing whether target perturbations activate/suppress pathway activity consistent with therapeutic expectation</w:t>
      </w:r>
    </w:p>
    <w:p>
      <w:pPr>
        <w:pStyle w:val="ListBullet"/>
        <w:ind w:left="720"/>
      </w:pPr>
      <w:r>
        <w:t>Target Validation Confidence Scoring: multi-component scoring combining mechanistic pathway involvement, phenotypic rescue magnitude, across-batch reproducibility (ICC), consistency across neuronal subtypes</w:t>
      </w:r>
    </w:p>
    <w:p>
      <w:pPr>
        <w:pStyle w:val="ListBullet"/>
        <w:ind w:left="720"/>
      </w:pPr>
      <w:r>
        <w:t>Target-Disease Linkage Evidence Aggregation: integrating genetic evidence (GWAS, exome), pathway relevance, literature prevalence, and Quiver phenotypic validation into composite target validation score</w:t>
      </w:r>
    </w:p>
    <w:p>
      <w:pPr>
        <w:pStyle w:val="ListBullet"/>
        <w:ind w:left="720"/>
      </w:pPr>
      <w:r>
        <w:t>Off-Target Phenotype Assessment: identifying unexpected phenotypic changes from target knockdowns suggesting pleiotropic effects or biological complexity</w:t>
      </w:r>
    </w:p>
    <w:p>
      <w:r>
        <w:rPr>
          <w:b/>
        </w:rPr>
        <w:t>Exemplary Sub-Prompts:</w:t>
      </w:r>
    </w:p>
    <w:p>
      <w:pPr>
        <w:pStyle w:val="ListBullet"/>
        <w:ind w:left="720"/>
      </w:pPr>
      <w:r>
        <w:t>Query Quiver EP CRISPR atlas for knockdown phenotypes for each prioritized target in disease-relevant neuronal subtypes, quantifying electrophysiological rescue vs. disease baseline.</w:t>
      </w:r>
    </w:p>
    <w:p>
      <w:pPr>
        <w:pStyle w:val="ListBullet"/>
        <w:ind w:left="720"/>
      </w:pPr>
      <w:r>
        <w:t>Calculate normalized percent rescue across disease-relevant EP features for each target, determining which targets demonstrate strongest phenotypic rescue potential</w:t>
      </w:r>
    </w:p>
    <w:p>
      <w:pPr>
        <w:pStyle w:val="ListBullet"/>
        <w:ind w:left="720"/>
      </w:pPr>
      <w:r>
        <w:t>Compare target knockdown phenotypes to expected disease model phenotypes, assessing mechanistic consistency and validating on-target rescue patterns vs. off-target/pleiotropic effects</w:t>
      </w:r>
    </w:p>
    <w:p>
      <w:pPr>
        <w:pStyle w:val="ListBullet"/>
        <w:ind w:left="720"/>
      </w:pPr>
      <w:r>
        <w:t>Perform phenotypic clustering analysis placing target knockdowns in disease phenotype space, identifying targets with phenotypes most consistent with therapeutic disease correction</w:t>
      </w:r>
    </w:p>
    <w:p>
      <w:pPr>
        <w:pStyle w:val="ListBullet"/>
        <w:ind w:left="720"/>
      </w:pPr>
      <w:r>
        <w:t>Integrate genetic evidence (GWAS p-values, effect sizes), pathway centrality, literature prevalence, and Quiver phenotypic validation into composite target validation confidence score (1-100).</w:t>
      </w:r>
    </w:p>
    <w:p>
      <w:r>
        <w:rPr>
          <w:b/>
        </w:rPr>
        <w:t>Expected Outputs:</w:t>
      </w:r>
    </w:p>
    <w:p>
      <w:pPr>
        <w:pStyle w:val="ListBullet"/>
        <w:ind w:left="720"/>
      </w:pPr>
      <w:r>
        <w:t>Quiver-derived target validation scorecard for each target including: normalized % EP rescue in disease model, effect size (Cohen's d), reproducibility metrics (ICC across batches/cell types), mechanistic consistency score with disease phenotype</w:t>
      </w:r>
    </w:p>
    <w:p>
      <w:pPr>
        <w:pStyle w:val="ListBullet"/>
        <w:ind w:left="720"/>
      </w:pPr>
      <w:r>
        <w:t>Phenotypic rescue ranking of targets (1-5+) based on magnitude and consistency of electrophysiological rescue, identifying targets with strongest validation from functional perturbation data</w:t>
      </w:r>
    </w:p>
    <w:p>
      <w:pPr>
        <w:pStyle w:val="ListBullet"/>
        <w:ind w:left="720"/>
      </w:pPr>
      <w:r>
        <w:t>Mechanistic consistency analysis comparing target knockdown phenotypes to disease model phenotypes, flagging targets with off-target/pleiotropic effect concerns</w:t>
      </w:r>
    </w:p>
    <w:p>
      <w:pPr>
        <w:pStyle w:val="ListBullet"/>
        <w:ind w:left="720"/>
      </w:pPr>
      <w:r>
        <w:t>Target validation confidence composite score (1-100) integrating genetic evidence, pathway centrality, literature prevalence, and Quiver phenotypic validation</w:t>
      </w:r>
    </w:p>
    <w:p>
      <w:pPr>
        <w:pStyle w:val="ListBullet"/>
        <w:ind w:left="720"/>
      </w:pPr>
      <w:r>
        <w:t>Off-target phenotype identification and biological complexity assessment for targets showing unexpected knockdown phenotypes, interpretating pleiotropy vs. downstream pathway engagement</w:t>
      </w:r>
    </w:p>
    <w:p>
      <w:pPr>
        <w:pStyle w:val="ListBullet"/>
        <w:ind w:left="720"/>
      </w:pPr>
      <w:r>
        <w:t>Validated target prioritization (1-50) for Stage 3 competitive landscape assessment, focusing on targets with strong Quiver phenotypic validation</w:t>
      </w:r>
    </w:p>
    <w:p>
      <w:r>
        <w:rPr>
          <w:b/>
        </w:rPr>
        <w:t xml:space="preserve">Format: </w:t>
      </w:r>
      <w:r>
        <w:t>Target validation report with Quiver phenotypic rescue scoring tables, effect size calculations, phenotypic consistency analysis, validation confidence scorecards, off-target effect assessment, and prioritized target list for competitive analysis.</w:t>
      </w:r>
    </w:p>
    <w:p>
      <w:pPr>
        <w:pStyle w:val="Heading2"/>
      </w:pPr>
      <w:r>
        <w:t>Stage 3: Competitive Landscape Assessment &amp; White-Space Target Identification</w:t>
      </w:r>
    </w:p>
    <w:p>
      <w:r>
        <w:rPr>
          <w:b/>
        </w:rPr>
        <w:t xml:space="preserve">Purpose: </w:t>
      </w:r>
      <w:r>
        <w:t>Conduct comprehensive competitive landscape analysis for validated targets, assessing intellectual property freedom-to-operate, competitive drug landscape, clinical trial activity, and identifying white-space (low competitive density) targets with minimal development risk and strong scientific validation.</w:t>
      </w:r>
    </w:p>
    <w:p>
      <w:r>
        <w:rPr>
          <w:b/>
        </w:rPr>
        <w:t>Inputs:</w:t>
      </w:r>
    </w:p>
    <w:p>
      <w:pPr>
        <w:pStyle w:val="ListBullet"/>
        <w:ind w:left="720"/>
      </w:pPr>
      <w:r>
        <w:t>Validated target list (20-50 targets) from Stage 2 Quiver phenotypic validation</w:t>
      </w:r>
    </w:p>
    <w:p>
      <w:pPr>
        <w:pStyle w:val="ListBullet"/>
        <w:ind w:left="720"/>
      </w:pPr>
      <w:r>
        <w:t>Patent landscape data including existing patents covering targets, approved drug patents with expiring composition-of-matter coverage enabling scaffold hopping</w:t>
      </w:r>
    </w:p>
    <w:p>
      <w:pPr>
        <w:pStyle w:val="ListBullet"/>
        <w:ind w:left="720"/>
      </w:pPr>
      <w:r>
        <w:t>Approved drug and clinical trial databases (FDA approvals, ClinicalTrials.gov, EMA approvals) documenting competitive programs for each target</w:t>
      </w:r>
    </w:p>
    <w:p>
      <w:pPr>
        <w:pStyle w:val="ListBullet"/>
        <w:ind w:left="720"/>
      </w:pPr>
      <w:r>
        <w:t>Competitive intelligence on industry target focus areas, internal R&amp;D programs, acquisition landscape</w:t>
      </w:r>
    </w:p>
    <w:p>
      <w:pPr>
        <w:pStyle w:val="ListBullet"/>
        <w:ind w:left="720"/>
      </w:pPr>
      <w:r>
        <w:t>Patent litigation databases documenting freedom-to-operate risk and patent dispute history for target-relevant IP</w:t>
      </w:r>
    </w:p>
    <w:p>
      <w:r>
        <w:rPr>
          <w:b/>
        </w:rPr>
        <w:t>Tools &amp; Databases Called:</w:t>
      </w:r>
    </w:p>
    <w:p>
      <w:pPr>
        <w:pStyle w:val="ListBullet"/>
        <w:ind w:left="720"/>
      </w:pPr>
      <w:r>
        <w:t>Patent Landscape Database: patent claim analysis, target coverage assessment by company, patent term extension (PLTOE) opportunities, freedom-to-operate (FTO) evaluation</w:t>
      </w:r>
    </w:p>
    <w:p>
      <w:pPr>
        <w:pStyle w:val="ListBullet"/>
        <w:ind w:left="720"/>
      </w:pPr>
      <w:r>
        <w:t>Competitive Drug Database: FDA approvals, clinical trial registries (ClinicalTrials.gov, EMA EudraCT), clinical development stages, mechanism-of-action categorization</w:t>
      </w:r>
    </w:p>
    <w:p>
      <w:pPr>
        <w:pStyle w:val="ListBullet"/>
        <w:ind w:left="720"/>
      </w:pPr>
      <w:r>
        <w:t>White-Space Scoring Algorithm: composite scoring combining validated target strength (from Stage 2), competitive density (patent + clinical pipeline count), freedom-to-operate risk</w:t>
      </w:r>
    </w:p>
    <w:p>
      <w:pPr>
        <w:pStyle w:val="ListBullet"/>
        <w:ind w:left="720"/>
      </w:pPr>
      <w:r>
        <w:t>Intellectual Property Intelligence: patent expiration timeline tracking, potential patent challenge opportunities, composition-of-matter vs. use patent risk assessment</w:t>
      </w:r>
    </w:p>
    <w:p>
      <w:pPr>
        <w:pStyle w:val="ListBullet"/>
        <w:ind w:left="720"/>
      </w:pPr>
      <w:r>
        <w:t>Competitive Intelligence Integration: industry R&amp;D focus areas, acquisition activity, technology platform licensing</w:t>
      </w:r>
    </w:p>
    <w:p>
      <w:pPr>
        <w:pStyle w:val="ListBullet"/>
        <w:ind w:left="720"/>
      </w:pPr>
      <w:r>
        <w:t>Freedom-to-Operate (FTO) Assessment Tool: patent claim coverage analysis, litigation risk assessment, design-around potential evaluation</w:t>
      </w:r>
    </w:p>
    <w:p>
      <w:r>
        <w:rPr>
          <w:b/>
        </w:rPr>
        <w:t>Exemplary Sub-Prompts:</w:t>
      </w:r>
    </w:p>
    <w:p>
      <w:pPr>
        <w:pStyle w:val="ListBullet"/>
        <w:ind w:left="720"/>
      </w:pPr>
      <w:r>
        <w:t>Assess patent landscape for each validated target including existing patent coverage (composition-of-matter, use patents, method patents), patent term extension potential, and freedom-to-operate risk evaluation.</w:t>
      </w:r>
    </w:p>
    <w:p>
      <w:pPr>
        <w:pStyle w:val="ListBullet"/>
        <w:ind w:left="720"/>
      </w:pPr>
      <w:r>
        <w:t>Analyze competitive drug landscape documenting approved drugs, clinical development stage drugs, recent FDA approvals or clinical trial initiations targeting each gene/pathway</w:t>
      </w:r>
    </w:p>
    <w:p>
      <w:pPr>
        <w:pStyle w:val="ListBullet"/>
        <w:ind w:left="720"/>
      </w:pPr>
      <w:r>
        <w:t>Calculate competitive density metrics (number of approved drugs, clinical stage programs, recent patent applications) for each target, identifying white-space targets with minimal competitive activity</w:t>
      </w:r>
    </w:p>
    <w:p>
      <w:pPr>
        <w:pStyle w:val="ListBullet"/>
        <w:ind w:left="720"/>
      </w:pPr>
      <w:r>
        <w:t>Evaluate freedom-to-operate risk assessing patent claim coverage, potential design-around opportunities, patent litigation risk, and FTO confidence for white-space targets</w:t>
      </w:r>
    </w:p>
    <w:p>
      <w:pPr>
        <w:pStyle w:val="ListBullet"/>
        <w:ind w:left="720"/>
      </w:pPr>
      <w:r>
        <w:t>Rank targets by white-space scoring combining validated target strength (Quiver phenotypic rescue %), low competitive density, strong freedom-to-operate profile, identifying top 10-20 white-space opportunities.</w:t>
      </w:r>
    </w:p>
    <w:p>
      <w:r>
        <w:rPr>
          <w:b/>
        </w:rPr>
        <w:t>Expected Outputs:</w:t>
      </w:r>
    </w:p>
    <w:p>
      <w:pPr>
        <w:pStyle w:val="ListBullet"/>
        <w:ind w:left="720"/>
      </w:pPr>
      <w:r>
        <w:t>Patent landscape summary for each target including existing patent coverage, patent claims relevant to potential drug development, patent term extension opportunities, and FTO confidence scores</w:t>
      </w:r>
    </w:p>
    <w:p>
      <w:pPr>
        <w:pStyle w:val="ListBullet"/>
        <w:ind w:left="720"/>
      </w:pPr>
      <w:r>
        <w:t>Competitive drug landscape documentation listing approved drugs, clinical trial stage programs, mechanism-of-action comparison, and recent competitive activity (new approvals, trial initiations)</w:t>
      </w:r>
    </w:p>
    <w:p>
      <w:pPr>
        <w:pStyle w:val="ListBullet"/>
        <w:ind w:left="720"/>
      </w:pPr>
      <w:r>
        <w:t>Competitive density quantification (number of approved drugs, clinical programs, active patents) for each target, white-space identification (low competitive density targets)</w:t>
      </w:r>
    </w:p>
    <w:p>
      <w:pPr>
        <w:pStyle w:val="ListBullet"/>
        <w:ind w:left="720"/>
      </w:pPr>
      <w:r>
        <w:t>Freedom-to-operate (FTO) assessment for white-space targets including patent claim coverage, design-around potential, litigation risk, and FTO confidence scoring</w:t>
      </w:r>
    </w:p>
    <w:p>
      <w:pPr>
        <w:pStyle w:val="ListBullet"/>
        <w:ind w:left="720"/>
      </w:pPr>
      <w:r>
        <w:t>White-space target ranking (1-50) based on composite scoring: Quiver validation strength × (1 - competitive density) × FTO confidence, identifying top 10-20 white-space opportunities</w:t>
      </w:r>
    </w:p>
    <w:p>
      <w:pPr>
        <w:pStyle w:val="ListBullet"/>
        <w:ind w:left="720"/>
      </w:pPr>
      <w:r>
        <w:t>White-space target briefing document highlighting scientific validation strength, minimal competitive landscape, FTO confidence, and development opportunity assessment for top-ranked white-space targets</w:t>
      </w:r>
    </w:p>
    <w:p>
      <w:r>
        <w:rPr>
          <w:b/>
        </w:rPr>
        <w:t xml:space="preserve">Format: </w:t>
      </w:r>
      <w:r>
        <w:t>Competitive landscape analysis report with patent landscape summaries, competitive drug databases, competitive density quantification, FTO assessment, white-space identification, and ranked white-space target briefing.</w:t>
      </w:r>
    </w:p>
    <w:p>
      <w:pPr>
        <w:pStyle w:val="Heading2"/>
      </w:pPr>
      <w:r>
        <w:t>Stage 4: Unmet Medical Need Quantification &amp; Market Opportunity Assessment</w:t>
      </w:r>
    </w:p>
    <w:p>
      <w:r>
        <w:rPr>
          <w:b/>
        </w:rPr>
        <w:t xml:space="preserve">Purpose: </w:t>
      </w:r>
      <w:r>
        <w:t>Quantify unmet medical need and market opportunity for white-space targets, estimating disease prevalence, treatment gap, commercial market size, and prioritizing white-space targets by market opportunity to balance scientific validation against commercial viability.</w:t>
      </w:r>
    </w:p>
    <w:p>
      <w:r>
        <w:rPr>
          <w:b/>
        </w:rPr>
        <w:t>Inputs:</w:t>
      </w:r>
    </w:p>
    <w:p>
      <w:pPr>
        <w:pStyle w:val="ListBullet"/>
        <w:ind w:left="720"/>
      </w:pPr>
      <w:r>
        <w:t>Top 10-20 white-space targets from Stage 3 competitive assessment, associated disease indications for each target</w:t>
      </w:r>
    </w:p>
    <w:p>
      <w:pPr>
        <w:pStyle w:val="ListBullet"/>
        <w:ind w:left="720"/>
      </w:pPr>
      <w:r>
        <w:t>Disease epidemiology databases: prevalence, incidence, mortality, disability-adjusted life years (DALYs) for white-space target-associated diseases</w:t>
      </w:r>
    </w:p>
    <w:p>
      <w:pPr>
        <w:pStyle w:val="ListBullet"/>
        <w:ind w:left="720"/>
      </w:pPr>
      <w:r>
        <w:t>Current treatment landscape: approved drugs, standard of care, off-label use patterns, treatment gaps for white-space target indications</w:t>
      </w:r>
    </w:p>
    <w:p>
      <w:pPr>
        <w:pStyle w:val="ListBullet"/>
        <w:ind w:left="720"/>
      </w:pPr>
      <w:r>
        <w:t>Patient population characteristics: age of onset, disease progression, comorbidities, quality of life impact informing unmet need magnitude</w:t>
      </w:r>
    </w:p>
    <w:p>
      <w:pPr>
        <w:pStyle w:val="ListBullet"/>
        <w:ind w:left="720"/>
      </w:pPr>
      <w:r>
        <w:t>Commercial market size data: total addressable market, serviceable addressable market, pricing precedent from approved drugs in similar indications</w:t>
      </w:r>
    </w:p>
    <w:p>
      <w:r>
        <w:rPr>
          <w:b/>
        </w:rPr>
        <w:t>Tools &amp; Databases Called:</w:t>
      </w:r>
    </w:p>
    <w:p>
      <w:pPr>
        <w:pStyle w:val="ListBullet"/>
        <w:ind w:left="720"/>
      </w:pPr>
      <w:r>
        <w:t>Disease Epidemiology &amp; Burden Databases: Global Burden of Disease (GBD), WHO epidemiology, country-specific prevalence/incidence data, disability/mortality metrics</w:t>
      </w:r>
    </w:p>
    <w:p>
      <w:pPr>
        <w:pStyle w:val="ListBullet"/>
        <w:ind w:left="720"/>
      </w:pPr>
      <w:r>
        <w:t>Treatment Gap Analysis: current standard of care documentation, approved drug coverage, patient population percentages with unmet need (inadequate efficacy, safety tolerability)</w:t>
      </w:r>
    </w:p>
    <w:p>
      <w:pPr>
        <w:pStyle w:val="ListBullet"/>
        <w:ind w:left="720"/>
      </w:pPr>
      <w:r>
        <w:t>Unmet Medical Need Scoring: quantifying severity of disease burden (prevalence, mortality), treatment gap magnitude (% patients with inadequate therapeutic options), clinical urgency</w:t>
      </w:r>
    </w:p>
    <w:p>
      <w:pPr>
        <w:pStyle w:val="ListBullet"/>
        <w:ind w:left="720"/>
      </w:pPr>
      <w:r>
        <w:t>Market Size Estimation: total addressable market (TAM) calculation based on prevalence, serviceable addressable market (SAM) based on accessible patient populations, pricing models from approved therapies</w:t>
      </w:r>
    </w:p>
    <w:p>
      <w:pPr>
        <w:pStyle w:val="ListBullet"/>
        <w:ind w:left="720"/>
      </w:pPr>
      <w:r>
        <w:t>Patient Impact Assessment: quality of life scores (EQ-5D, disease-specific scales), burden on caregivers, social/economic impact quantification</w:t>
      </w:r>
    </w:p>
    <w:p>
      <w:pPr>
        <w:pStyle w:val="ListBullet"/>
        <w:ind w:left="720"/>
      </w:pPr>
      <w:r>
        <w:t>Commercial Viability Dashboard: prioritization by market size × unmet need magnitude, breakeven analysis incorporating development costs</w:t>
      </w:r>
    </w:p>
    <w:p>
      <w:r>
        <w:rPr>
          <w:b/>
        </w:rPr>
        <w:t>Exemplary Sub-Prompts:</w:t>
      </w:r>
    </w:p>
    <w:p>
      <w:pPr>
        <w:pStyle w:val="ListBullet"/>
        <w:ind w:left="720"/>
      </w:pPr>
      <w:r>
        <w:t>Quantify disease epidemiology for indications associated with top 10-20 white-space targets: prevalence by age group, incidence, mortality rates, disability burden (DALYs)</w:t>
      </w:r>
    </w:p>
    <w:p>
      <w:pPr>
        <w:pStyle w:val="ListBullet"/>
        <w:ind w:left="720"/>
      </w:pPr>
      <w:r>
        <w:t>Assess treatment gap documenting current standard-of-care drugs, percentage of patients with inadequate efficacy/tolerability, unmet need magnitude in patient population</w:t>
      </w:r>
    </w:p>
    <w:p>
      <w:pPr>
        <w:pStyle w:val="ListBullet"/>
        <w:ind w:left="720"/>
      </w:pPr>
      <w:r>
        <w:t>Calculate unmet medical need score combining disease burden metrics (prevalence, mortality, DALY), treatment gap magnitude, and clinical urgency (severe vs. rare disease consideration)</w:t>
      </w:r>
    </w:p>
    <w:p>
      <w:pPr>
        <w:pStyle w:val="ListBullet"/>
        <w:ind w:left="720"/>
      </w:pPr>
      <w:r>
        <w:t>Estimate commercial market size for white-space target indications including total addressable market (prevalence-based), serviceable addressable market (accessible patient population), and pricing models from comparable approved therapies</w:t>
      </w:r>
    </w:p>
    <w:p>
      <w:pPr>
        <w:pStyle w:val="ListBullet"/>
        <w:ind w:left="720"/>
      </w:pPr>
      <w:r>
        <w:t>Synthesize market opportunity assessment prioritizing white-space targets by composite opportunity score: Quiver validation × unmet need magnitude × market size, balancing scientific strength against commercial viability.</w:t>
      </w:r>
    </w:p>
    <w:p>
      <w:r>
        <w:rPr>
          <w:b/>
        </w:rPr>
        <w:t>Expected Outputs:</w:t>
      </w:r>
    </w:p>
    <w:p>
      <w:pPr>
        <w:pStyle w:val="ListBullet"/>
        <w:ind w:left="720"/>
      </w:pPr>
      <w:r>
        <w:t>Disease epidemiology summaries for white-space target indications: prevalence, incidence, mortality, DALY burden, age-of-onset distribution, disease progression timelines</w:t>
      </w:r>
    </w:p>
    <w:p>
      <w:pPr>
        <w:pStyle w:val="ListBullet"/>
        <w:ind w:left="720"/>
      </w:pPr>
      <w:r>
        <w:t>Treatment gap analysis documenting current approved drugs, standard-of-care efficacy/safety, patient population with inadequate therapeutic options, unmet need magnitude quantification</w:t>
      </w:r>
    </w:p>
    <w:p>
      <w:pPr>
        <w:pStyle w:val="ListBullet"/>
        <w:ind w:left="720"/>
      </w:pPr>
      <w:r>
        <w:t>Unmet medical need quantification scorecard for each white-space target-associated indication: disease burden severity score, treatment gap magnitude, clinical urgency ranking</w:t>
      </w:r>
    </w:p>
    <w:p>
      <w:pPr>
        <w:pStyle w:val="ListBullet"/>
        <w:ind w:left="720"/>
      </w:pPr>
      <w:r>
        <w:t>Commercial market size projections: total addressable market (TAM), serviceable addressable market (SAM), estimated patient population by market, pricing precedent from comparable approved drugs</w:t>
      </w:r>
    </w:p>
    <w:p>
      <w:pPr>
        <w:pStyle w:val="ListBullet"/>
        <w:ind w:left="720"/>
      </w:pPr>
      <w:r>
        <w:t>Patient impact and quality-of-life assessment for white-space target indications, documenting disease-related disability and caregiver burden informing clinical urgency</w:t>
      </w:r>
    </w:p>
    <w:p>
      <w:pPr>
        <w:pStyle w:val="ListBullet"/>
        <w:ind w:left="720"/>
      </w:pPr>
      <w:r>
        <w:t>Market opportunity prioritization scoring for white-space targets combining Quiver validation strength, unmet medical need magnitude, and commercial market size into composite opportunity ranking (1-20)</w:t>
      </w:r>
    </w:p>
    <w:p>
      <w:r>
        <w:rPr>
          <w:b/>
        </w:rPr>
        <w:t xml:space="preserve">Format: </w:t>
      </w:r>
      <w:r>
        <w:t>Unmet medical need and market opportunity analysis report with epidemiology summaries, treatment gap documentation, unmet need scorecards, market size projections, patient impact assessment, and market opportunity-weighted white-space target prioritization.</w:t>
      </w:r>
    </w:p>
    <w:p>
      <w:pPr>
        <w:pStyle w:val="Heading2"/>
      </w:pPr>
      <w:r>
        <w:t>Stage 5: Target-to-Lead Compound Strategy &amp; Drug Screening Pathway Design</w:t>
      </w:r>
    </w:p>
    <w:p>
      <w:r>
        <w:rPr>
          <w:b/>
        </w:rPr>
        <w:t xml:space="preserve">Purpose: </w:t>
      </w:r>
      <w:r>
        <w:t>Design target-specific compound discovery strategies for prioritized white-space targets, specifying high-throughput screening (HTS) approaches, structure-based drug design considerations, and Quiver-guided phenotypic optimization to efficiently translate target validation into lead compounds.</w:t>
      </w:r>
    </w:p>
    <w:p>
      <w:r>
        <w:rPr>
          <w:b/>
        </w:rPr>
        <w:t>Inputs:</w:t>
      </w:r>
    </w:p>
    <w:p>
      <w:pPr>
        <w:pStyle w:val="ListBullet"/>
        <w:ind w:left="720"/>
      </w:pPr>
      <w:r>
        <w:t>Top 5-10 white-space targets from Stages 2-4 (validation, competitive, market opportunity prioritization)</w:t>
      </w:r>
    </w:p>
    <w:p>
      <w:pPr>
        <w:pStyle w:val="ListBullet"/>
        <w:ind w:left="720"/>
      </w:pPr>
      <w:r>
        <w:t>Target biology information: protein structure (if available from PDB), known ligand binding pockets, known inhibitor structures from biochemistry literature</w:t>
      </w:r>
    </w:p>
    <w:p>
      <w:pPr>
        <w:pStyle w:val="ListBullet"/>
        <w:ind w:left="720"/>
      </w:pPr>
      <w:r>
        <w:t>Compound library resources: in-house chemical series, vendor screening libraries, academic collaborative resources</w:t>
      </w:r>
    </w:p>
    <w:p>
      <w:pPr>
        <w:pStyle w:val="ListBullet"/>
        <w:ind w:left="720"/>
      </w:pPr>
      <w:r>
        <w:t>HTS assay feasibility assessment: biochemical assay methods for target engagement, cell-based assays measuring target knockdown/agonism</w:t>
      </w:r>
    </w:p>
    <w:p>
      <w:pPr>
        <w:pStyle w:val="ListBullet"/>
        <w:ind w:left="720"/>
      </w:pPr>
      <w:r>
        <w:t>Phenotypic screening capabilities: Quiver EP phenotypic screening readiness, morphological assays, target cell type availability</w:t>
      </w:r>
    </w:p>
    <w:p>
      <w:r>
        <w:rPr>
          <w:b/>
        </w:rPr>
        <w:t>Tools &amp; Databases Called:</w:t>
      </w:r>
    </w:p>
    <w:p>
      <w:pPr>
        <w:pStyle w:val="ListBullet"/>
        <w:ind w:left="720"/>
      </w:pPr>
      <w:r>
        <w:t>Structure-Based Drug Design: protein structure analysis, binding pocket identification, ligand docking/molecular dynamics simulations, virtual screening for starting chemical matter</w:t>
      </w:r>
    </w:p>
    <w:p>
      <w:pPr>
        <w:pStyle w:val="ListBullet"/>
        <w:ind w:left="720"/>
      </w:pPr>
      <w:r>
        <w:t>High-Throughput Screening (HTS) Assay Design: biochemical assays (FRET, TR-FRET, AlphaScreen) for target engagement, cell-based assays (reporter assays, viability assays) for pharmacological activity</w:t>
      </w:r>
    </w:p>
    <w:p>
      <w:pPr>
        <w:pStyle w:val="ListBullet"/>
        <w:ind w:left="720"/>
      </w:pPr>
      <w:r>
        <w:t>Quiver-Guided Phenotypic Optimization: electrophysiological screening for compound-induced target phenotype matching (matching Quiver CRISPR knockdown signature), morphological rescue assessment</w:t>
      </w:r>
    </w:p>
    <w:p>
      <w:pPr>
        <w:pStyle w:val="ListBullet"/>
        <w:ind w:left="720"/>
      </w:pPr>
      <w:r>
        <w:t>Chemical Library Integration: in-house chemistry resources, vendor library screening, fragment-based drug discovery (FBDD) approaches for targets with limited precedent</w:t>
      </w:r>
    </w:p>
    <w:p>
      <w:pPr>
        <w:pStyle w:val="ListBullet"/>
        <w:ind w:left="720"/>
      </w:pPr>
      <w:r>
        <w:t>Target-to-Lead Timeline Planning: critical path analysis for HTS campaign, hit validation, lead optimization timelines, prioritization by resource intensity</w:t>
      </w:r>
    </w:p>
    <w:p>
      <w:pPr>
        <w:pStyle w:val="ListBullet"/>
        <w:ind w:left="720"/>
      </w:pPr>
      <w:r>
        <w:t>Competitive Intelligence on Target Chemistry: SciFinder searches for prior work on targets (published SAR, patent applications), precedent compound structures informing chemistry strategy</w:t>
      </w:r>
    </w:p>
    <w:p>
      <w:r>
        <w:rPr>
          <w:b/>
        </w:rPr>
        <w:t>Exemplary Sub-Prompts:</w:t>
      </w:r>
    </w:p>
    <w:p>
      <w:pPr>
        <w:pStyle w:val="ListBullet"/>
        <w:ind w:left="720"/>
      </w:pPr>
      <w:r>
        <w:t>Analyze target protein structure and biology informing HTS assay design: identify druggable binding pockets (if structural data available), prioritize biochemical vs. cell-based screening approaches, specify target engagement readouts.</w:t>
      </w:r>
    </w:p>
    <w:p>
      <w:pPr>
        <w:pStyle w:val="ListBullet"/>
        <w:ind w:left="720"/>
      </w:pPr>
      <w:r>
        <w:t>Design HTS campaign strategy including: library selection (in-house chemical series, vendor library screens, FBDD approaches), hit selection criteria, dose-response confirmation, prioritization of confirmed hits for phenotypic screening.</w:t>
      </w:r>
    </w:p>
    <w:p>
      <w:pPr>
        <w:pStyle w:val="ListBullet"/>
        <w:ind w:left="720"/>
      </w:pPr>
      <w:r>
        <w:t>Specify Quiver-guided phenotypic optimization approach: validate HTS hits against target CRISPR knockdown phenotypes in disease-relevant neuronal models, prioritize hits demonstrating target phenotype matching (EP rescue validation)</w:t>
      </w:r>
    </w:p>
    <w:p>
      <w:pPr>
        <w:pStyle w:val="ListBullet"/>
        <w:ind w:left="720"/>
      </w:pPr>
      <w:r>
        <w:t>Evaluate structure-based drug design potential if protein structures available, planning virtual screening and docking studies to guide rational chemical design for target-specific matter</w:t>
      </w:r>
    </w:p>
    <w:p>
      <w:pPr>
        <w:pStyle w:val="ListBullet"/>
        <w:ind w:left="720"/>
      </w:pPr>
      <w:r>
        <w:t>Project target-to-lead timelines and resource requirements (FTE chemists, screening capacity, instrumentation) for each white-space target, prioritizing by feasibility and expected timeline to lead compounds.</w:t>
      </w:r>
    </w:p>
    <w:p>
      <w:r>
        <w:rPr>
          <w:b/>
        </w:rPr>
        <w:t>Expected Outputs:</w:t>
      </w:r>
    </w:p>
    <w:p>
      <w:pPr>
        <w:pStyle w:val="ListBullet"/>
        <w:ind w:left="720"/>
      </w:pPr>
      <w:r>
        <w:t>Target-specific HTS assay designs with rationale: biochemical vs. cell-based screening approach selection, target engagement readouts, assay robustness parameters (Z-factor, dynamic range), hit selection criteria</w:t>
      </w:r>
    </w:p>
    <w:p>
      <w:pPr>
        <w:pStyle w:val="ListBullet"/>
        <w:ind w:left="720"/>
      </w:pPr>
      <w:r>
        <w:t>Compound library screening strategy specifying in-house chemical series to screen, vendor library selections, fragment-based drug discovery feasibility, expected hit rates based on target precedent</w:t>
      </w:r>
    </w:p>
    <w:p>
      <w:pPr>
        <w:pStyle w:val="ListBullet"/>
        <w:ind w:left="720"/>
      </w:pPr>
      <w:r>
        <w:t>Quiver-guided phenotypic screening specification: procedure for validating HTS hits against target CRISPR knockdown phenotypes, phenotypic match scoring criteria, morphological rescue assessment in disease models</w:t>
      </w:r>
    </w:p>
    <w:p>
      <w:pPr>
        <w:pStyle w:val="ListBullet"/>
        <w:ind w:left="720"/>
      </w:pPr>
      <w:r>
        <w:t>Structure-based drug design recommendations if protein structures available: binding pocket analysis, docking/virtual screening strategy, rational design opportunities, precedent compound analysis from literature/patents</w:t>
      </w:r>
    </w:p>
    <w:p>
      <w:pPr>
        <w:pStyle w:val="ListBullet"/>
        <w:ind w:left="720"/>
      </w:pPr>
      <w:r>
        <w:t>Target-to-lead timeline projections for each white-space target: HTS campaign duration (hits to confirmed hits: 3-6 months), lead optimization (confirmed hits to leads: 6-12 months), Quiver-guided optimization integration</w:t>
      </w:r>
    </w:p>
    <w:p>
      <w:pPr>
        <w:pStyle w:val="ListBullet"/>
        <w:ind w:left="720"/>
      </w:pPr>
      <w:r>
        <w:t>Resource requirement and cost estimates for target-to-lead discovery: FTE chemists, screening costs, phenotypic optimization expenses, critical path analysis for parallel vs. sequential target progression</w:t>
      </w:r>
    </w:p>
    <w:p>
      <w:r>
        <w:rPr>
          <w:b/>
        </w:rPr>
        <w:t xml:space="preserve">Format: </w:t>
      </w:r>
      <w:r>
        <w:t>Target-to-lead strategy document with HTS assay designs, library screening strategy, Quiver phenotypic optimization procedures, structure-based design recommendations, timeline projections, and resource requirement estimates for priority white-space targets.</w:t>
      </w:r>
    </w:p>
    <w:p>
      <w:pPr>
        <w:pStyle w:val="Heading2"/>
      </w:pPr>
      <w:r>
        <w:t>Stage 6: Final White-Space Target Ranking &amp; Strategic Prioritization</w:t>
      </w:r>
    </w:p>
    <w:p>
      <w:r>
        <w:rPr>
          <w:b/>
        </w:rPr>
        <w:t xml:space="preserve">Purpose: </w:t>
      </w:r>
      <w:r>
        <w:t>Integrate scientific validation (Quiver phenotypic rescue), competitive landscape (white-space scoring), market opportunity (unmet need + market size), and druggability assessment to generate final prioritized ranking of top 10 white-space CNS targets for target-to-lead discovery programs.</w:t>
      </w:r>
    </w:p>
    <w:p>
      <w:r>
        <w:rPr>
          <w:b/>
        </w:rPr>
        <w:t>Inputs:</w:t>
      </w:r>
    </w:p>
    <w:p>
      <w:pPr>
        <w:pStyle w:val="ListBullet"/>
        <w:ind w:left="720"/>
      </w:pPr>
      <w:r>
        <w:t>Consolidated data from Stages 1-5: target validation scores (Quiver phenotypic rescue %), white-space competitive density metrics, unmet medical need quantification, market opportunity assessments, target-to-lead strategy feasibility</w:t>
      </w:r>
    </w:p>
    <w:p>
      <w:pPr>
        <w:pStyle w:val="ListBullet"/>
        <w:ind w:left="720"/>
      </w:pPr>
      <w:r>
        <w:t>Weighted scoring criteria: scientific validation importance, competitive risk minimization, market opportunity, druggability, resource constraints, strategic fit with internal capabilities</w:t>
      </w:r>
    </w:p>
    <w:p>
      <w:pPr>
        <w:pStyle w:val="ListBullet"/>
        <w:ind w:left="720"/>
      </w:pPr>
      <w:r>
        <w:t>Internal prioritization preferences: disease indication portfolio alignment, therapeutic area focus, internal chemistry strength for target class (kinases, GPCRs, ion channels, etc.)</w:t>
      </w:r>
    </w:p>
    <w:p>
      <w:pPr>
        <w:pStyle w:val="ListBullet"/>
        <w:ind w:left="720"/>
      </w:pPr>
      <w:r>
        <w:t>Resource availability: discovery capacity constraints, funding allocation, partnership opportunities, timeline requirements for advancing white-space targets</w:t>
      </w:r>
    </w:p>
    <w:p>
      <w:r>
        <w:rPr>
          <w:b/>
        </w:rPr>
        <w:t>Tools &amp; Databases Called:</w:t>
      </w:r>
    </w:p>
    <w:p>
      <w:pPr>
        <w:pStyle w:val="ListBullet"/>
        <w:ind w:left="720"/>
      </w:pPr>
      <w:r>
        <w:t>Multi-Criteria Decision Analysis: weighted scoring framework combining Quiver validation (30%), competitive white-space advantage (25%), unmet medical need (20%), market opportunity (15%), druggability/feasibility (10%)</w:t>
      </w:r>
    </w:p>
    <w:p>
      <w:pPr>
        <w:pStyle w:val="ListBullet"/>
        <w:ind w:left="720"/>
      </w:pPr>
      <w:r>
        <w:t>White-Space Target Scoring Dashboard: real-time visualization of target rankings, sensitivity analysis for weighting parameters, scenario planning for alternative prioritization strategies</w:t>
      </w:r>
    </w:p>
    <w:p>
      <w:pPr>
        <w:pStyle w:val="ListBullet"/>
        <w:ind w:left="720"/>
      </w:pPr>
      <w:r>
        <w:t>Portfolio Optimization: resource-constrained target ranking, internal capability-matched target selection, partnership opportunity assessment (academic collaboration, CRO services)</w:t>
      </w:r>
    </w:p>
    <w:p>
      <w:pPr>
        <w:pStyle w:val="ListBullet"/>
        <w:ind w:left="720"/>
      </w:pPr>
      <w:r>
        <w:t>Risk-Opportunity Positioning: visual mapping of targets in validation-opportunity-risk space, identification of low-risk/high-opportunity targets, competitive risk assessment relative to white-space advantage</w:t>
      </w:r>
    </w:p>
    <w:p>
      <w:pPr>
        <w:pStyle w:val="ListBullet"/>
        <w:ind w:left="720"/>
      </w:pPr>
      <w:r>
        <w:t>Strategic Alignment Assessment: disease portfolio fit, internal chemistry strength matching target class, timeline alignment with development roadmap</w:t>
      </w:r>
    </w:p>
    <w:p>
      <w:pPr>
        <w:pStyle w:val="ListBullet"/>
        <w:ind w:left="720"/>
      </w:pPr>
      <w:r>
        <w:t>Investment Return Analysis: market-adjusted return on R&amp;D investment incorporating development timelines, success probabilities, and commercial opportunity</w:t>
      </w:r>
    </w:p>
    <w:p>
      <w:r>
        <w:rPr>
          <w:b/>
        </w:rPr>
        <w:t>Exemplary Sub-Prompts:</w:t>
      </w:r>
    </w:p>
    <w:p>
      <w:pPr>
        <w:pStyle w:val="ListBullet"/>
        <w:ind w:left="720"/>
      </w:pPr>
      <w:r>
        <w:t>Construct weighted multi-criteria scoring for white-space targets integrating: Quiver phenotypic validation strength (% rescue), white-space competitive density advantage, unmet medical need magnitude, market opportunity (TAM × penetration), druggability confidence.</w:t>
      </w:r>
    </w:p>
    <w:p>
      <w:pPr>
        <w:pStyle w:val="ListBullet"/>
        <w:ind w:left="720"/>
      </w:pPr>
      <w:r>
        <w:t>Perform sensitivity analysis on scoring weights to identify targets robust to prioritization assumptions vs. those sensitive to specific criteria, informing decision confidence</w:t>
      </w:r>
    </w:p>
    <w:p>
      <w:pPr>
        <w:pStyle w:val="ListBullet"/>
        <w:ind w:left="720"/>
      </w:pPr>
      <w:r>
        <w:t>Assess strategic alignment with internal R&amp;D capabilities: target chemical class druggability (kinase, GPCR, ion channel, etc.) matching internal chemistry expertise, disease indication portfolio fit, partnership leverage opportunities</w:t>
      </w:r>
    </w:p>
    <w:p>
      <w:pPr>
        <w:pStyle w:val="ListBullet"/>
        <w:ind w:left="720"/>
      </w:pPr>
      <w:r>
        <w:t>Forecast resource requirements and timeline to lead compounds for top white-space targets, comparing against internal discovery capacity and budget constraints to determine optimal portfolio composition</w:t>
      </w:r>
    </w:p>
    <w:p>
      <w:pPr>
        <w:pStyle w:val="ListBullet"/>
        <w:ind w:left="720"/>
      </w:pPr>
      <w:r>
        <w:t>Synthesize final white-space target ranking (1-10) with evidence summary: scientific validation, competitive advantage, market opportunity, strategic fit, and development feasibility scoring.</w:t>
      </w:r>
    </w:p>
    <w:p>
      <w:r>
        <w:rPr>
          <w:b/>
        </w:rPr>
        <w:t>Expected Outputs:</w:t>
      </w:r>
    </w:p>
    <w:p>
      <w:pPr>
        <w:pStyle w:val="ListBullet"/>
        <w:ind w:left="720"/>
      </w:pPr>
      <w:r>
        <w:t>Final composite white-space target ranking (1-10) with component scores: Quiver validation (%), white-space competitive advantage score, unmet medical need score, market opportunity ranking, druggability/feasibility assessment, overall weighted score</w:t>
      </w:r>
    </w:p>
    <w:p>
      <w:pPr>
        <w:pStyle w:val="ListBullet"/>
        <w:ind w:left="720"/>
      </w:pPr>
      <w:r>
        <w:t>Top 10 white-space CNS target briefing document including: target gene/protein, disease indication, scientific validation summary (Quiver phenotype), competitive landscape advantage, unmet need quantification, market opportunity, target-to-lead strategy</w:t>
      </w:r>
    </w:p>
    <w:p>
      <w:pPr>
        <w:pStyle w:val="ListBullet"/>
        <w:ind w:left="720"/>
      </w:pPr>
      <w:r>
        <w:t>Risk-benefit positioning matrices visualizing white-space targets in validation-opportunity space, identifying low-risk/high-opportunity targets, competitive risk mitigation advantage of white-space portfolio</w:t>
      </w:r>
    </w:p>
    <w:p>
      <w:pPr>
        <w:pStyle w:val="ListBullet"/>
        <w:ind w:left="720"/>
      </w:pPr>
      <w:r>
        <w:t>Sensitivity analysis demonstrating ranking robustness to weighting parameter variation, identifying targets robust to prioritization assumptions vs. sensitive targets warranting additional validation</w:t>
      </w:r>
    </w:p>
    <w:p>
      <w:pPr>
        <w:pStyle w:val="ListBullet"/>
        <w:ind w:left="720"/>
      </w:pPr>
      <w:r>
        <w:t>Strategic portfolio recommendation prioritizing top 5-7 white-space targets for target-to-lead discovery programs, considering internal resource constraints, disease portfolio alignment, and capability matching</w:t>
      </w:r>
    </w:p>
    <w:p>
      <w:pPr>
        <w:pStyle w:val="ListBullet"/>
        <w:ind w:left="720"/>
      </w:pPr>
      <w:r>
        <w:t>Development roadmap and resource allocation strategy for advancing top-ranked white-space targets, timelines to lead compounds, partnership/collaboration opportunities, estimated R&amp;D investment requirements and return projections</w:t>
      </w:r>
    </w:p>
    <w:p>
      <w:r>
        <w:rPr>
          <w:b/>
        </w:rPr>
        <w:t xml:space="preserve">Format: </w:t>
      </w:r>
      <w:r>
        <w:t>Executive white-space target ranking report with top 10 briefing document, composite scoring matrices, risk-benefit positioning analysis, sensitivity analysis, strategic portfolio recommendation, development roadmap, and investment/return analysis.</w:t>
      </w:r>
    </w:p>
    <w:p>
      <w:pPr>
        <w:pStyle w:val="Heading2"/>
      </w:pPr>
      <w:r>
        <w:t>Comprehensive Tools &amp; Databases Summary</w:t>
      </w:r>
    </w:p>
    <w:p>
      <w:pPr>
        <w:pStyle w:val="ListBullet"/>
        <w:ind w:left="720"/>
      </w:pPr>
      <w:r>
        <w:t>Quiver EP CRISPR Atlas: genome-wide phenotype database with 18k+ perturbations and 500+ features per neuron</w:t>
      </w:r>
    </w:p>
    <w:p>
      <w:pPr>
        <w:pStyle w:val="ListBullet"/>
        <w:ind w:left="720"/>
      </w:pPr>
      <w:r>
        <w:t>High-Throughput Electrophysiology: MEA, patch-clamp, automated feature extraction and analysis pipelines</w:t>
      </w:r>
    </w:p>
    <w:p>
      <w:pPr>
        <w:pStyle w:val="ListBullet"/>
        <w:ind w:left="720"/>
      </w:pPr>
      <w:r>
        <w:t>Quiver Morphological Imaging: dendritic reconstruction, spine quantification, soma morphometry</w:t>
      </w:r>
    </w:p>
    <w:p>
      <w:pPr>
        <w:pStyle w:val="ListBullet"/>
        <w:ind w:left="720"/>
      </w:pPr>
      <w:r>
        <w:t>ChEMBL &amp; PubChem: chemical structure and bioactivity databases for SAR analysis and precedent extraction</w:t>
      </w:r>
    </w:p>
    <w:p>
      <w:pPr>
        <w:pStyle w:val="ListBullet"/>
        <w:ind w:left="720"/>
      </w:pPr>
      <w:r>
        <w:t>Patent Intelligence Platforms: FreePatentsOnline, Google Patents, specialized FTO analysis tools</w:t>
      </w:r>
    </w:p>
    <w:p>
      <w:pPr>
        <w:pStyle w:val="ListBullet"/>
        <w:ind w:left="720"/>
      </w:pPr>
      <w:r>
        <w:t>FDA Regulatory Databases: CBER approvals, PREA/FDASIA requirement tracking, pediatric study data</w:t>
      </w:r>
    </w:p>
    <w:p>
      <w:pPr>
        <w:pStyle w:val="ListBullet"/>
        <w:ind w:left="720"/>
      </w:pPr>
      <w:r>
        <w:t>Clinical Trial Registries: ClinicalTrials.gov, EMA EudraCT, competitor pipeline tracking</w:t>
      </w:r>
    </w:p>
    <w:p>
      <w:pPr>
        <w:pStyle w:val="ListBullet"/>
        <w:ind w:left="720"/>
      </w:pPr>
      <w:r>
        <w:t>Gene Expression Databases: GTEx, Allen Brain Atlas, single-cell transcriptomics for neuronal subtype profiling</w:t>
      </w:r>
    </w:p>
    <w:p>
      <w:pPr>
        <w:pStyle w:val="ListBullet"/>
        <w:ind w:left="720"/>
      </w:pPr>
      <w:r>
        <w:t>Disease Epidemiology Resources: Global Burden of Disease, WHO epidemiology, prevalence/incidence data</w:t>
      </w:r>
    </w:p>
    <w:p>
      <w:pPr>
        <w:pStyle w:val="ListBullet"/>
        <w:ind w:left="720"/>
      </w:pPr>
      <w:r>
        <w:t>Pharmacokinetics Modeling: allometric scaling, PBPK modeling, CYP enzyme ontogeny databases</w:t>
      </w:r>
    </w:p>
    <w:p>
      <w:pPr>
        <w:pStyle w:val="ListBullet"/>
        <w:ind w:left="720"/>
      </w:pPr>
      <w:r>
        <w:t>Off-Target Binding Prediction: OT-seq database, comprehensive protein panel screening</w:t>
      </w:r>
    </w:p>
    <w:p>
      <w:pPr>
        <w:pStyle w:val="ListBullet"/>
        <w:ind w:left="720"/>
      </w:pPr>
      <w:r>
        <w:t>Regulatory Intelligence: FDA guidance documents, precedent IND/NDA analysis, advisory committee minutes</w:t>
      </w:r>
    </w:p>
    <w:p>
      <w:pPr>
        <w:pStyle w:val="ListBullet"/>
        <w:ind w:left="720"/>
      </w:pPr>
      <w:r>
        <w:t>Multi-Criteria Decision Analysis: weighted scoring frameworks, sensitivity analysis, Monte Carlo simulation</w:t>
      </w:r>
    </w:p>
    <w:p>
      <w:pPr>
        <w:pStyle w:val="ListBullet"/>
        <w:ind w:left="720"/>
      </w:pPr>
      <w:r>
        <w:t>Development Timeline Forecasting: critical path analysis, project management tools, PoS estimation</w:t>
      </w:r>
    </w:p>
    <w:p>
      <w:pPr>
        <w:pStyle w:val="ListBullet"/>
        <w:ind w:left="720"/>
      </w:pPr>
      <w:r>
        <w:t>Executive Decision Support: real-time visualization dashboards, scenario planning interfaces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