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Arial" w:cs="Arial" w:eastAsia="Arial" w:hAnsi="Arial"/>
          <w:b/>
          <w:bCs/>
          <w:sz w:val="32"/>
          <w:szCs w:val="32"/>
        </w:rPr>
        <w:t xml:space="preserve">Sapphire Pipeline Workflow: Combination Therapy Optimization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combination therapies maximizing rescue with minimal toxicity signatures.</w:t>
      </w:r>
    </w:p>
    <w:p>
      <w:pPr>
        <w:spacing w:after="200" w:line="360"/>
      </w:pPr>
      <w:r>
        <w:rPr>
          <w:rFonts w:ascii="Arial" w:cs="Arial" w:eastAsia="Arial" w:hAnsi="Arial"/>
          <w:sz w:val="24"/>
          <w:szCs w:val="24"/>
        </w:rPr>
        <w:t xml:space="preserve">This pipeline systematically identifies optimal drug combination pairs that maximize electrophysiological rescue of disease-relevant neuronal phenotypes while simultaneously minimizing compound-induced toxicity signatures. By integrating synergy scoring models with toxicity subtraction algorithms, this workflow enables rapid prioritization of combination candidates that offer superior therapeutic indices compared to monotherapies.</w:t>
      </w:r>
    </w:p>
    <w:p>
      <w:pPr>
        <w:spacing w:after="200" w:line="360"/>
      </w:pPr>
      <w:r>
        <w:rPr>
          <w:rFonts w:ascii="Arial" w:cs="Arial" w:eastAsia="Arial" w:hAnsi="Arial"/>
          <w:sz w:val="24"/>
          <w:szCs w:val="24"/>
        </w:rPr>
        <w:t xml:space="preserve">The pipeline leverages the Quiver EP CRISPR atlas to compute pairwise compound interactions across all 500+ electrophysiological features, applying Bliss independence modeling and additivity analysis to distinguish true synergy from simple dose additivity. Integration of toxicity signature databases ensures that therapeutic gains are not offset by unexpected safety liabilities across multiple tissue contexts.</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systematically identifies optimal drug combination pairs that maximize electrophysiological rescue of disease-relevant neuronal phenotypes while simultaneously minimizing compound-induced toxicity signatures. By integrating synergy scoring models with toxicity subtraction algorithms, this workflow enables rapid prioritization of combination candidates that offer superior therapeutic indices compared to monotherapies.</w:t>
      </w:r>
    </w:p>
    <w:p>
      <w:pPr>
        <w:spacing w:after="200" w:line="360"/>
      </w:pPr>
      <w:r>
        <w:rPr>
          <w:rFonts w:ascii="Arial" w:cs="Arial" w:eastAsia="Arial" w:hAnsi="Arial"/>
          <w:sz w:val="24"/>
          <w:szCs w:val="24"/>
        </w:rPr>
        <w:t xml:space="preserve">The pipeline leverages the Quiver EP CRISPR atlas to compute pairwise compound interactions across all 500+ electrophysiological features, applying Bliss independence modeling and additivity analysis to distinguish true synergy from simple dose additivity. Integration of toxicity signature databases ensures that therapeutic gains are not offset by unexpected safety liabilities across multiple tissue contexts.</w:t>
      </w:r>
    </w:p>
    <w:p>
      <w:pPr>
        <w:pStyle w:val="Heading2"/>
        <w:spacing w:after="200" w:before="200"/>
      </w:pPr>
      <w:r>
        <w:rPr>
          <w:rFonts w:ascii="Arial" w:cs="Arial" w:eastAsia="Arial" w:hAnsi="Arial"/>
          <w:b/>
          <w:bCs/>
          <w:sz w:val="28"/>
          <w:szCs w:val="28"/>
        </w:rPr>
        <w:t xml:space="preserve">Stage 1: Data Integration &amp; Baseline Normalization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Consolidate multi-dimensional compound and gene perturbation data from the EP CRISPR atlas into unified, quantile-normalized matrices for synergy and toxicity analysis.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Single-compound EP rescue profiles (500+ features per neuron, 3,500 compounds)</w:t>
      </w:r>
    </w:p>
    <w:p>
      <w:pPr>
        <w:pStyle w:val="ListParagraph"/>
        <w:numPr>
          <w:ilvl w:val="0"/>
          <w:numId w:val="2"/>
        </w:numPr>
        <w:spacing w:after="100" w:line="360"/>
      </w:pPr>
      <w:r>
        <w:rPr>
          <w:rFonts w:ascii="Arial" w:cs="Arial" w:eastAsia="Arial" w:hAnsi="Arial"/>
          <w:sz w:val="24"/>
          <w:szCs w:val="24"/>
        </w:rPr>
        <w:t xml:space="preserve">Single-gene CRISPR perturbation phenotype data (18,000 genes, baseline neuronal features)</w:t>
      </w:r>
    </w:p>
    <w:p>
      <w:pPr>
        <w:pStyle w:val="ListParagraph"/>
        <w:numPr>
          <w:ilvl w:val="0"/>
          <w:numId w:val="2"/>
        </w:numPr>
        <w:spacing w:after="100" w:line="360"/>
      </w:pPr>
      <w:r>
        <w:rPr>
          <w:rFonts w:ascii="Arial" w:cs="Arial" w:eastAsia="Arial" w:hAnsi="Arial"/>
          <w:sz w:val="24"/>
          <w:szCs w:val="24"/>
        </w:rPr>
        <w:t xml:space="preserve">Toxicity signature annotations (cytotoxicity, metabolic stress, mitochondrial dysfunction flags)</w:t>
      </w:r>
    </w:p>
    <w:p>
      <w:pPr>
        <w:pStyle w:val="ListParagraph"/>
        <w:numPr>
          <w:ilvl w:val="0"/>
          <w:numId w:val="2"/>
        </w:numPr>
        <w:spacing w:after="100" w:line="360"/>
      </w:pPr>
      <w:r>
        <w:rPr>
          <w:rFonts w:ascii="Arial" w:cs="Arial" w:eastAsia="Arial" w:hAnsi="Arial"/>
          <w:sz w:val="24"/>
          <w:szCs w:val="24"/>
        </w:rPr>
        <w:t xml:space="preserve">Compound structural similarity matrix (Tanimoto coefficients, functional class assignments)</w:t>
      </w:r>
    </w:p>
    <w:p>
      <w:pPr>
        <w:pStyle w:val="ListParagraph"/>
        <w:numPr>
          <w:ilvl w:val="0"/>
          <w:numId w:val="2"/>
        </w:numPr>
        <w:spacing w:after="100" w:line="360"/>
      </w:pPr>
      <w:r>
        <w:rPr>
          <w:rFonts w:ascii="Arial" w:cs="Arial" w:eastAsia="Arial" w:hAnsi="Arial"/>
          <w:sz w:val="24"/>
          <w:szCs w:val="24"/>
        </w:rPr>
        <w:t xml:space="preserve">Clinical pharmacokinetic/pharmacodynamic metadata (half-lives, tissue distribution, BBB penetration)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EP CRISPR Atlas (primary feature source)</w:t>
      </w:r>
    </w:p>
    <w:p>
      <w:pPr>
        <w:pStyle w:val="ListParagraph"/>
        <w:numPr>
          <w:ilvl w:val="0"/>
          <w:numId w:val="2"/>
        </w:numPr>
        <w:spacing w:after="100" w:line="360"/>
      </w:pPr>
      <w:r>
        <w:rPr>
          <w:rFonts w:ascii="Arial" w:cs="Arial" w:eastAsia="Arial" w:hAnsi="Arial"/>
          <w:sz w:val="24"/>
          <w:szCs w:val="24"/>
        </w:rPr>
        <w:t xml:space="preserve">ChEMBL / PubChem (structural and toxicity annotations)</w:t>
      </w:r>
    </w:p>
    <w:p>
      <w:pPr>
        <w:pStyle w:val="ListParagraph"/>
        <w:numPr>
          <w:ilvl w:val="0"/>
          <w:numId w:val="2"/>
        </w:numPr>
        <w:spacing w:after="100" w:line="360"/>
      </w:pPr>
      <w:r>
        <w:rPr>
          <w:rFonts w:ascii="Arial" w:cs="Arial" w:eastAsia="Arial" w:hAnsi="Arial"/>
          <w:sz w:val="24"/>
          <w:szCs w:val="24"/>
        </w:rPr>
        <w:t xml:space="preserve">DrugBank (pharmacokinetic/pharmacodynamic data)</w:t>
      </w:r>
    </w:p>
    <w:p>
      <w:pPr>
        <w:pStyle w:val="ListParagraph"/>
        <w:numPr>
          <w:ilvl w:val="0"/>
          <w:numId w:val="2"/>
        </w:numPr>
        <w:spacing w:after="100" w:line="360"/>
      </w:pPr>
      <w:r>
        <w:rPr>
          <w:rFonts w:ascii="Arial" w:cs="Arial" w:eastAsia="Arial" w:hAnsi="Arial"/>
          <w:sz w:val="24"/>
          <w:szCs w:val="24"/>
        </w:rPr>
        <w:t xml:space="preserve">Schrödinger / OpenBabel (molecular similarity calculations)</w:t>
      </w:r>
    </w:p>
    <w:p>
      <w:pPr>
        <w:pStyle w:val="ListParagraph"/>
        <w:numPr>
          <w:ilvl w:val="0"/>
          <w:numId w:val="2"/>
        </w:numPr>
        <w:spacing w:after="100" w:line="360"/>
      </w:pPr>
      <w:r>
        <w:rPr>
          <w:rFonts w:ascii="Arial" w:cs="Arial" w:eastAsia="Arial" w:hAnsi="Arial"/>
          <w:sz w:val="24"/>
          <w:szCs w:val="24"/>
        </w:rPr>
        <w:t xml:space="preserve">UMAP / t-SNE (dimensionality reduction for feature clustering)</w:t>
      </w:r>
    </w:p>
    <w:p>
      <w:pPr>
        <w:pStyle w:val="ListParagraph"/>
        <w:numPr>
          <w:ilvl w:val="0"/>
          <w:numId w:val="2"/>
        </w:numPr>
        <w:spacing w:after="100" w:line="360"/>
      </w:pPr>
      <w:r>
        <w:rPr>
          <w:rFonts w:ascii="Arial" w:cs="Arial" w:eastAsia="Arial" w:hAnsi="Arial"/>
          <w:sz w:val="24"/>
          <w:szCs w:val="24"/>
        </w:rPr>
        <w:t xml:space="preserve">Broad LINCS / GEO (comparative toxicity signatures)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Normalize EP rescue scores across all 500+ features to unit variance and zero mean per feature, controlling for compound concentration and duration.</w:t>
      </w:r>
    </w:p>
    <w:p>
      <w:pPr>
        <w:pStyle w:val="ListParagraph"/>
        <w:numPr>
          <w:ilvl w:val="0"/>
          <w:numId w:val="2"/>
        </w:numPr>
        <w:spacing w:after="100" w:line="360"/>
      </w:pPr>
      <w:r>
        <w:rPr>
          <w:rFonts w:ascii="Arial" w:cs="Arial" w:eastAsia="Arial" w:hAnsi="Arial"/>
          <w:sz w:val="24"/>
          <w:szCs w:val="24"/>
        </w:rPr>
        <w:t xml:space="preserve">Identify and flag compounds with baseline toxicity signatures (viability &lt;80%, oxidative stress &gt;1.5σ above control) for exclusion from synergistic pair analysis.</w:t>
      </w:r>
    </w:p>
    <w:p>
      <w:pPr>
        <w:pStyle w:val="ListParagraph"/>
        <w:numPr>
          <w:ilvl w:val="0"/>
          <w:numId w:val="2"/>
        </w:numPr>
        <w:spacing w:after="100" w:line="360"/>
      </w:pPr>
      <w:r>
        <w:rPr>
          <w:rFonts w:ascii="Arial" w:cs="Arial" w:eastAsia="Arial" w:hAnsi="Arial"/>
          <w:sz w:val="24"/>
          <w:szCs w:val="24"/>
        </w:rPr>
        <w:t xml:space="preserve">Generate compound-compound structural similarity matrix; exclude pairs with &gt;0.9 Tanimoto similarity to avoid redundant mechanistic combinations.</w:t>
      </w:r>
    </w:p>
    <w:p>
      <w:pPr>
        <w:pStyle w:val="ListParagraph"/>
        <w:numPr>
          <w:ilvl w:val="0"/>
          <w:numId w:val="2"/>
        </w:numPr>
        <w:spacing w:after="100" w:line="360"/>
      </w:pPr>
      <w:r>
        <w:rPr>
          <w:rFonts w:ascii="Arial" w:cs="Arial" w:eastAsia="Arial" w:hAnsi="Arial"/>
          <w:sz w:val="24"/>
          <w:szCs w:val="24"/>
        </w:rPr>
        <w:t xml:space="preserve">Cross-reference toxicity phenotypes against tissue-specific sensitivity databases to predict off-target liabilities in CNS vs peripheral tissues.</w:t>
      </w:r>
    </w:p>
    <w:p>
      <w:pPr>
        <w:pStyle w:val="ListParagraph"/>
        <w:numPr>
          <w:ilvl w:val="0"/>
          <w:numId w:val="2"/>
        </w:numPr>
        <w:spacing w:after="100" w:line="360"/>
      </w:pPr>
      <w:r>
        <w:rPr>
          <w:rFonts w:ascii="Arial" w:cs="Arial" w:eastAsia="Arial" w:hAnsi="Arial"/>
          <w:sz w:val="24"/>
          <w:szCs w:val="24"/>
        </w:rPr>
        <w:t xml:space="preserve">Create clinical PK/PD metadata lookup table linking compound IDs to half-life, tissue distribution, and BBB penetration categories.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Normalized EP rescue feature matrix (compounds × 500+ features, zero-centered, unit-variance per feature)</w:t>
      </w:r>
    </w:p>
    <w:p>
      <w:pPr>
        <w:pStyle w:val="ListParagraph"/>
        <w:numPr>
          <w:ilvl w:val="0"/>
          <w:numId w:val="2"/>
        </w:numPr>
        <w:spacing w:after="100" w:line="360"/>
      </w:pPr>
      <w:r>
        <w:rPr>
          <w:rFonts w:ascii="Arial" w:cs="Arial" w:eastAsia="Arial" w:hAnsi="Arial"/>
          <w:sz w:val="24"/>
          <w:szCs w:val="24"/>
        </w:rPr>
        <w:t xml:space="preserve">Toxicity flag annotation table (compounds, toxicity type, severity percentile)</w:t>
      </w:r>
    </w:p>
    <w:p>
      <w:pPr>
        <w:pStyle w:val="ListParagraph"/>
        <w:numPr>
          <w:ilvl w:val="0"/>
          <w:numId w:val="2"/>
        </w:numPr>
        <w:spacing w:after="100" w:line="360"/>
      </w:pPr>
      <w:r>
        <w:rPr>
          <w:rFonts w:ascii="Arial" w:cs="Arial" w:eastAsia="Arial" w:hAnsi="Arial"/>
          <w:sz w:val="24"/>
          <w:szCs w:val="24"/>
        </w:rPr>
        <w:t xml:space="preserve">Compound structural similarity matrix (N_compounds × N_compounds, sparse upper triangle)</w:t>
      </w:r>
    </w:p>
    <w:p>
      <w:pPr>
        <w:pStyle w:val="ListParagraph"/>
        <w:numPr>
          <w:ilvl w:val="0"/>
          <w:numId w:val="2"/>
        </w:numPr>
        <w:spacing w:after="100" w:line="360"/>
      </w:pPr>
      <w:r>
        <w:rPr>
          <w:rFonts w:ascii="Arial" w:cs="Arial" w:eastAsia="Arial" w:hAnsi="Arial"/>
          <w:sz w:val="24"/>
          <w:szCs w:val="24"/>
        </w:rPr>
        <w:t xml:space="preserve">Clinical metadata table (compound ID, half-life category, BBB penetration, tissue distribution class)</w:t>
      </w:r>
    </w:p>
    <w:p>
      <w:pPr>
        <w:pStyle w:val="ListParagraph"/>
        <w:numPr>
          <w:ilvl w:val="0"/>
          <w:numId w:val="2"/>
        </w:numPr>
        <w:spacing w:after="100" w:line="360"/>
      </w:pPr>
      <w:r>
        <w:rPr>
          <w:rFonts w:ascii="Arial" w:cs="Arial" w:eastAsia="Arial" w:hAnsi="Arial"/>
          <w:sz w:val="24"/>
          <w:szCs w:val="24"/>
        </w:rPr>
        <w:t xml:space="preserve">QC report: number of compounds passing toxicity filter, feature coverage statistics, outlier compound list</w:t>
      </w:r>
    </w:p>
    <w:p>
      <w:pPr>
        <w:pStyle w:val="ListParagraph"/>
        <w:numPr>
          <w:ilvl w:val="0"/>
          <w:numId w:val="2"/>
        </w:numPr>
        <w:spacing w:after="100" w:line="360"/>
      </w:pPr>
      <w:r>
        <w:rPr>
          <w:rFonts w:ascii="Arial" w:cs="Arial" w:eastAsia="Arial" w:hAnsi="Arial"/>
          <w:sz w:val="24"/>
          <w:szCs w:val="24"/>
        </w:rPr>
        <w:t xml:space="preserve">Feature clustering dendrogram showing grouping of related electrophysiological phenotypes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CSV/TSV matrices, JSON metadata dictionaries, PNG dimensionality reduction plots</w:t>
      </w:r>
    </w:p>
    <w:p>
      <w:pPr>
        <w:pStyle w:val="Heading2"/>
        <w:spacing w:after="200" w:before="200"/>
      </w:pPr>
      <w:r>
        <w:rPr>
          <w:rFonts w:ascii="Arial" w:cs="Arial" w:eastAsia="Arial" w:hAnsi="Arial"/>
          <w:b/>
          <w:bCs/>
          <w:sz w:val="28"/>
          <w:szCs w:val="28"/>
        </w:rPr>
        <w:t xml:space="preserve">Stage 2: Synergy Scoring &amp; Bliss Independence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Compute synergy scores for all compound-pair combinations using Bliss independence null model and multi-feature additivity analysis to quantify rescue enhancement beyond monotherapy.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Normalized single-compound EP rescue profiles (from Stage 1)</w:t>
      </w:r>
    </w:p>
    <w:p>
      <w:pPr>
        <w:pStyle w:val="ListParagraph"/>
        <w:numPr>
          <w:ilvl w:val="0"/>
          <w:numId w:val="2"/>
        </w:numPr>
        <w:spacing w:after="100" w:line="360"/>
      </w:pPr>
      <w:r>
        <w:rPr>
          <w:rFonts w:ascii="Arial" w:cs="Arial" w:eastAsia="Arial" w:hAnsi="Arial"/>
          <w:sz w:val="24"/>
          <w:szCs w:val="24"/>
        </w:rPr>
        <w:t xml:space="preserve">Normalized single-gene perturbation baseline phenotypes</w:t>
      </w:r>
    </w:p>
    <w:p>
      <w:pPr>
        <w:pStyle w:val="ListParagraph"/>
        <w:numPr>
          <w:ilvl w:val="0"/>
          <w:numId w:val="2"/>
        </w:numPr>
        <w:spacing w:after="100" w:line="360"/>
      </w:pPr>
      <w:r>
        <w:rPr>
          <w:rFonts w:ascii="Arial" w:cs="Arial" w:eastAsia="Arial" w:hAnsi="Arial"/>
          <w:sz w:val="24"/>
          <w:szCs w:val="24"/>
        </w:rPr>
        <w:t xml:space="preserve">Dose-response curves for 100+ representative compounds (EC50 values, Hill coefficients)</w:t>
      </w:r>
    </w:p>
    <w:p>
      <w:pPr>
        <w:pStyle w:val="ListParagraph"/>
        <w:numPr>
          <w:ilvl w:val="0"/>
          <w:numId w:val="2"/>
        </w:numPr>
        <w:spacing w:after="100" w:line="360"/>
      </w:pPr>
      <w:r>
        <w:rPr>
          <w:rFonts w:ascii="Arial" w:cs="Arial" w:eastAsia="Arial" w:hAnsi="Arial"/>
          <w:sz w:val="24"/>
          <w:szCs w:val="24"/>
        </w:rPr>
        <w:t xml:space="preserve">Feature clustering assignments (Stage 1 output)</w:t>
      </w:r>
    </w:p>
    <w:p>
      <w:pPr>
        <w:pStyle w:val="ListParagraph"/>
        <w:numPr>
          <w:ilvl w:val="0"/>
          <w:numId w:val="2"/>
        </w:numPr>
        <w:spacing w:after="100" w:line="360"/>
      </w:pPr>
      <w:r>
        <w:rPr>
          <w:rFonts w:ascii="Arial" w:cs="Arial" w:eastAsia="Arial" w:hAnsi="Arial"/>
          <w:sz w:val="24"/>
          <w:szCs w:val="24"/>
        </w:rPr>
        <w:t xml:space="preserve">Target pathway annotations (KEGG, Reactome) for compounds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SynergyFinder / Combenefit (Bliss, Loewe, ZIP synergy models)</w:t>
      </w:r>
    </w:p>
    <w:p>
      <w:pPr>
        <w:pStyle w:val="ListParagraph"/>
        <w:numPr>
          <w:ilvl w:val="0"/>
          <w:numId w:val="2"/>
        </w:numPr>
        <w:spacing w:after="100" w:line="360"/>
      </w:pPr>
      <w:r>
        <w:rPr>
          <w:rFonts w:ascii="Arial" w:cs="Arial" w:eastAsia="Arial" w:hAnsi="Arial"/>
          <w:sz w:val="24"/>
          <w:szCs w:val="24"/>
        </w:rPr>
        <w:t xml:space="preserve">Custom R/Python synergy quantification scripts (additivity testing across feature subsets)</w:t>
      </w:r>
    </w:p>
    <w:p>
      <w:pPr>
        <w:pStyle w:val="ListParagraph"/>
        <w:numPr>
          <w:ilvl w:val="0"/>
          <w:numId w:val="2"/>
        </w:numPr>
        <w:spacing w:after="100" w:line="360"/>
      </w:pPr>
      <w:r>
        <w:rPr>
          <w:rFonts w:ascii="Arial" w:cs="Arial" w:eastAsia="Arial" w:hAnsi="Arial"/>
          <w:sz w:val="24"/>
          <w:szCs w:val="24"/>
        </w:rPr>
        <w:t xml:space="preserve">Matrix algebra libraries (NumPy, Matrix Market format)</w:t>
      </w:r>
    </w:p>
    <w:p>
      <w:pPr>
        <w:pStyle w:val="ListParagraph"/>
        <w:numPr>
          <w:ilvl w:val="0"/>
          <w:numId w:val="2"/>
        </w:numPr>
        <w:spacing w:after="100" w:line="360"/>
      </w:pPr>
      <w:r>
        <w:rPr>
          <w:rFonts w:ascii="Arial" w:cs="Arial" w:eastAsia="Arial" w:hAnsi="Arial"/>
          <w:sz w:val="24"/>
          <w:szCs w:val="24"/>
        </w:rPr>
        <w:t xml:space="preserve">Pathway analysis tools (DAVID, Enrichr for target pathway overlap)</w:t>
      </w:r>
    </w:p>
    <w:p>
      <w:pPr>
        <w:pStyle w:val="ListParagraph"/>
        <w:numPr>
          <w:ilvl w:val="0"/>
          <w:numId w:val="2"/>
        </w:numPr>
        <w:spacing w:after="100" w:line="360"/>
      </w:pPr>
      <w:r>
        <w:rPr>
          <w:rFonts w:ascii="Arial" w:cs="Arial" w:eastAsia="Arial" w:hAnsi="Arial"/>
          <w:sz w:val="24"/>
          <w:szCs w:val="24"/>
        </w:rPr>
        <w:t xml:space="preserve">Statistical testing suite (permutation tests for synergy significance)</w:t>
      </w:r>
    </w:p>
    <w:p>
      <w:pPr>
        <w:pStyle w:val="ListParagraph"/>
        <w:numPr>
          <w:ilvl w:val="0"/>
          <w:numId w:val="2"/>
        </w:numPr>
        <w:spacing w:after="100" w:line="360"/>
      </w:pPr>
      <w:r>
        <w:rPr>
          <w:rFonts w:ascii="Arial" w:cs="Arial" w:eastAsia="Arial" w:hAnsi="Arial"/>
          <w:sz w:val="24"/>
          <w:szCs w:val="24"/>
        </w:rPr>
        <w:t xml:space="preserve">Visualization tools (ComplexHeatmap, ggplot2 for synergy matrix rendering)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compound pair, compute expected rescue profile under Bliss independence (E_Bliss = E_A + E_B - E_A * E_B) across all 500+ EP features.</w:t>
      </w:r>
    </w:p>
    <w:p>
      <w:pPr>
        <w:pStyle w:val="ListParagraph"/>
        <w:numPr>
          <w:ilvl w:val="0"/>
          <w:numId w:val="2"/>
        </w:numPr>
        <w:spacing w:after="100" w:line="360"/>
      </w:pPr>
      <w:r>
        <w:rPr>
          <w:rFonts w:ascii="Arial" w:cs="Arial" w:eastAsia="Arial" w:hAnsi="Arial"/>
          <w:sz w:val="24"/>
          <w:szCs w:val="24"/>
        </w:rPr>
        <w:t xml:space="preserve">Calculate observed rescue for top N feature clusters; compute synergy score as log2(Observed / Expected) with permutation test significance (p&lt;0.05).</w:t>
      </w:r>
    </w:p>
    <w:p>
      <w:pPr>
        <w:pStyle w:val="ListParagraph"/>
        <w:numPr>
          <w:ilvl w:val="0"/>
          <w:numId w:val="2"/>
        </w:numPr>
        <w:spacing w:after="100" w:line="360"/>
      </w:pPr>
      <w:r>
        <w:rPr>
          <w:rFonts w:ascii="Arial" w:cs="Arial" w:eastAsia="Arial" w:hAnsi="Arial"/>
          <w:sz w:val="24"/>
          <w:szCs w:val="24"/>
        </w:rPr>
        <w:t xml:space="preserve">Flag pairs showing synergistic rescue (synergy score &gt;0.3) in &gt;3 feature clusters; rank by mean synergy magnitude and consistency.</w:t>
      </w:r>
    </w:p>
    <w:p>
      <w:pPr>
        <w:pStyle w:val="ListParagraph"/>
        <w:numPr>
          <w:ilvl w:val="0"/>
          <w:numId w:val="2"/>
        </w:numPr>
        <w:spacing w:after="100" w:line="360"/>
      </w:pPr>
      <w:r>
        <w:rPr>
          <w:rFonts w:ascii="Arial" w:cs="Arial" w:eastAsia="Arial" w:hAnsi="Arial"/>
          <w:sz w:val="24"/>
          <w:szCs w:val="24"/>
        </w:rPr>
        <w:t xml:space="preserve">Compute additivity index per pair per feature cluster (ranges 0-1); identify feature-specific antagonism signatures.</w:t>
      </w:r>
    </w:p>
    <w:p>
      <w:pPr>
        <w:pStyle w:val="ListParagraph"/>
        <w:numPr>
          <w:ilvl w:val="0"/>
          <w:numId w:val="2"/>
        </w:numPr>
        <w:spacing w:after="100" w:line="360"/>
      </w:pPr>
      <w:r>
        <w:rPr>
          <w:rFonts w:ascii="Arial" w:cs="Arial" w:eastAsia="Arial" w:hAnsi="Arial"/>
          <w:sz w:val="24"/>
          <w:szCs w:val="24"/>
        </w:rPr>
        <w:t xml:space="preserve">Generate synergy matrix heatmap (all compound pairs × top 50 feature clusters); highlight Pareto-optimal pairs by synergy magnitude and feature breadth.</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Synergy score matrix (compound pairs × feature clusters, log2 scale)</w:t>
      </w:r>
    </w:p>
    <w:p>
      <w:pPr>
        <w:pStyle w:val="ListParagraph"/>
        <w:numPr>
          <w:ilvl w:val="0"/>
          <w:numId w:val="2"/>
        </w:numPr>
        <w:spacing w:after="100" w:line="360"/>
      </w:pPr>
      <w:r>
        <w:rPr>
          <w:rFonts w:ascii="Arial" w:cs="Arial" w:eastAsia="Arial" w:hAnsi="Arial"/>
          <w:sz w:val="24"/>
          <w:szCs w:val="24"/>
        </w:rPr>
        <w:t xml:space="preserve">Ranked list of top 500 synergistic pairs (synergy score, feature count, consistency metric)</w:t>
      </w:r>
    </w:p>
    <w:p>
      <w:pPr>
        <w:pStyle w:val="ListParagraph"/>
        <w:numPr>
          <w:ilvl w:val="0"/>
          <w:numId w:val="2"/>
        </w:numPr>
        <w:spacing w:after="100" w:line="360"/>
      </w:pPr>
      <w:r>
        <w:rPr>
          <w:rFonts w:ascii="Arial" w:cs="Arial" w:eastAsia="Arial" w:hAnsi="Arial"/>
          <w:sz w:val="24"/>
          <w:szCs w:val="24"/>
        </w:rPr>
        <w:t xml:space="preserve">Per-pair additivity profiles (data-driven assessment of feature-wise rescue contribution)</w:t>
      </w:r>
    </w:p>
    <w:p>
      <w:pPr>
        <w:pStyle w:val="ListParagraph"/>
        <w:numPr>
          <w:ilvl w:val="0"/>
          <w:numId w:val="2"/>
        </w:numPr>
        <w:spacing w:after="100" w:line="360"/>
      </w:pPr>
      <w:r>
        <w:rPr>
          <w:rFonts w:ascii="Arial" w:cs="Arial" w:eastAsia="Arial" w:hAnsi="Arial"/>
          <w:sz w:val="24"/>
          <w:szCs w:val="24"/>
        </w:rPr>
        <w:t xml:space="preserve">Significance testing results (p-values, FDR-corrected q-values for synergy vs null)</w:t>
      </w:r>
    </w:p>
    <w:p>
      <w:pPr>
        <w:pStyle w:val="ListParagraph"/>
        <w:numPr>
          <w:ilvl w:val="0"/>
          <w:numId w:val="2"/>
        </w:numPr>
        <w:spacing w:after="100" w:line="360"/>
      </w:pPr>
      <w:r>
        <w:rPr>
          <w:rFonts w:ascii="Arial" w:cs="Arial" w:eastAsia="Arial" w:hAnsi="Arial"/>
          <w:sz w:val="24"/>
          <w:szCs w:val="24"/>
        </w:rPr>
        <w:t xml:space="preserve">Pareto frontier identification (top-ranked pairs balancing synergy strength vs feature breadth)</w:t>
      </w:r>
    </w:p>
    <w:p>
      <w:pPr>
        <w:pStyle w:val="ListParagraph"/>
        <w:numPr>
          <w:ilvl w:val="0"/>
          <w:numId w:val="2"/>
        </w:numPr>
        <w:spacing w:after="100" w:line="360"/>
      </w:pPr>
      <w:r>
        <w:rPr>
          <w:rFonts w:ascii="Arial" w:cs="Arial" w:eastAsia="Arial" w:hAnsi="Arial"/>
          <w:sz w:val="24"/>
          <w:szCs w:val="24"/>
        </w:rPr>
        <w:t xml:space="preserve">Synergy heatmap visualization and per-pair radar charts showing feature-wise contributions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synergy matrix, JSON ranked pair objects with metadata, PNG/SVG heatmaps and radar charts</w:t>
      </w:r>
    </w:p>
    <w:p>
      <w:pPr>
        <w:pStyle w:val="Heading2"/>
        <w:spacing w:after="200" w:before="200"/>
      </w:pPr>
      <w:r>
        <w:rPr>
          <w:rFonts w:ascii="Arial" w:cs="Arial" w:eastAsia="Arial" w:hAnsi="Arial"/>
          <w:b/>
          <w:bCs/>
          <w:sz w:val="28"/>
          <w:szCs w:val="28"/>
        </w:rPr>
        <w:t xml:space="preserve">Stage 3: Toxicity Signature Subtraction &amp; Safety Net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Systematically subtract compound-induced toxicity signatures from rescue gains to identify pairs with maximal therapeutic index and minimal off-target safety liabilities.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500 synergistic compound pairs (from Stage 2)</w:t>
      </w:r>
    </w:p>
    <w:p>
      <w:pPr>
        <w:pStyle w:val="ListParagraph"/>
        <w:numPr>
          <w:ilvl w:val="0"/>
          <w:numId w:val="2"/>
        </w:numPr>
        <w:spacing w:after="100" w:line="360"/>
      </w:pPr>
      <w:r>
        <w:rPr>
          <w:rFonts w:ascii="Arial" w:cs="Arial" w:eastAsia="Arial" w:hAnsi="Arial"/>
          <w:sz w:val="24"/>
          <w:szCs w:val="24"/>
        </w:rPr>
        <w:t xml:space="preserve">Individual compound toxicity signatures (viability, ROS, ATP, DAPI, calcein-AM assay flags)</w:t>
      </w:r>
    </w:p>
    <w:p>
      <w:pPr>
        <w:pStyle w:val="ListParagraph"/>
        <w:numPr>
          <w:ilvl w:val="0"/>
          <w:numId w:val="2"/>
        </w:numPr>
        <w:spacing w:after="100" w:line="360"/>
      </w:pPr>
      <w:r>
        <w:rPr>
          <w:rFonts w:ascii="Arial" w:cs="Arial" w:eastAsia="Arial" w:hAnsi="Arial"/>
          <w:sz w:val="24"/>
          <w:szCs w:val="24"/>
        </w:rPr>
        <w:t xml:space="preserve">Disease-relevant toxicity phenotypes (neuronal subtype-specific sensitivities)</w:t>
      </w:r>
    </w:p>
    <w:p>
      <w:pPr>
        <w:pStyle w:val="ListParagraph"/>
        <w:numPr>
          <w:ilvl w:val="0"/>
          <w:numId w:val="2"/>
        </w:numPr>
        <w:spacing w:after="100" w:line="360"/>
      </w:pPr>
      <w:r>
        <w:rPr>
          <w:rFonts w:ascii="Arial" w:cs="Arial" w:eastAsia="Arial" w:hAnsi="Arial"/>
          <w:sz w:val="24"/>
          <w:szCs w:val="24"/>
        </w:rPr>
        <w:t xml:space="preserve">Tissue-specific safety database (hepatotoxicity, cardiotoxicity, nephrotoxicity risk scores)</w:t>
      </w:r>
    </w:p>
    <w:p>
      <w:pPr>
        <w:pStyle w:val="ListParagraph"/>
        <w:numPr>
          <w:ilvl w:val="0"/>
          <w:numId w:val="2"/>
        </w:numPr>
        <w:spacing w:after="100" w:line="360"/>
      </w:pPr>
      <w:r>
        <w:rPr>
          <w:rFonts w:ascii="Arial" w:cs="Arial" w:eastAsia="Arial" w:hAnsi="Arial"/>
          <w:sz w:val="24"/>
          <w:szCs w:val="24"/>
        </w:rPr>
        <w:t xml:space="preserve">Chemical liability flags (hERG inhibition, CYP3A4 induction, protein binding, genotoxicity)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Custom toxicity subtraction algorithm (vector subtraction in feature space)</w:t>
      </w:r>
    </w:p>
    <w:p>
      <w:pPr>
        <w:pStyle w:val="ListParagraph"/>
        <w:numPr>
          <w:ilvl w:val="0"/>
          <w:numId w:val="2"/>
        </w:numPr>
        <w:spacing w:after="100" w:line="360"/>
      </w:pPr>
      <w:r>
        <w:rPr>
          <w:rFonts w:ascii="Arial" w:cs="Arial" w:eastAsia="Arial" w:hAnsi="Arial"/>
          <w:sz w:val="24"/>
          <w:szCs w:val="24"/>
        </w:rPr>
        <w:t xml:space="preserve">eTOX / ADMETlab (tissue-specific toxicity prediction)</w:t>
      </w:r>
    </w:p>
    <w:p>
      <w:pPr>
        <w:pStyle w:val="ListParagraph"/>
        <w:numPr>
          <w:ilvl w:val="0"/>
          <w:numId w:val="2"/>
        </w:numPr>
        <w:spacing w:after="100" w:line="360"/>
      </w:pPr>
      <w:r>
        <w:rPr>
          <w:rFonts w:ascii="Arial" w:cs="Arial" w:eastAsia="Arial" w:hAnsi="Arial"/>
          <w:sz w:val="24"/>
          <w:szCs w:val="24"/>
        </w:rPr>
        <w:t xml:space="preserve">Cellular safety assay databases (viability, ROS, apoptosis, autophagy markers)</w:t>
      </w:r>
    </w:p>
    <w:p>
      <w:pPr>
        <w:pStyle w:val="ListParagraph"/>
        <w:numPr>
          <w:ilvl w:val="0"/>
          <w:numId w:val="2"/>
        </w:numPr>
        <w:spacing w:after="100" w:line="360"/>
      </w:pPr>
      <w:r>
        <w:rPr>
          <w:rFonts w:ascii="Arial" w:cs="Arial" w:eastAsia="Arial" w:hAnsi="Arial"/>
          <w:sz w:val="24"/>
          <w:szCs w:val="24"/>
        </w:rPr>
        <w:t xml:space="preserve">PubChem BioAssay / ChEMBL annotation lookup</w:t>
      </w:r>
    </w:p>
    <w:p>
      <w:pPr>
        <w:pStyle w:val="ListParagraph"/>
        <w:numPr>
          <w:ilvl w:val="0"/>
          <w:numId w:val="2"/>
        </w:numPr>
        <w:spacing w:after="100" w:line="360"/>
      </w:pPr>
      <w:r>
        <w:rPr>
          <w:rFonts w:ascii="Arial" w:cs="Arial" w:eastAsia="Arial" w:hAnsi="Arial"/>
          <w:sz w:val="24"/>
          <w:szCs w:val="24"/>
        </w:rPr>
        <w:t xml:space="preserve">Machine learning toxicity classifiers (XGBoost, random forest for unseen liabilities)</w:t>
      </w:r>
    </w:p>
    <w:p>
      <w:pPr>
        <w:pStyle w:val="ListParagraph"/>
        <w:numPr>
          <w:ilvl w:val="0"/>
          <w:numId w:val="2"/>
        </w:numPr>
        <w:spacing w:after="100" w:line="360"/>
      </w:pPr>
      <w:r>
        <w:rPr>
          <w:rFonts w:ascii="Arial" w:cs="Arial" w:eastAsia="Arial" w:hAnsi="Arial"/>
          <w:sz w:val="24"/>
          <w:szCs w:val="24"/>
        </w:rPr>
        <w:t xml:space="preserve">Safety margin visualization tools (therapeutic window plotting)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of top 500 synergistic pairs, extract compound-specific toxicity signature vectors (cytotoxicity, ROS elevation, metabolic stress).</w:t>
      </w:r>
    </w:p>
    <w:p>
      <w:pPr>
        <w:pStyle w:val="ListParagraph"/>
        <w:numPr>
          <w:ilvl w:val="0"/>
          <w:numId w:val="2"/>
        </w:numPr>
        <w:spacing w:after="100" w:line="360"/>
      </w:pPr>
      <w:r>
        <w:rPr>
          <w:rFonts w:ascii="Arial" w:cs="Arial" w:eastAsia="Arial" w:hAnsi="Arial"/>
          <w:sz w:val="24"/>
          <w:szCs w:val="24"/>
        </w:rPr>
        <w:t xml:space="preserve">Compute combined-pair toxicity as weighted sum of individual toxicities; subtract this vector from combined rescue benefit to yield 'net rescue' score.</w:t>
      </w:r>
    </w:p>
    <w:p>
      <w:pPr>
        <w:pStyle w:val="ListParagraph"/>
        <w:numPr>
          <w:ilvl w:val="0"/>
          <w:numId w:val="2"/>
        </w:numPr>
        <w:spacing w:after="100" w:line="360"/>
      </w:pPr>
      <w:r>
        <w:rPr>
          <w:rFonts w:ascii="Arial" w:cs="Arial" w:eastAsia="Arial" w:hAnsi="Arial"/>
          <w:sz w:val="24"/>
          <w:szCs w:val="24"/>
        </w:rPr>
        <w:t xml:space="preserve">Identify pairs where net rescue remains &gt;50% of synergistic rescue despite toxicity loading (favorable therapeutic index candidates).</w:t>
      </w:r>
    </w:p>
    <w:p>
      <w:pPr>
        <w:pStyle w:val="ListParagraph"/>
        <w:numPr>
          <w:ilvl w:val="0"/>
          <w:numId w:val="2"/>
        </w:numPr>
        <w:spacing w:after="100" w:line="360"/>
      </w:pPr>
      <w:r>
        <w:rPr>
          <w:rFonts w:ascii="Arial" w:cs="Arial" w:eastAsia="Arial" w:hAnsi="Arial"/>
          <w:sz w:val="24"/>
          <w:szCs w:val="24"/>
        </w:rPr>
        <w:t xml:space="preserve">Cross-check against tissue-specific safety databases; flag pairs with predicted hepatotoxicity, cardiotoxicity, or CNS-specific liabilities.</w:t>
      </w:r>
    </w:p>
    <w:p>
      <w:pPr>
        <w:pStyle w:val="ListParagraph"/>
        <w:numPr>
          <w:ilvl w:val="0"/>
          <w:numId w:val="2"/>
        </w:numPr>
        <w:spacing w:after="100" w:line="360"/>
      </w:pPr>
      <w:r>
        <w:rPr>
          <w:rFonts w:ascii="Arial" w:cs="Arial" w:eastAsia="Arial" w:hAnsi="Arial"/>
          <w:sz w:val="24"/>
          <w:szCs w:val="24"/>
        </w:rPr>
        <w:t xml:space="preserve">Generate safety-adjusted ranking of top 100 pairs; create therapeutic window plot (rescue benefit vs toxicity risk) highlighting quadrants.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Toxicity signature matrix for top 500 pairs (combined compound toxicity profiles)</w:t>
      </w:r>
    </w:p>
    <w:p>
      <w:pPr>
        <w:pStyle w:val="ListParagraph"/>
        <w:numPr>
          <w:ilvl w:val="0"/>
          <w:numId w:val="2"/>
        </w:numPr>
        <w:spacing w:after="100" w:line="360"/>
      </w:pPr>
      <w:r>
        <w:rPr>
          <w:rFonts w:ascii="Arial" w:cs="Arial" w:eastAsia="Arial" w:hAnsi="Arial"/>
          <w:sz w:val="24"/>
          <w:szCs w:val="24"/>
        </w:rPr>
        <w:t xml:space="preserve">Net rescue scores (synergy minus toxicity impact, per pair)</w:t>
      </w:r>
    </w:p>
    <w:p>
      <w:pPr>
        <w:pStyle w:val="ListParagraph"/>
        <w:numPr>
          <w:ilvl w:val="0"/>
          <w:numId w:val="2"/>
        </w:numPr>
        <w:spacing w:after="100" w:line="360"/>
      </w:pPr>
      <w:r>
        <w:rPr>
          <w:rFonts w:ascii="Arial" w:cs="Arial" w:eastAsia="Arial" w:hAnsi="Arial"/>
          <w:sz w:val="24"/>
          <w:szCs w:val="24"/>
        </w:rPr>
        <w:t xml:space="preserve">Safety-adjusted pair ranking (top 100 pairs by therapeutic index)</w:t>
      </w:r>
    </w:p>
    <w:p>
      <w:pPr>
        <w:pStyle w:val="ListParagraph"/>
        <w:numPr>
          <w:ilvl w:val="0"/>
          <w:numId w:val="2"/>
        </w:numPr>
        <w:spacing w:after="100" w:line="360"/>
      </w:pPr>
      <w:r>
        <w:rPr>
          <w:rFonts w:ascii="Arial" w:cs="Arial" w:eastAsia="Arial" w:hAnsi="Arial"/>
          <w:sz w:val="24"/>
          <w:szCs w:val="24"/>
        </w:rPr>
        <w:t xml:space="preserve">Tissue-specific liability flags (hepatotoxic, cardiotoxic, CNS-toxic risk per pair)</w:t>
      </w:r>
    </w:p>
    <w:p>
      <w:pPr>
        <w:pStyle w:val="ListParagraph"/>
        <w:numPr>
          <w:ilvl w:val="0"/>
          <w:numId w:val="2"/>
        </w:numPr>
        <w:spacing w:after="100" w:line="360"/>
      </w:pPr>
      <w:r>
        <w:rPr>
          <w:rFonts w:ascii="Arial" w:cs="Arial" w:eastAsia="Arial" w:hAnsi="Arial"/>
          <w:sz w:val="24"/>
          <w:szCs w:val="24"/>
        </w:rPr>
        <w:t xml:space="preserve">Therapeutic window visualization (scatter plot: rescue benefit vs combined toxicity)</w:t>
      </w:r>
    </w:p>
    <w:p>
      <w:pPr>
        <w:pStyle w:val="ListParagraph"/>
        <w:numPr>
          <w:ilvl w:val="0"/>
          <w:numId w:val="2"/>
        </w:numPr>
        <w:spacing w:after="100" w:line="360"/>
      </w:pPr>
      <w:r>
        <w:rPr>
          <w:rFonts w:ascii="Arial" w:cs="Arial" w:eastAsia="Arial" w:hAnsi="Arial"/>
          <w:sz w:val="24"/>
          <w:szCs w:val="24"/>
        </w:rPr>
        <w:t xml:space="preserve">Summary table: top 20 pairs with rescue magnitude, synergy score, combined toxicity, net therapeutic index</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safety-adjusted ranking table, JSON toxicity profiles per pair, PNG therapeutic window plots</w:t>
      </w:r>
    </w:p>
    <w:p>
      <w:pPr>
        <w:pStyle w:val="Heading2"/>
        <w:spacing w:after="200" w:before="200"/>
      </w:pPr>
      <w:r>
        <w:rPr>
          <w:rFonts w:ascii="Arial" w:cs="Arial" w:eastAsia="Arial" w:hAnsi="Arial"/>
          <w:b/>
          <w:bCs/>
          <w:sz w:val="28"/>
          <w:szCs w:val="28"/>
        </w:rPr>
        <w:t xml:space="preserve">Stage 4: Therapeutic Index Optimization &amp; Go/No-Go Filtering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Apply multi-criteria filtering to identify combination candidates meeting pre-defined therapeutic index thresholds, safety constraints, and manufacturability criteria.</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100 safety-adjusted synergistic pairs (from Stage 3)</w:t>
      </w:r>
    </w:p>
    <w:p>
      <w:pPr>
        <w:pStyle w:val="ListParagraph"/>
        <w:numPr>
          <w:ilvl w:val="0"/>
          <w:numId w:val="2"/>
        </w:numPr>
        <w:spacing w:after="100" w:line="360"/>
      </w:pPr>
      <w:r>
        <w:rPr>
          <w:rFonts w:ascii="Arial" w:cs="Arial" w:eastAsia="Arial" w:hAnsi="Arial"/>
          <w:sz w:val="24"/>
          <w:szCs w:val="24"/>
        </w:rPr>
        <w:t xml:space="preserve">Compound pharmacokinetic data (half-lives, Vd, clearance, BBB penetration)</w:t>
      </w:r>
    </w:p>
    <w:p>
      <w:pPr>
        <w:pStyle w:val="ListParagraph"/>
        <w:numPr>
          <w:ilvl w:val="0"/>
          <w:numId w:val="2"/>
        </w:numPr>
        <w:spacing w:after="100" w:line="360"/>
      </w:pPr>
      <w:r>
        <w:rPr>
          <w:rFonts w:ascii="Arial" w:cs="Arial" w:eastAsia="Arial" w:hAnsi="Arial"/>
          <w:sz w:val="24"/>
          <w:szCs w:val="24"/>
        </w:rPr>
        <w:t xml:space="preserve">Manufacturing feasibility scores (synthetic complexity, cost-of-goods estimate)</w:t>
      </w:r>
    </w:p>
    <w:p>
      <w:pPr>
        <w:pStyle w:val="ListParagraph"/>
        <w:numPr>
          <w:ilvl w:val="0"/>
          <w:numId w:val="2"/>
        </w:numPr>
        <w:spacing w:after="100" w:line="360"/>
      </w:pPr>
      <w:r>
        <w:rPr>
          <w:rFonts w:ascii="Arial" w:cs="Arial" w:eastAsia="Arial" w:hAnsi="Arial"/>
          <w:sz w:val="24"/>
          <w:szCs w:val="24"/>
        </w:rPr>
        <w:t xml:space="preserve">Regulatory precedent data (similar combinations in clinical trials, toxicology complexity)</w:t>
      </w:r>
    </w:p>
    <w:p>
      <w:pPr>
        <w:pStyle w:val="ListParagraph"/>
        <w:numPr>
          <w:ilvl w:val="0"/>
          <w:numId w:val="2"/>
        </w:numPr>
        <w:spacing w:after="100" w:line="360"/>
      </w:pPr>
      <w:r>
        <w:rPr>
          <w:rFonts w:ascii="Arial" w:cs="Arial" w:eastAsia="Arial" w:hAnsi="Arial"/>
          <w:sz w:val="24"/>
          <w:szCs w:val="24"/>
        </w:rPr>
        <w:t xml:space="preserve">Target patient population data (disease prevalence, patient accessibility, biomarker enrichment options)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Multi-criteria decision analysis (MCDA) framework (weighted scoring across therapeutic, safety, and feasibility axes)</w:t>
      </w:r>
    </w:p>
    <w:p>
      <w:pPr>
        <w:pStyle w:val="ListParagraph"/>
        <w:numPr>
          <w:ilvl w:val="0"/>
          <w:numId w:val="2"/>
        </w:numPr>
        <w:spacing w:after="100" w:line="360"/>
      </w:pPr>
      <w:r>
        <w:rPr>
          <w:rFonts w:ascii="Arial" w:cs="Arial" w:eastAsia="Arial" w:hAnsi="Arial"/>
          <w:sz w:val="24"/>
          <w:szCs w:val="24"/>
        </w:rPr>
        <w:t xml:space="preserve">Solubility/permeability prediction (ChemAxon, Simcyp Simulator for PK predictions)</w:t>
      </w:r>
    </w:p>
    <w:p>
      <w:pPr>
        <w:pStyle w:val="ListParagraph"/>
        <w:numPr>
          <w:ilvl w:val="0"/>
          <w:numId w:val="2"/>
        </w:numPr>
        <w:spacing w:after="100" w:line="360"/>
      </w:pPr>
      <w:r>
        <w:rPr>
          <w:rFonts w:ascii="Arial" w:cs="Arial" w:eastAsia="Arial" w:hAnsi="Arial"/>
          <w:sz w:val="24"/>
          <w:szCs w:val="24"/>
        </w:rPr>
        <w:t xml:space="preserve">Synthetic complexity scoring (Schrödinger retrosynthetic analysis, synthetic accessibility score)</w:t>
      </w:r>
    </w:p>
    <w:p>
      <w:pPr>
        <w:pStyle w:val="ListParagraph"/>
        <w:numPr>
          <w:ilvl w:val="0"/>
          <w:numId w:val="2"/>
        </w:numPr>
        <w:spacing w:after="100" w:line="360"/>
      </w:pPr>
      <w:r>
        <w:rPr>
          <w:rFonts w:ascii="Arial" w:cs="Arial" w:eastAsia="Arial" w:hAnsi="Arial"/>
          <w:sz w:val="24"/>
          <w:szCs w:val="24"/>
        </w:rPr>
        <w:t xml:space="preserve">Cost estimation tools (eMolecules / Sigma-Aldrich API pricing lookup)</w:t>
      </w:r>
    </w:p>
    <w:p>
      <w:pPr>
        <w:pStyle w:val="ListParagraph"/>
        <w:numPr>
          <w:ilvl w:val="0"/>
          <w:numId w:val="2"/>
        </w:numPr>
        <w:spacing w:after="100" w:line="360"/>
      </w:pPr>
      <w:r>
        <w:rPr>
          <w:rFonts w:ascii="Arial" w:cs="Arial" w:eastAsia="Arial" w:hAnsi="Arial"/>
          <w:sz w:val="24"/>
          <w:szCs w:val="24"/>
        </w:rPr>
        <w:t xml:space="preserve">Regulatory intelligence database (FDA approvals, clinical trial aggregation)</w:t>
      </w:r>
    </w:p>
    <w:p>
      <w:pPr>
        <w:pStyle w:val="ListParagraph"/>
        <w:numPr>
          <w:ilvl w:val="0"/>
          <w:numId w:val="2"/>
        </w:numPr>
        <w:spacing w:after="100" w:line="360"/>
      </w:pPr>
      <w:r>
        <w:rPr>
          <w:rFonts w:ascii="Arial" w:cs="Arial" w:eastAsia="Arial" w:hAnsi="Arial"/>
          <w:sz w:val="24"/>
          <w:szCs w:val="24"/>
        </w:rPr>
        <w:t xml:space="preserve">Filtering and ranking algorithms (R, Python pandas for multi-criteria selection)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Define go/no-go thresholds: net rescue &gt;1.5σ above monotherapy rescue, combined toxicity &lt;40th percentile, therapeutic index &gt;2.0.</w:t>
      </w:r>
    </w:p>
    <w:p>
      <w:pPr>
        <w:pStyle w:val="ListParagraph"/>
        <w:numPr>
          <w:ilvl w:val="0"/>
          <w:numId w:val="2"/>
        </w:numPr>
        <w:spacing w:after="100" w:line="360"/>
      </w:pPr>
      <w:r>
        <w:rPr>
          <w:rFonts w:ascii="Arial" w:cs="Arial" w:eastAsia="Arial" w:hAnsi="Arial"/>
          <w:sz w:val="24"/>
          <w:szCs w:val="24"/>
        </w:rPr>
        <w:t xml:space="preserve">Filter pairs by compound developability criteria: both compounds must have aqueous solubility &gt;10 μM, BBB penetration permissive or tunable via formulation.</w:t>
      </w:r>
    </w:p>
    <w:p>
      <w:pPr>
        <w:pStyle w:val="ListParagraph"/>
        <w:numPr>
          <w:ilvl w:val="0"/>
          <w:numId w:val="2"/>
        </w:numPr>
        <w:spacing w:after="100" w:line="360"/>
      </w:pPr>
      <w:r>
        <w:rPr>
          <w:rFonts w:ascii="Arial" w:cs="Arial" w:eastAsia="Arial" w:hAnsi="Arial"/>
          <w:sz w:val="24"/>
          <w:szCs w:val="24"/>
        </w:rPr>
        <w:t xml:space="preserve">Score manufacturability for remaining pairs (synthetic complexity 1-5 scale, estimated COGs); exclude pairs with extreme complexity or &gt;$5K/kg API cost.</w:t>
      </w:r>
    </w:p>
    <w:p>
      <w:pPr>
        <w:pStyle w:val="ListParagraph"/>
        <w:numPr>
          <w:ilvl w:val="0"/>
          <w:numId w:val="2"/>
        </w:numPr>
        <w:spacing w:after="100" w:line="360"/>
      </w:pPr>
      <w:r>
        <w:rPr>
          <w:rFonts w:ascii="Arial" w:cs="Arial" w:eastAsia="Arial" w:hAnsi="Arial"/>
          <w:sz w:val="24"/>
          <w:szCs w:val="24"/>
        </w:rPr>
        <w:t xml:space="preserve">Cross-reference regulatory precedent: prioritize pairs with mechanistically related compounds in clinical development or FDA approval history.</w:t>
      </w:r>
    </w:p>
    <w:p>
      <w:pPr>
        <w:pStyle w:val="ListParagraph"/>
        <w:numPr>
          <w:ilvl w:val="0"/>
          <w:numId w:val="2"/>
        </w:numPr>
        <w:spacing w:after="100" w:line="360"/>
      </w:pPr>
      <w:r>
        <w:rPr>
          <w:rFonts w:ascii="Arial" w:cs="Arial" w:eastAsia="Arial" w:hAnsi="Arial"/>
          <w:sz w:val="24"/>
          <w:szCs w:val="24"/>
        </w:rPr>
        <w:t xml:space="preserve">Rank surviving candidates by multi-criteria score (therapeutic index weight 0.4, safety weight 0.3, feasibility weight 0.3); top 20 advance.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Filtered pair list (top 20 candidates passing all go/no-go thresholds)</w:t>
      </w:r>
    </w:p>
    <w:p>
      <w:pPr>
        <w:pStyle w:val="ListParagraph"/>
        <w:numPr>
          <w:ilvl w:val="0"/>
          <w:numId w:val="2"/>
        </w:numPr>
        <w:spacing w:after="100" w:line="360"/>
      </w:pPr>
      <w:r>
        <w:rPr>
          <w:rFonts w:ascii="Arial" w:cs="Arial" w:eastAsia="Arial" w:hAnsi="Arial"/>
          <w:sz w:val="24"/>
          <w:szCs w:val="24"/>
        </w:rPr>
        <w:t xml:space="preserve">Therapeutic index metrics per pair (rescue magnitude, toxicity risk, net TI score)</w:t>
      </w:r>
    </w:p>
    <w:p>
      <w:pPr>
        <w:pStyle w:val="ListParagraph"/>
        <w:numPr>
          <w:ilvl w:val="0"/>
          <w:numId w:val="2"/>
        </w:numPr>
        <w:spacing w:after="100" w:line="360"/>
      </w:pPr>
      <w:r>
        <w:rPr>
          <w:rFonts w:ascii="Arial" w:cs="Arial" w:eastAsia="Arial" w:hAnsi="Arial"/>
          <w:sz w:val="24"/>
          <w:szCs w:val="24"/>
        </w:rPr>
        <w:t xml:space="preserve">Manufacturability and cost-of-goods analysis per pair</w:t>
      </w:r>
    </w:p>
    <w:p>
      <w:pPr>
        <w:pStyle w:val="ListParagraph"/>
        <w:numPr>
          <w:ilvl w:val="0"/>
          <w:numId w:val="2"/>
        </w:numPr>
        <w:spacing w:after="100" w:line="360"/>
      </w:pPr>
      <w:r>
        <w:rPr>
          <w:rFonts w:ascii="Arial" w:cs="Arial" w:eastAsia="Arial" w:hAnsi="Arial"/>
          <w:sz w:val="24"/>
          <w:szCs w:val="24"/>
        </w:rPr>
        <w:t xml:space="preserve">Regulatory precedent summary (similar approved combinations, clinical trial landscape)</w:t>
      </w:r>
    </w:p>
    <w:p>
      <w:pPr>
        <w:pStyle w:val="ListParagraph"/>
        <w:numPr>
          <w:ilvl w:val="0"/>
          <w:numId w:val="2"/>
        </w:numPr>
        <w:spacing w:after="100" w:line="360"/>
      </w:pPr>
      <w:r>
        <w:rPr>
          <w:rFonts w:ascii="Arial" w:cs="Arial" w:eastAsia="Arial" w:hAnsi="Arial"/>
          <w:sz w:val="24"/>
          <w:szCs w:val="24"/>
        </w:rPr>
        <w:t xml:space="preserve">Multi-criteria decision analysis scorecard (weighted scoring visualization per pair)</w:t>
      </w:r>
    </w:p>
    <w:p>
      <w:pPr>
        <w:pStyle w:val="ListParagraph"/>
        <w:numPr>
          <w:ilvl w:val="0"/>
          <w:numId w:val="2"/>
        </w:numPr>
        <w:spacing w:after="100" w:line="360"/>
      </w:pPr>
      <w:r>
        <w:rPr>
          <w:rFonts w:ascii="Arial" w:cs="Arial" w:eastAsia="Arial" w:hAnsi="Arial"/>
          <w:sz w:val="24"/>
          <w:szCs w:val="24"/>
        </w:rPr>
        <w:t xml:space="preserve">Executive summary: top 5 recommended combinations with rationale and next-step recommendations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Excel scorecards with conditional formatting, JSON candidate profiles, PNG multi-criteria radar charts</w:t>
      </w:r>
    </w:p>
    <w:p>
      <w:pPr>
        <w:pStyle w:val="Heading2"/>
        <w:spacing w:after="200" w:before="200"/>
      </w:pPr>
      <w:r>
        <w:rPr>
          <w:rFonts w:ascii="Arial" w:cs="Arial" w:eastAsia="Arial" w:hAnsi="Arial"/>
          <w:b/>
          <w:bCs/>
          <w:sz w:val="28"/>
          <w:szCs w:val="28"/>
        </w:rPr>
        <w:t xml:space="preserve">Stage 5: Mechanistic Rationale &amp; Target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Establish mechanistic justification for top combination candidates by mapping compound targets to CRISPR gene perturbations and validating synergistic pathways.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20 filtered combination candidates (from Stage 4)</w:t>
      </w:r>
    </w:p>
    <w:p>
      <w:pPr>
        <w:pStyle w:val="ListParagraph"/>
        <w:numPr>
          <w:ilvl w:val="0"/>
          <w:numId w:val="2"/>
        </w:numPr>
        <w:spacing w:after="100" w:line="360"/>
      </w:pPr>
      <w:r>
        <w:rPr>
          <w:rFonts w:ascii="Arial" w:cs="Arial" w:eastAsia="Arial" w:hAnsi="Arial"/>
          <w:sz w:val="24"/>
          <w:szCs w:val="24"/>
        </w:rPr>
        <w:t xml:space="preserve">Compound target annotations (primary targets, off-targets, binding affinities)</w:t>
      </w:r>
    </w:p>
    <w:p>
      <w:pPr>
        <w:pStyle w:val="ListParagraph"/>
        <w:numPr>
          <w:ilvl w:val="0"/>
          <w:numId w:val="2"/>
        </w:numPr>
        <w:spacing w:after="100" w:line="360"/>
      </w:pPr>
      <w:r>
        <w:rPr>
          <w:rFonts w:ascii="Arial" w:cs="Arial" w:eastAsia="Arial" w:hAnsi="Arial"/>
          <w:sz w:val="24"/>
          <w:szCs w:val="24"/>
        </w:rPr>
        <w:t xml:space="preserve">CRISPR knockdown phenotypes for all target genes (from Quiver atlas)</w:t>
      </w:r>
    </w:p>
    <w:p>
      <w:pPr>
        <w:pStyle w:val="ListParagraph"/>
        <w:numPr>
          <w:ilvl w:val="0"/>
          <w:numId w:val="2"/>
        </w:numPr>
        <w:spacing w:after="100" w:line="360"/>
      </w:pPr>
      <w:r>
        <w:rPr>
          <w:rFonts w:ascii="Arial" w:cs="Arial" w:eastAsia="Arial" w:hAnsi="Arial"/>
          <w:sz w:val="24"/>
          <w:szCs w:val="24"/>
        </w:rPr>
        <w:t xml:space="preserve">Pathway databases (KEGG, Reactome, BioPAN) with disease-specific subnetworks</w:t>
      </w:r>
    </w:p>
    <w:p>
      <w:pPr>
        <w:pStyle w:val="ListParagraph"/>
        <w:numPr>
          <w:ilvl w:val="0"/>
          <w:numId w:val="2"/>
        </w:numPr>
        <w:spacing w:after="100" w:line="360"/>
      </w:pPr>
      <w:r>
        <w:rPr>
          <w:rFonts w:ascii="Arial" w:cs="Arial" w:eastAsia="Arial" w:hAnsi="Arial"/>
          <w:sz w:val="24"/>
          <w:szCs w:val="24"/>
        </w:rPr>
        <w:t xml:space="preserve">Clinical genetic association data (GWAS, WES for target diseases)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ChEMBL / BindingDB target lookup (compound-protein interactions)</w:t>
      </w:r>
    </w:p>
    <w:p>
      <w:pPr>
        <w:pStyle w:val="ListParagraph"/>
        <w:numPr>
          <w:ilvl w:val="0"/>
          <w:numId w:val="2"/>
        </w:numPr>
        <w:spacing w:after="100" w:line="360"/>
      </w:pPr>
      <w:r>
        <w:rPr>
          <w:rFonts w:ascii="Arial" w:cs="Arial" w:eastAsia="Arial" w:hAnsi="Arial"/>
          <w:sz w:val="24"/>
          <w:szCs w:val="24"/>
        </w:rPr>
        <w:t xml:space="preserve">Pathway enrichment analysis (DAVID, Enrichr, Cytoscape for network visualization)</w:t>
      </w:r>
    </w:p>
    <w:p>
      <w:pPr>
        <w:pStyle w:val="ListParagraph"/>
        <w:numPr>
          <w:ilvl w:val="0"/>
          <w:numId w:val="2"/>
        </w:numPr>
        <w:spacing w:after="100" w:line="360"/>
      </w:pPr>
      <w:r>
        <w:rPr>
          <w:rFonts w:ascii="Arial" w:cs="Arial" w:eastAsia="Arial" w:hAnsi="Arial"/>
          <w:sz w:val="24"/>
          <w:szCs w:val="24"/>
        </w:rPr>
        <w:t xml:space="preserve">Network analysis tools (iGraph, igraph R package for signaling circuit identification)</w:t>
      </w:r>
    </w:p>
    <w:p>
      <w:pPr>
        <w:pStyle w:val="ListParagraph"/>
        <w:numPr>
          <w:ilvl w:val="0"/>
          <w:numId w:val="2"/>
        </w:numPr>
        <w:spacing w:after="100" w:line="360"/>
      </w:pPr>
      <w:r>
        <w:rPr>
          <w:rFonts w:ascii="Arial" w:cs="Arial" w:eastAsia="Arial" w:hAnsi="Arial"/>
          <w:sz w:val="24"/>
          <w:szCs w:val="24"/>
        </w:rPr>
        <w:t xml:space="preserve">Gene expression matching (LINCS L1000 for target engagement signatures)</w:t>
      </w:r>
    </w:p>
    <w:p>
      <w:pPr>
        <w:pStyle w:val="ListParagraph"/>
        <w:numPr>
          <w:ilvl w:val="0"/>
          <w:numId w:val="2"/>
        </w:numPr>
        <w:spacing w:after="100" w:line="360"/>
      </w:pPr>
      <w:r>
        <w:rPr>
          <w:rFonts w:ascii="Arial" w:cs="Arial" w:eastAsia="Arial" w:hAnsi="Arial"/>
          <w:sz w:val="24"/>
          <w:szCs w:val="24"/>
        </w:rPr>
        <w:t xml:space="preserve">PPI databases (STRING, BioGRID for mechanistic pathway prediction)</w:t>
      </w:r>
    </w:p>
    <w:p>
      <w:pPr>
        <w:pStyle w:val="ListParagraph"/>
        <w:numPr>
          <w:ilvl w:val="0"/>
          <w:numId w:val="2"/>
        </w:numPr>
        <w:spacing w:after="100" w:line="360"/>
      </w:pPr>
      <w:r>
        <w:rPr>
          <w:rFonts w:ascii="Arial" w:cs="Arial" w:eastAsia="Arial" w:hAnsi="Arial"/>
          <w:sz w:val="24"/>
          <w:szCs w:val="24"/>
        </w:rPr>
        <w:t xml:space="preserve">CRISPR phenotype matching (correlation analysis between gene knockdown and compound rescue)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top 20 pair, extract known primary and secondary targets from ChEMBL; cross-reference against CRISPR phenotype data.</w:t>
      </w:r>
    </w:p>
    <w:p>
      <w:pPr>
        <w:pStyle w:val="ListParagraph"/>
        <w:numPr>
          <w:ilvl w:val="0"/>
          <w:numId w:val="2"/>
        </w:numPr>
        <w:spacing w:after="100" w:line="360"/>
      </w:pPr>
      <w:r>
        <w:rPr>
          <w:rFonts w:ascii="Arial" w:cs="Arial" w:eastAsia="Arial" w:hAnsi="Arial"/>
          <w:sz w:val="24"/>
          <w:szCs w:val="24"/>
        </w:rPr>
        <w:t xml:space="preserve">Identify CRISPR knockdowns phenocopying compound rescue effects; compute correlation between knockdown phenotypes and compound-induced rescue signatures.</w:t>
      </w:r>
    </w:p>
    <w:p>
      <w:pPr>
        <w:pStyle w:val="ListParagraph"/>
        <w:numPr>
          <w:ilvl w:val="0"/>
          <w:numId w:val="2"/>
        </w:numPr>
        <w:spacing w:after="100" w:line="360"/>
      </w:pPr>
      <w:r>
        <w:rPr>
          <w:rFonts w:ascii="Arial" w:cs="Arial" w:eastAsia="Arial" w:hAnsi="Arial"/>
          <w:sz w:val="24"/>
          <w:szCs w:val="24"/>
        </w:rPr>
        <w:t xml:space="preserve">Map targets onto disease-relevant signaling networks (e.g., excitability, AIS, dendritic integration networks for neuronal disorders).</w:t>
      </w:r>
    </w:p>
    <w:p>
      <w:pPr>
        <w:pStyle w:val="ListParagraph"/>
        <w:numPr>
          <w:ilvl w:val="0"/>
          <w:numId w:val="2"/>
        </w:numPr>
        <w:spacing w:after="100" w:line="360"/>
      </w:pPr>
      <w:r>
        <w:rPr>
          <w:rFonts w:ascii="Arial" w:cs="Arial" w:eastAsia="Arial" w:hAnsi="Arial"/>
          <w:sz w:val="24"/>
          <w:szCs w:val="24"/>
        </w:rPr>
        <w:t xml:space="preserve">Assess target engagement consistency: do both compounds converge on a common pathway node or act on parallel compensatory pathways?</w:t>
      </w:r>
    </w:p>
    <w:p>
      <w:pPr>
        <w:pStyle w:val="ListParagraph"/>
        <w:numPr>
          <w:ilvl w:val="0"/>
          <w:numId w:val="2"/>
        </w:numPr>
        <w:spacing w:after="100" w:line="360"/>
      </w:pPr>
      <w:r>
        <w:rPr>
          <w:rFonts w:ascii="Arial" w:cs="Arial" w:eastAsia="Arial" w:hAnsi="Arial"/>
          <w:sz w:val="24"/>
          <w:szCs w:val="24"/>
        </w:rPr>
        <w:t xml:space="preserve">Validate synergy mechanism: is enhancement due to pathway complementarity, feedback loop breaking, or sequential dose-dependent activation?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Target annotation table for top 20 pairs (primary targets, binding affinities, off-target liabilities)</w:t>
      </w:r>
    </w:p>
    <w:p>
      <w:pPr>
        <w:pStyle w:val="ListParagraph"/>
        <w:numPr>
          <w:ilvl w:val="0"/>
          <w:numId w:val="2"/>
        </w:numPr>
        <w:spacing w:after="100" w:line="360"/>
      </w:pPr>
      <w:r>
        <w:rPr>
          <w:rFonts w:ascii="Arial" w:cs="Arial" w:eastAsia="Arial" w:hAnsi="Arial"/>
          <w:sz w:val="24"/>
          <w:szCs w:val="24"/>
        </w:rPr>
        <w:t xml:space="preserve">Mechanistic rationale summary per pair (pathway targets, network position, synergy mechanism)</w:t>
      </w:r>
    </w:p>
    <w:p>
      <w:pPr>
        <w:pStyle w:val="ListParagraph"/>
        <w:numPr>
          <w:ilvl w:val="0"/>
          <w:numId w:val="2"/>
        </w:numPr>
        <w:spacing w:after="100" w:line="360"/>
      </w:pPr>
      <w:r>
        <w:rPr>
          <w:rFonts w:ascii="Arial" w:cs="Arial" w:eastAsia="Arial" w:hAnsi="Arial"/>
          <w:sz w:val="24"/>
          <w:szCs w:val="24"/>
        </w:rPr>
        <w:t xml:space="preserve">CRISPR validation metrics (correlation between gene knockdown and compound rescue phenotypes)</w:t>
      </w:r>
    </w:p>
    <w:p>
      <w:pPr>
        <w:pStyle w:val="ListParagraph"/>
        <w:numPr>
          <w:ilvl w:val="0"/>
          <w:numId w:val="2"/>
        </w:numPr>
        <w:spacing w:after="100" w:line="360"/>
      </w:pPr>
      <w:r>
        <w:rPr>
          <w:rFonts w:ascii="Arial" w:cs="Arial" w:eastAsia="Arial" w:hAnsi="Arial"/>
          <w:sz w:val="24"/>
          <w:szCs w:val="24"/>
        </w:rPr>
        <w:t xml:space="preserve">Pathway network diagrams showing target positions relative to disease-relevant signaling circuits</w:t>
      </w:r>
    </w:p>
    <w:p>
      <w:pPr>
        <w:pStyle w:val="ListParagraph"/>
        <w:numPr>
          <w:ilvl w:val="0"/>
          <w:numId w:val="2"/>
        </w:numPr>
        <w:spacing w:after="100" w:line="360"/>
      </w:pPr>
      <w:r>
        <w:rPr>
          <w:rFonts w:ascii="Arial" w:cs="Arial" w:eastAsia="Arial" w:hAnsi="Arial"/>
          <w:sz w:val="24"/>
          <w:szCs w:val="24"/>
        </w:rPr>
        <w:t xml:space="preserve">Clinical genetic validation (GWAS/WES hit enrichment in target pathways)</w:t>
      </w:r>
    </w:p>
    <w:p>
      <w:pPr>
        <w:pStyle w:val="ListParagraph"/>
        <w:numPr>
          <w:ilvl w:val="0"/>
          <w:numId w:val="2"/>
        </w:numPr>
        <w:spacing w:after="100" w:line="360"/>
      </w:pPr>
      <w:r>
        <w:rPr>
          <w:rFonts w:ascii="Arial" w:cs="Arial" w:eastAsia="Arial" w:hAnsi="Arial"/>
          <w:sz w:val="24"/>
          <w:szCs w:val="24"/>
        </w:rPr>
        <w:t xml:space="preserve">Mechanistic confidence score per pair (high/medium/low based on target validation evidence strength)</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JSON mechanistic profiles per pair, CSV target annotations, PNG pathway network diagrams with highlighted target nodes</w:t>
      </w:r>
    </w:p>
    <w:p>
      <w:pPr>
        <w:pStyle w:val="Heading2"/>
        <w:spacing w:after="200" w:before="200"/>
      </w:pPr>
      <w:r>
        <w:rPr>
          <w:rFonts w:ascii="Arial" w:cs="Arial" w:eastAsia="Arial" w:hAnsi="Arial"/>
          <w:b/>
          <w:bCs/>
          <w:sz w:val="28"/>
          <w:szCs w:val="28"/>
        </w:rPr>
        <w:t xml:space="preserve">Stage 6: Final Ranking &amp; Experimental Validation Plan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Generate definitive ranked list of top combination candidates with detailed experimental validation strategies for IND-enabling studies and proof-of-concept in vivo confirmation.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Mechanistically validated top 20 candidates (from Stage 5)</w:t>
      </w:r>
    </w:p>
    <w:p>
      <w:pPr>
        <w:pStyle w:val="ListParagraph"/>
        <w:numPr>
          <w:ilvl w:val="0"/>
          <w:numId w:val="2"/>
        </w:numPr>
        <w:spacing w:after="100" w:line="360"/>
      </w:pPr>
      <w:r>
        <w:rPr>
          <w:rFonts w:ascii="Arial" w:cs="Arial" w:eastAsia="Arial" w:hAnsi="Arial"/>
          <w:sz w:val="24"/>
          <w:szCs w:val="24"/>
        </w:rPr>
        <w:t xml:space="preserve">Historical compound development timelines and success rates (comparable programs)</w:t>
      </w:r>
    </w:p>
    <w:p>
      <w:pPr>
        <w:pStyle w:val="ListParagraph"/>
        <w:numPr>
          <w:ilvl w:val="0"/>
          <w:numId w:val="2"/>
        </w:numPr>
        <w:spacing w:after="100" w:line="360"/>
      </w:pPr>
      <w:r>
        <w:rPr>
          <w:rFonts w:ascii="Arial" w:cs="Arial" w:eastAsia="Arial" w:hAnsi="Arial"/>
          <w:sz w:val="24"/>
          <w:szCs w:val="24"/>
        </w:rPr>
        <w:t xml:space="preserve">Preclinical study design templates (dose-range finding, toxicology, PK, ex vivo efficacy)</w:t>
      </w:r>
    </w:p>
    <w:p>
      <w:pPr>
        <w:pStyle w:val="ListParagraph"/>
        <w:numPr>
          <w:ilvl w:val="0"/>
          <w:numId w:val="2"/>
        </w:numPr>
        <w:spacing w:after="100" w:line="360"/>
      </w:pPr>
      <w:r>
        <w:rPr>
          <w:rFonts w:ascii="Arial" w:cs="Arial" w:eastAsia="Arial" w:hAnsi="Arial"/>
          <w:sz w:val="24"/>
          <w:szCs w:val="24"/>
        </w:rPr>
        <w:t xml:space="preserve">In vivo disease model specifications (available rodent models, genetic backgrounds, readout metrics)</w:t>
      </w:r>
    </w:p>
    <w:p>
      <w:pPr>
        <w:pStyle w:val="ListParagraph"/>
        <w:numPr>
          <w:ilvl w:val="0"/>
          <w:numId w:val="2"/>
        </w:numPr>
        <w:spacing w:after="100" w:line="360"/>
      </w:pPr>
      <w:r>
        <w:rPr>
          <w:rFonts w:ascii="Arial" w:cs="Arial" w:eastAsia="Arial" w:hAnsi="Arial"/>
          <w:sz w:val="24"/>
          <w:szCs w:val="24"/>
        </w:rPr>
        <w:t xml:space="preserve">Regulatory guidance documents (FDA guidance for combination drug development, IND requirements)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Ranking algorithms combining mechanistic, toxicological, and feasibility scores</w:t>
      </w:r>
    </w:p>
    <w:p>
      <w:pPr>
        <w:pStyle w:val="ListParagraph"/>
        <w:numPr>
          <w:ilvl w:val="0"/>
          <w:numId w:val="2"/>
        </w:numPr>
        <w:spacing w:after="100" w:line="360"/>
      </w:pPr>
      <w:r>
        <w:rPr>
          <w:rFonts w:ascii="Arial" w:cs="Arial" w:eastAsia="Arial" w:hAnsi="Arial"/>
          <w:sz w:val="24"/>
          <w:szCs w:val="24"/>
        </w:rPr>
        <w:t xml:space="preserve">Experimental design planning software (JMP, Minitab for DOE)</w:t>
      </w:r>
    </w:p>
    <w:p>
      <w:pPr>
        <w:pStyle w:val="ListParagraph"/>
        <w:numPr>
          <w:ilvl w:val="0"/>
          <w:numId w:val="2"/>
        </w:numPr>
        <w:spacing w:after="100" w:line="360"/>
      </w:pPr>
      <w:r>
        <w:rPr>
          <w:rFonts w:ascii="Arial" w:cs="Arial" w:eastAsia="Arial" w:hAnsi="Arial"/>
          <w:sz w:val="24"/>
          <w:szCs w:val="24"/>
        </w:rPr>
        <w:t xml:space="preserve">Regulatory intelligence database (FDA precedent for similar combinations)</w:t>
      </w:r>
    </w:p>
    <w:p>
      <w:pPr>
        <w:pStyle w:val="ListParagraph"/>
        <w:numPr>
          <w:ilvl w:val="0"/>
          <w:numId w:val="2"/>
        </w:numPr>
        <w:spacing w:after="100" w:line="360"/>
      </w:pPr>
      <w:r>
        <w:rPr>
          <w:rFonts w:ascii="Arial" w:cs="Arial" w:eastAsia="Arial" w:hAnsi="Arial"/>
          <w:sz w:val="24"/>
          <w:szCs w:val="24"/>
        </w:rPr>
        <w:t xml:space="preserve">Project management and timeline tools (Gantt chart generation)</w:t>
      </w:r>
    </w:p>
    <w:p>
      <w:pPr>
        <w:pStyle w:val="ListParagraph"/>
        <w:numPr>
          <w:ilvl w:val="0"/>
          <w:numId w:val="2"/>
        </w:numPr>
        <w:spacing w:after="100" w:line="360"/>
      </w:pPr>
      <w:r>
        <w:rPr>
          <w:rFonts w:ascii="Arial" w:cs="Arial" w:eastAsia="Arial" w:hAnsi="Arial"/>
          <w:sz w:val="24"/>
          <w:szCs w:val="24"/>
        </w:rPr>
        <w:t xml:space="preserve">Cost estimation for preclinical studies (GLP toxicology, PK studies, efficacy modeling)</w:t>
      </w:r>
    </w:p>
    <w:p>
      <w:pPr>
        <w:pStyle w:val="ListParagraph"/>
        <w:numPr>
          <w:ilvl w:val="0"/>
          <w:numId w:val="2"/>
        </w:numPr>
        <w:spacing w:after="100" w:line="360"/>
      </w:pPr>
      <w:r>
        <w:rPr>
          <w:rFonts w:ascii="Arial" w:cs="Arial" w:eastAsia="Arial" w:hAnsi="Arial"/>
          <w:sz w:val="24"/>
          <w:szCs w:val="24"/>
        </w:rPr>
        <w:t xml:space="preserve">Visualization tools for final candidate profiles and decision matrices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Rank top 20 candidates by composite score: mechanistic confidence (0-40 points), therapeutic index (0-35 points), regulatory feasibility (0-25 points).</w:t>
      </w:r>
    </w:p>
    <w:p>
      <w:pPr>
        <w:pStyle w:val="ListParagraph"/>
        <w:numPr>
          <w:ilvl w:val="0"/>
          <w:numId w:val="2"/>
        </w:numPr>
        <w:spacing w:after="100" w:line="360"/>
      </w:pPr>
      <w:r>
        <w:rPr>
          <w:rFonts w:ascii="Arial" w:cs="Arial" w:eastAsia="Arial" w:hAnsi="Arial"/>
          <w:sz w:val="24"/>
          <w:szCs w:val="24"/>
        </w:rPr>
        <w:t xml:space="preserve">For top 5 ranked pairs, design minimum-viable ex vivo validation experiments: dose-response curves in patient-derived iPSC neurons, wash-out kinetics, reversibility.</w:t>
      </w:r>
    </w:p>
    <w:p>
      <w:pPr>
        <w:pStyle w:val="ListParagraph"/>
        <w:numPr>
          <w:ilvl w:val="0"/>
          <w:numId w:val="2"/>
        </w:numPr>
        <w:spacing w:after="100" w:line="360"/>
      </w:pPr>
      <w:r>
        <w:rPr>
          <w:rFonts w:ascii="Arial" w:cs="Arial" w:eastAsia="Arial" w:hAnsi="Arial"/>
          <w:sz w:val="24"/>
          <w:szCs w:val="24"/>
        </w:rPr>
        <w:t xml:space="preserve">Recommend in vivo model selection per indication (disease-relevant mouse models, endpoint selection, sample size estimation for 80% power).</w:t>
      </w:r>
    </w:p>
    <w:p>
      <w:pPr>
        <w:pStyle w:val="ListParagraph"/>
        <w:numPr>
          <w:ilvl w:val="0"/>
          <w:numId w:val="2"/>
        </w:numPr>
        <w:spacing w:after="100" w:line="360"/>
      </w:pPr>
      <w:r>
        <w:rPr>
          <w:rFonts w:ascii="Arial" w:cs="Arial" w:eastAsia="Arial" w:hAnsi="Arial"/>
          <w:sz w:val="24"/>
          <w:szCs w:val="24"/>
        </w:rPr>
        <w:t xml:space="preserve">Outline IND-enabling package requirements per pair: GLP single-dose/repeat-dose toxicology, PK/bioavailability, genotoxicity, developmental toxicity if applicable.</w:t>
      </w:r>
    </w:p>
    <w:p>
      <w:pPr>
        <w:pStyle w:val="ListParagraph"/>
        <w:numPr>
          <w:ilvl w:val="0"/>
          <w:numId w:val="2"/>
        </w:numPr>
        <w:spacing w:after="100" w:line="360"/>
      </w:pPr>
      <w:r>
        <w:rPr>
          <w:rFonts w:ascii="Arial" w:cs="Arial" w:eastAsia="Arial" w:hAnsi="Arial"/>
          <w:sz w:val="24"/>
          <w:szCs w:val="24"/>
        </w:rPr>
        <w:t xml:space="preserve">Generate regulatory strategy per pair: probability-adjusted timeline (discovery→IND ~24 months), risk factors, go/no-go decision milestones.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ranked list of top 10 combination candidates (composite score, ranked rationale)</w:t>
      </w:r>
    </w:p>
    <w:p>
      <w:pPr>
        <w:pStyle w:val="ListParagraph"/>
        <w:numPr>
          <w:ilvl w:val="0"/>
          <w:numId w:val="2"/>
        </w:numPr>
        <w:spacing w:after="100" w:line="360"/>
      </w:pPr>
      <w:r>
        <w:rPr>
          <w:rFonts w:ascii="Arial" w:cs="Arial" w:eastAsia="Arial" w:hAnsi="Arial"/>
          <w:sz w:val="24"/>
          <w:szCs w:val="24"/>
        </w:rPr>
        <w:t xml:space="preserve">Ex vivo validation experiment protocols for top 5 pairs (detailed methods, expected readouts, success criteria)</w:t>
      </w:r>
    </w:p>
    <w:p>
      <w:pPr>
        <w:pStyle w:val="ListParagraph"/>
        <w:numPr>
          <w:ilvl w:val="0"/>
          <w:numId w:val="2"/>
        </w:numPr>
        <w:spacing w:after="100" w:line="360"/>
      </w:pPr>
      <w:r>
        <w:rPr>
          <w:rFonts w:ascii="Arial" w:cs="Arial" w:eastAsia="Arial" w:hAnsi="Arial"/>
          <w:sz w:val="24"/>
          <w:szCs w:val="24"/>
        </w:rPr>
        <w:t xml:space="preserve">In vivo study design recommendations per indication (model selection, dosing schedule, primary/secondary endpoints, sample sizes)</w:t>
      </w:r>
    </w:p>
    <w:p>
      <w:pPr>
        <w:pStyle w:val="ListParagraph"/>
        <w:numPr>
          <w:ilvl w:val="0"/>
          <w:numId w:val="2"/>
        </w:numPr>
        <w:spacing w:after="100" w:line="360"/>
      </w:pPr>
      <w:r>
        <w:rPr>
          <w:rFonts w:ascii="Arial" w:cs="Arial" w:eastAsia="Arial" w:hAnsi="Arial"/>
          <w:sz w:val="24"/>
          <w:szCs w:val="24"/>
        </w:rPr>
        <w:t xml:space="preserve">IND-enabling study plan per pair (toxicology, PK, genotoxicity battery, estimated cost and timeline)</w:t>
      </w:r>
    </w:p>
    <w:p>
      <w:pPr>
        <w:pStyle w:val="ListParagraph"/>
        <w:numPr>
          <w:ilvl w:val="0"/>
          <w:numId w:val="2"/>
        </w:numPr>
        <w:spacing w:after="100" w:line="360"/>
      </w:pPr>
      <w:r>
        <w:rPr>
          <w:rFonts w:ascii="Arial" w:cs="Arial" w:eastAsia="Arial" w:hAnsi="Arial"/>
          <w:sz w:val="24"/>
          <w:szCs w:val="24"/>
        </w:rPr>
        <w:t xml:space="preserve">Regulatory risk assessment and timeline projections (go/no-go criteria, anticipated regulatory questions)</w:t>
      </w:r>
    </w:p>
    <w:p>
      <w:pPr>
        <w:pStyle w:val="ListParagraph"/>
        <w:numPr>
          <w:ilvl w:val="0"/>
          <w:numId w:val="2"/>
        </w:numPr>
        <w:spacing w:after="100" w:line="360"/>
      </w:pPr>
      <w:r>
        <w:rPr>
          <w:rFonts w:ascii="Arial" w:cs="Arial" w:eastAsia="Arial" w:hAnsi="Arial"/>
          <w:sz w:val="24"/>
          <w:szCs w:val="24"/>
        </w:rPr>
        <w:t xml:space="preserve">Executive summary table: top 5 recommended pairs with composite ranking, key validation milestones, and resource requirements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CSV table with multi-column scoring, JSON detailed candidate profiles with study plans, PNG timeline Gantt charts and decision trees</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EP CRISPR Atlas (primary feature source)</w:t>
      </w:r>
    </w:p>
    <w:p>
      <w:pPr>
        <w:pStyle w:val="ListParagraph"/>
        <w:numPr>
          <w:ilvl w:val="0"/>
          <w:numId w:val="2"/>
        </w:numPr>
        <w:spacing w:after="100" w:line="360"/>
      </w:pPr>
      <w:r>
        <w:rPr>
          <w:rFonts w:ascii="Arial" w:cs="Arial" w:eastAsia="Arial" w:hAnsi="Arial"/>
          <w:sz w:val="24"/>
          <w:szCs w:val="24"/>
        </w:rPr>
        <w:t xml:space="preserve">ChEMBL / PubChem (structural and toxicity annotations)</w:t>
      </w:r>
    </w:p>
    <w:p>
      <w:pPr>
        <w:pStyle w:val="ListParagraph"/>
        <w:numPr>
          <w:ilvl w:val="0"/>
          <w:numId w:val="2"/>
        </w:numPr>
        <w:spacing w:after="100" w:line="360"/>
      </w:pPr>
      <w:r>
        <w:rPr>
          <w:rFonts w:ascii="Arial" w:cs="Arial" w:eastAsia="Arial" w:hAnsi="Arial"/>
          <w:sz w:val="24"/>
          <w:szCs w:val="24"/>
        </w:rPr>
        <w:t xml:space="preserve">DrugBank (pharmacokinetic/pharmacodynamic data)</w:t>
      </w:r>
    </w:p>
    <w:p>
      <w:pPr>
        <w:pStyle w:val="ListParagraph"/>
        <w:numPr>
          <w:ilvl w:val="0"/>
          <w:numId w:val="2"/>
        </w:numPr>
        <w:spacing w:after="100" w:line="360"/>
      </w:pPr>
      <w:r>
        <w:rPr>
          <w:rFonts w:ascii="Arial" w:cs="Arial" w:eastAsia="Arial" w:hAnsi="Arial"/>
          <w:sz w:val="24"/>
          <w:szCs w:val="24"/>
        </w:rPr>
        <w:t xml:space="preserve">Schrödinger / OpenBabel (molecular similarity calculations)</w:t>
      </w:r>
    </w:p>
    <w:p>
      <w:pPr>
        <w:pStyle w:val="ListParagraph"/>
        <w:numPr>
          <w:ilvl w:val="0"/>
          <w:numId w:val="2"/>
        </w:numPr>
        <w:spacing w:after="100" w:line="360"/>
      </w:pPr>
      <w:r>
        <w:rPr>
          <w:rFonts w:ascii="Arial" w:cs="Arial" w:eastAsia="Arial" w:hAnsi="Arial"/>
          <w:sz w:val="24"/>
          <w:szCs w:val="24"/>
        </w:rPr>
        <w:t xml:space="preserve">UMAP / t-SNE (dimensionality reduction for feature clustering)</w:t>
      </w:r>
    </w:p>
    <w:p>
      <w:pPr>
        <w:pStyle w:val="ListParagraph"/>
        <w:numPr>
          <w:ilvl w:val="0"/>
          <w:numId w:val="2"/>
        </w:numPr>
        <w:spacing w:after="100" w:line="360"/>
      </w:pPr>
      <w:r>
        <w:rPr>
          <w:rFonts w:ascii="Arial" w:cs="Arial" w:eastAsia="Arial" w:hAnsi="Arial"/>
          <w:sz w:val="24"/>
          <w:szCs w:val="24"/>
        </w:rPr>
        <w:t xml:space="preserve">Broad LINCS / GEO (comparative toxicity signatures)</w:t>
      </w:r>
    </w:p>
    <w:p>
      <w:pPr>
        <w:pStyle w:val="ListParagraph"/>
        <w:numPr>
          <w:ilvl w:val="0"/>
          <w:numId w:val="2"/>
        </w:numPr>
        <w:spacing w:after="100" w:line="360"/>
      </w:pPr>
      <w:r>
        <w:rPr>
          <w:rFonts w:ascii="Arial" w:cs="Arial" w:eastAsia="Arial" w:hAnsi="Arial"/>
          <w:sz w:val="24"/>
          <w:szCs w:val="24"/>
        </w:rPr>
        <w:t xml:space="preserve">SynergyFinder / Combenefit (Bliss, Loewe, ZIP synergy models)</w:t>
      </w:r>
    </w:p>
    <w:p>
      <w:pPr>
        <w:pStyle w:val="ListParagraph"/>
        <w:numPr>
          <w:ilvl w:val="0"/>
          <w:numId w:val="2"/>
        </w:numPr>
        <w:spacing w:after="100" w:line="360"/>
      </w:pPr>
      <w:r>
        <w:rPr>
          <w:rFonts w:ascii="Arial" w:cs="Arial" w:eastAsia="Arial" w:hAnsi="Arial"/>
          <w:sz w:val="24"/>
          <w:szCs w:val="24"/>
        </w:rPr>
        <w:t xml:space="preserve">Custom R/Python synergy quantification scripts (additivity testing across feature subsets)</w:t>
      </w:r>
    </w:p>
    <w:p>
      <w:pPr>
        <w:pStyle w:val="ListParagraph"/>
        <w:numPr>
          <w:ilvl w:val="0"/>
          <w:numId w:val="2"/>
        </w:numPr>
        <w:spacing w:after="100" w:line="360"/>
      </w:pPr>
      <w:r>
        <w:rPr>
          <w:rFonts w:ascii="Arial" w:cs="Arial" w:eastAsia="Arial" w:hAnsi="Arial"/>
          <w:sz w:val="24"/>
          <w:szCs w:val="24"/>
        </w:rPr>
        <w:t xml:space="preserve">Matrix algebra libraries (NumPy, Matrix Market format)</w:t>
      </w:r>
    </w:p>
    <w:p>
      <w:pPr>
        <w:pStyle w:val="ListParagraph"/>
        <w:numPr>
          <w:ilvl w:val="0"/>
          <w:numId w:val="2"/>
        </w:numPr>
        <w:spacing w:after="100" w:line="360"/>
      </w:pPr>
      <w:r>
        <w:rPr>
          <w:rFonts w:ascii="Arial" w:cs="Arial" w:eastAsia="Arial" w:hAnsi="Arial"/>
          <w:sz w:val="24"/>
          <w:szCs w:val="24"/>
        </w:rPr>
        <w:t xml:space="preserve">Pathway analysis tools (DAVID, Enrichr for target pathway overlap)</w:t>
      </w:r>
    </w:p>
    <w:p>
      <w:pPr>
        <w:pStyle w:val="ListParagraph"/>
        <w:numPr>
          <w:ilvl w:val="0"/>
          <w:numId w:val="2"/>
        </w:numPr>
        <w:spacing w:after="100" w:line="360"/>
      </w:pPr>
      <w:r>
        <w:rPr>
          <w:rFonts w:ascii="Arial" w:cs="Arial" w:eastAsia="Arial" w:hAnsi="Arial"/>
          <w:sz w:val="24"/>
          <w:szCs w:val="24"/>
        </w:rPr>
        <w:t xml:space="preserve">Statistical testing suite (permutation tests for synergy significance)</w:t>
      </w:r>
    </w:p>
    <w:p>
      <w:pPr>
        <w:pStyle w:val="ListParagraph"/>
        <w:numPr>
          <w:ilvl w:val="0"/>
          <w:numId w:val="2"/>
        </w:numPr>
        <w:spacing w:after="100" w:line="360"/>
      </w:pPr>
      <w:r>
        <w:rPr>
          <w:rFonts w:ascii="Arial" w:cs="Arial" w:eastAsia="Arial" w:hAnsi="Arial"/>
          <w:sz w:val="24"/>
          <w:szCs w:val="24"/>
        </w:rPr>
        <w:t xml:space="preserve">Visualization tools (ComplexHeatmap, ggplot2 for synergy matrix rendering)</w:t>
      </w:r>
    </w:p>
    <w:p>
      <w:pPr>
        <w:pStyle w:val="ListParagraph"/>
        <w:numPr>
          <w:ilvl w:val="0"/>
          <w:numId w:val="2"/>
        </w:numPr>
        <w:spacing w:after="100" w:line="360"/>
      </w:pPr>
      <w:r>
        <w:rPr>
          <w:rFonts w:ascii="Arial" w:cs="Arial" w:eastAsia="Arial" w:hAnsi="Arial"/>
          <w:sz w:val="24"/>
          <w:szCs w:val="24"/>
        </w:rPr>
        <w:t xml:space="preserve">Custom toxicity subtraction algorithm (vector subtraction in feature space)</w:t>
      </w:r>
    </w:p>
    <w:p>
      <w:pPr>
        <w:pStyle w:val="ListParagraph"/>
        <w:numPr>
          <w:ilvl w:val="0"/>
          <w:numId w:val="2"/>
        </w:numPr>
        <w:spacing w:after="100" w:line="360"/>
      </w:pPr>
      <w:r>
        <w:rPr>
          <w:rFonts w:ascii="Arial" w:cs="Arial" w:eastAsia="Arial" w:hAnsi="Arial"/>
          <w:sz w:val="24"/>
          <w:szCs w:val="24"/>
        </w:rPr>
        <w:t xml:space="preserve">eTOX / ADMETlab (tissue-specific toxicity prediction)</w:t>
      </w:r>
    </w:p>
    <w:p>
      <w:pPr>
        <w:pStyle w:val="ListParagraph"/>
        <w:numPr>
          <w:ilvl w:val="0"/>
          <w:numId w:val="2"/>
        </w:numPr>
        <w:spacing w:after="100" w:line="360"/>
      </w:pPr>
      <w:r>
        <w:rPr>
          <w:rFonts w:ascii="Arial" w:cs="Arial" w:eastAsia="Arial" w:hAnsi="Arial"/>
          <w:sz w:val="24"/>
          <w:szCs w:val="24"/>
        </w:rPr>
        <w:t xml:space="preserve">Cellular safety assay databases (viability, ROS, apoptosis, autophagy markers)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2026-03-04T17:27:59.135Z</dcterms:created>
  <dcterms:modified xsi:type="dcterms:W3CDTF">2026-03-04T17:27:59.136Z</dcterms:modified>
</cp:coreProperties>
</file>

<file path=docProps/custom.xml><?xml version="1.0" encoding="utf-8"?>
<Properties xmlns="http://schemas.openxmlformats.org/officeDocument/2006/custom-properties" xmlns:vt="http://schemas.openxmlformats.org/officeDocument/2006/docPropsVTypes"/>
</file>