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Next Experiments for Top Candidates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next experiments required to confirm top 3 ranked drugs.</w:t>
      </w:r>
    </w:p>
    <w:p>
      <w:pPr>
        <w:spacing w:after="200" w:line="360"/>
      </w:pPr>
      <w:r>
        <w:rPr>
          <w:rFonts w:ascii="Arial" w:cs="Arial" w:eastAsia="Arial" w:hAnsi="Arial"/>
          <w:sz w:val="24"/>
          <w:szCs w:val="24"/>
        </w:rPr>
        <w:t xml:space="preserve">This pipeline defines the minimum-viable experimental portfolio required to confirm efficacy, establish mechanism, and de-risk the top 3 composite-ranked candidates prior to IND-enabling studies. The workflow integrates ex vivo validation protocols, in vivo proof-of-concept design recommendations, biomarker selection for translational bridging, and go/no-go decision criteria aligned with regulatory expectations.</w:t>
      </w:r>
    </w:p>
    <w:p>
      <w:pPr>
        <w:spacing w:after="200" w:line="360"/>
      </w:pPr>
      <w:r>
        <w:rPr>
          <w:rFonts w:ascii="Arial" w:cs="Arial" w:eastAsia="Arial" w:hAnsi="Arial"/>
          <w:sz w:val="24"/>
          <w:szCs w:val="24"/>
        </w:rPr>
        <w:t xml:space="preserve">By mapping computational predictions against empirical validation pathways, the pipeline ensures that subsequent experiments specifically address lingering uncertainty and reduce probability of clinical failure. Experimental design balances statistical rigor (adequate sample sizes, appropriate controls) against cost and timeline constraints, enabling efficient progression toward IND-enabling studies.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defines the minimum-viable experimental portfolio required to confirm efficacy, establish mechanism, and de-risk the top 3 composite-ranked candidates prior to IND-enabling studies. The workflow integrates ex vivo validation protocols, in vivo proof-of-concept design recommendations, biomarker selection for translational bridging, and go/no-go decision criteria aligned with regulatory expectations.</w:t>
      </w:r>
    </w:p>
    <w:p>
      <w:pPr>
        <w:spacing w:after="200" w:line="360"/>
      </w:pPr>
      <w:r>
        <w:rPr>
          <w:rFonts w:ascii="Arial" w:cs="Arial" w:eastAsia="Arial" w:hAnsi="Arial"/>
          <w:sz w:val="24"/>
          <w:szCs w:val="24"/>
        </w:rPr>
        <w:t xml:space="preserve">By mapping computational predictions against empirical validation pathways, the pipeline ensures that subsequent experiments specifically address lingering uncertainty and reduce probability of clinical failure. Experimental design balances statistical rigor (adequate sample sizes, appropriate controls) against cost and timeline constraints, enabling efficient progression toward IND-enabling studies.</w:t>
      </w:r>
    </w:p>
    <w:p>
      <w:pPr>
        <w:pStyle w:val="Heading2"/>
        <w:spacing w:after="200" w:before="200"/>
      </w:pPr>
      <w:r>
        <w:rPr>
          <w:rFonts w:ascii="Arial" w:cs="Arial" w:eastAsia="Arial" w:hAnsi="Arial"/>
          <w:b/>
          <w:bCs/>
          <w:sz w:val="28"/>
          <w:szCs w:val="28"/>
        </w:rPr>
        <w:t xml:space="preserve">Stage 1: Ex Vivo Efficacy Confirmation in Patient-Derived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top 3 candidates' rescue efficacy in patient-derived iPSC neurons or primary neuronal cultures, establishing translation from computational atlas to cellular models with authentic disease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ranked drug candidates (from Stage 3, Pipeline 271)</w:t>
      </w:r>
    </w:p>
    <w:p>
      <w:pPr>
        <w:pStyle w:val="ListParagraph"/>
        <w:numPr>
          <w:ilvl w:val="0"/>
          <w:numId w:val="2"/>
        </w:numPr>
        <w:spacing w:after="100" w:line="360"/>
      </w:pPr>
      <w:r>
        <w:rPr>
          <w:rFonts w:ascii="Arial" w:cs="Arial" w:eastAsia="Arial" w:hAnsi="Arial"/>
          <w:sz w:val="24"/>
          <w:szCs w:val="24"/>
        </w:rPr>
        <w:t xml:space="preserve">Patient-derived iPSC lines (N=5-10 disease patients + N=3-5 healthy controls, established lines with characterization)</w:t>
      </w:r>
    </w:p>
    <w:p>
      <w:pPr>
        <w:pStyle w:val="ListParagraph"/>
        <w:numPr>
          <w:ilvl w:val="0"/>
          <w:numId w:val="2"/>
        </w:numPr>
        <w:spacing w:after="100" w:line="360"/>
      </w:pPr>
      <w:r>
        <w:rPr>
          <w:rFonts w:ascii="Arial" w:cs="Arial" w:eastAsia="Arial" w:hAnsi="Arial"/>
          <w:sz w:val="24"/>
          <w:szCs w:val="24"/>
        </w:rPr>
        <w:t xml:space="preserve">Disease-specific neuronal differentiation protocols (validated for reproducibility, phenotype stability)</w:t>
      </w:r>
    </w:p>
    <w:p>
      <w:pPr>
        <w:pStyle w:val="ListParagraph"/>
        <w:numPr>
          <w:ilvl w:val="0"/>
          <w:numId w:val="2"/>
        </w:numPr>
        <w:spacing w:after="100" w:line="360"/>
      </w:pPr>
      <w:r>
        <w:rPr>
          <w:rFonts w:ascii="Arial" w:cs="Arial" w:eastAsia="Arial" w:hAnsi="Arial"/>
          <w:sz w:val="24"/>
          <w:szCs w:val="24"/>
        </w:rPr>
        <w:t xml:space="preserve">Compound stocks and formulation specifications (purity, concentration verification, storage protocols)</w:t>
      </w:r>
    </w:p>
    <w:p>
      <w:pPr>
        <w:pStyle w:val="ListParagraph"/>
        <w:numPr>
          <w:ilvl w:val="0"/>
          <w:numId w:val="2"/>
        </w:numPr>
        <w:spacing w:after="100" w:line="360"/>
      </w:pPr>
      <w:r>
        <w:rPr>
          <w:rFonts w:ascii="Arial" w:cs="Arial" w:eastAsia="Arial" w:hAnsi="Arial"/>
          <w:sz w:val="24"/>
          <w:szCs w:val="24"/>
        </w:rPr>
        <w:t xml:space="preserve">Baseline EP feature definitions (same 500+ features used in computational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Patch-clamp electrophysiology equipment (automated platforms for high-throughput: Sophion, HEKA systems)</w:t>
      </w:r>
    </w:p>
    <w:p>
      <w:pPr>
        <w:pStyle w:val="ListParagraph"/>
        <w:numPr>
          <w:ilvl w:val="0"/>
          <w:numId w:val="2"/>
        </w:numPr>
        <w:spacing w:after="100" w:line="360"/>
      </w:pPr>
      <w:r>
        <w:rPr>
          <w:rFonts w:ascii="Arial" w:cs="Arial" w:eastAsia="Arial" w:hAnsi="Arial"/>
          <w:sz w:val="24"/>
          <w:szCs w:val="24"/>
        </w:rPr>
        <w:t xml:space="preserve">Multi-electrode arrays (MEA) for population-level recording (60-256 channel systems)</w:t>
      </w:r>
    </w:p>
    <w:p>
      <w:pPr>
        <w:pStyle w:val="ListParagraph"/>
        <w:numPr>
          <w:ilvl w:val="0"/>
          <w:numId w:val="2"/>
        </w:numPr>
        <w:spacing w:after="100" w:line="360"/>
      </w:pPr>
      <w:r>
        <w:rPr>
          <w:rFonts w:ascii="Arial" w:cs="Arial" w:eastAsia="Arial" w:hAnsi="Arial"/>
          <w:sz w:val="24"/>
          <w:szCs w:val="24"/>
        </w:rPr>
        <w:t xml:space="preserve">Calcium imaging platforms (automated fluorescence microscopy, ratiometric indicators)</w:t>
      </w:r>
    </w:p>
    <w:p>
      <w:pPr>
        <w:pStyle w:val="ListParagraph"/>
        <w:numPr>
          <w:ilvl w:val="0"/>
          <w:numId w:val="2"/>
        </w:numPr>
        <w:spacing w:after="100" w:line="360"/>
      </w:pPr>
      <w:r>
        <w:rPr>
          <w:rFonts w:ascii="Arial" w:cs="Arial" w:eastAsia="Arial" w:hAnsi="Arial"/>
          <w:sz w:val="24"/>
          <w:szCs w:val="24"/>
        </w:rPr>
        <w:t xml:space="preserve">iPSC banking and characterization infrastructure (genotyping, RNA-seq, flow cytometry)</w:t>
      </w:r>
    </w:p>
    <w:p>
      <w:pPr>
        <w:pStyle w:val="ListParagraph"/>
        <w:numPr>
          <w:ilvl w:val="0"/>
          <w:numId w:val="2"/>
        </w:numPr>
        <w:spacing w:after="100" w:line="360"/>
      </w:pPr>
      <w:r>
        <w:rPr>
          <w:rFonts w:ascii="Arial" w:cs="Arial" w:eastAsia="Arial" w:hAnsi="Arial"/>
          <w:sz w:val="24"/>
          <w:szCs w:val="24"/>
        </w:rPr>
        <w:t xml:space="preserve">Statistical analysis suite (R, Python: mixed models for patient effect, dose-response fitting)</w:t>
      </w:r>
    </w:p>
    <w:p>
      <w:pPr>
        <w:pStyle w:val="ListParagraph"/>
        <w:numPr>
          <w:ilvl w:val="0"/>
          <w:numId w:val="2"/>
        </w:numPr>
        <w:spacing w:after="100" w:line="360"/>
      </w:pPr>
      <w:r>
        <w:rPr>
          <w:rFonts w:ascii="Arial" w:cs="Arial" w:eastAsia="Arial" w:hAnsi="Arial"/>
          <w:sz w:val="24"/>
          <w:szCs w:val="24"/>
        </w:rPr>
        <w:t xml:space="preserve">Laboratory information management system (LIMS) for experiment tracking and data integration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Differentiate iPSC lines (patient and healthy control) into disease-relevant neuronal subtype following validated protocol; culture to maturation (≥3 weeks in vitro).</w:t>
      </w:r>
    </w:p>
    <w:p>
      <w:pPr>
        <w:pStyle w:val="ListParagraph"/>
        <w:numPr>
          <w:ilvl w:val="0"/>
          <w:numId w:val="2"/>
        </w:numPr>
        <w:spacing w:after="100" w:line="360"/>
      </w:pPr>
      <w:r>
        <w:rPr>
          <w:rFonts w:ascii="Arial" w:cs="Arial" w:eastAsia="Arial" w:hAnsi="Arial"/>
          <w:sz w:val="24"/>
          <w:szCs w:val="24"/>
        </w:rPr>
        <w:t xml:space="preserve">Baseline characterize neuronal populations via EP: record disease baseline phenotype (N=10-20 neurons per patient line); verify phenotype recapitulates disease features observed in atlas.</w:t>
      </w:r>
    </w:p>
    <w:p>
      <w:pPr>
        <w:pStyle w:val="ListParagraph"/>
        <w:numPr>
          <w:ilvl w:val="0"/>
          <w:numId w:val="2"/>
        </w:numPr>
        <w:spacing w:after="100" w:line="360"/>
      </w:pPr>
      <w:r>
        <w:rPr>
          <w:rFonts w:ascii="Arial" w:cs="Arial" w:eastAsia="Arial" w:hAnsi="Arial"/>
          <w:sz w:val="24"/>
          <w:szCs w:val="24"/>
        </w:rPr>
        <w:t xml:space="preserve">Conduct dose-response study for each compound: 5-7 concentrations spanning predicted EC50 ± 3-fold, 15-60 minute exposure (acute or chronic as indicated); record EP at peak exposure.</w:t>
      </w:r>
    </w:p>
    <w:p>
      <w:pPr>
        <w:pStyle w:val="ListParagraph"/>
        <w:numPr>
          <w:ilvl w:val="0"/>
          <w:numId w:val="2"/>
        </w:numPr>
        <w:spacing w:after="100" w:line="360"/>
      </w:pPr>
      <w:r>
        <w:rPr>
          <w:rFonts w:ascii="Arial" w:cs="Arial" w:eastAsia="Arial" w:hAnsi="Arial"/>
          <w:sz w:val="24"/>
          <w:szCs w:val="24"/>
        </w:rPr>
        <w:t xml:space="preserve">Compute rescue magnitude per patient line per compound; stratify by patient genetic background if cohort diversity permits; assess patient-to-patient variability in rescue efficacy.</w:t>
      </w:r>
    </w:p>
    <w:p>
      <w:pPr>
        <w:pStyle w:val="ListParagraph"/>
        <w:numPr>
          <w:ilvl w:val="0"/>
          <w:numId w:val="2"/>
        </w:numPr>
        <w:spacing w:after="100" w:line="360"/>
      </w:pPr>
      <w:r>
        <w:rPr>
          <w:rFonts w:ascii="Arial" w:cs="Arial" w:eastAsia="Arial" w:hAnsi="Arial"/>
          <w:sz w:val="24"/>
          <w:szCs w:val="24"/>
        </w:rPr>
        <w:t xml:space="preserve">Repeat experiments in second neuronal subtype (if relevant to disease pathophysiology) or second patient cohort to assess rescue robustness and generalizability.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top 3 compounds in patient-derived neurons (EC50, Emax, Hill coefficient per patient line)</w:t>
      </w:r>
    </w:p>
    <w:p>
      <w:pPr>
        <w:pStyle w:val="ListParagraph"/>
        <w:numPr>
          <w:ilvl w:val="0"/>
          <w:numId w:val="2"/>
        </w:numPr>
        <w:spacing w:after="100" w:line="360"/>
      </w:pPr>
      <w:r>
        <w:rPr>
          <w:rFonts w:ascii="Arial" w:cs="Arial" w:eastAsia="Arial" w:hAnsi="Arial"/>
          <w:sz w:val="24"/>
          <w:szCs w:val="24"/>
        </w:rPr>
        <w:t xml:space="preserve">Patient-stratified rescue efficacy (mean rescue and variability across patient cohort per compound)</w:t>
      </w:r>
    </w:p>
    <w:p>
      <w:pPr>
        <w:pStyle w:val="ListParagraph"/>
        <w:numPr>
          <w:ilvl w:val="0"/>
          <w:numId w:val="2"/>
        </w:numPr>
        <w:spacing w:after="100" w:line="360"/>
      </w:pPr>
      <w:r>
        <w:rPr>
          <w:rFonts w:ascii="Arial" w:cs="Arial" w:eastAsia="Arial" w:hAnsi="Arial"/>
          <w:sz w:val="24"/>
          <w:szCs w:val="24"/>
        </w:rPr>
        <w:t xml:space="preserve">Cellular phenotype rescue validation (confirmation that atlas-predicted features are rescued in patient cells)</w:t>
      </w:r>
    </w:p>
    <w:p>
      <w:pPr>
        <w:pStyle w:val="ListParagraph"/>
        <w:numPr>
          <w:ilvl w:val="0"/>
          <w:numId w:val="2"/>
        </w:numPr>
        <w:spacing w:after="100" w:line="360"/>
      </w:pPr>
      <w:r>
        <w:rPr>
          <w:rFonts w:ascii="Arial" w:cs="Arial" w:eastAsia="Arial" w:hAnsi="Arial"/>
          <w:sz w:val="24"/>
          <w:szCs w:val="24"/>
        </w:rPr>
        <w:t xml:space="preserve">Patient subgroup analysis (if cohort size permits, e.g., genetic background, age, disease severity stratification)</w:t>
      </w:r>
    </w:p>
    <w:p>
      <w:pPr>
        <w:pStyle w:val="ListParagraph"/>
        <w:numPr>
          <w:ilvl w:val="0"/>
          <w:numId w:val="2"/>
        </w:numPr>
        <w:spacing w:after="100" w:line="360"/>
      </w:pPr>
      <w:r>
        <w:rPr>
          <w:rFonts w:ascii="Arial" w:cs="Arial" w:eastAsia="Arial" w:hAnsi="Arial"/>
          <w:sz w:val="24"/>
          <w:szCs w:val="24"/>
        </w:rPr>
        <w:t xml:space="preserve">Comparison to computational predictions (atlas-derived rescue magnitudes vs empirical patient cell data; identify model calibration needs)</w:t>
      </w:r>
    </w:p>
    <w:p>
      <w:pPr>
        <w:pStyle w:val="ListParagraph"/>
        <w:numPr>
          <w:ilvl w:val="0"/>
          <w:numId w:val="2"/>
        </w:numPr>
        <w:spacing w:after="100" w:line="360"/>
      </w:pPr>
      <w:r>
        <w:rPr>
          <w:rFonts w:ascii="Arial" w:cs="Arial" w:eastAsia="Arial" w:hAnsi="Arial"/>
          <w:sz w:val="24"/>
          <w:szCs w:val="24"/>
        </w:rPr>
        <w:t xml:space="preserve">Technical validation documentation (cell viability, recording quality metrics, electrophysiology parameter stability)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dose-response parameter tables and patient-stratified rescue data, JSON compound efficacy profiles in patient cells, PNG dose-response curves per patient per compound</w:t>
      </w:r>
    </w:p>
    <w:p>
      <w:pPr>
        <w:pStyle w:val="Heading2"/>
        <w:spacing w:after="200" w:before="200"/>
      </w:pPr>
      <w:r>
        <w:rPr>
          <w:rFonts w:ascii="Arial" w:cs="Arial" w:eastAsia="Arial" w:hAnsi="Arial"/>
          <w:b/>
          <w:bCs/>
          <w:sz w:val="28"/>
          <w:szCs w:val="28"/>
        </w:rPr>
        <w:t xml:space="preserve">Stage 2: Dose-Response Characterization &amp; Pharmacological Reversibility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dose-response relationships and establish that rescue effects are reversible and proportionate to compound exposure, supporting on-target mechanism and regulatory expectation alignment.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Confirmed rescuing top 3 compounds (from Stage 1)</w:t>
      </w:r>
    </w:p>
    <w:p>
      <w:pPr>
        <w:pStyle w:val="ListParagraph"/>
        <w:numPr>
          <w:ilvl w:val="0"/>
          <w:numId w:val="2"/>
        </w:numPr>
        <w:spacing w:after="100" w:line="360"/>
      </w:pPr>
      <w:r>
        <w:rPr>
          <w:rFonts w:ascii="Arial" w:cs="Arial" w:eastAsia="Arial" w:hAnsi="Arial"/>
          <w:sz w:val="24"/>
          <w:szCs w:val="24"/>
        </w:rPr>
        <w:t xml:space="preserve">Patient-derived neuronal cultures (established from Stage 1)</w:t>
      </w:r>
    </w:p>
    <w:p>
      <w:pPr>
        <w:pStyle w:val="ListParagraph"/>
        <w:numPr>
          <w:ilvl w:val="0"/>
          <w:numId w:val="2"/>
        </w:numPr>
        <w:spacing w:after="100" w:line="360"/>
      </w:pPr>
      <w:r>
        <w:rPr>
          <w:rFonts w:ascii="Arial" w:cs="Arial" w:eastAsia="Arial" w:hAnsi="Arial"/>
          <w:sz w:val="24"/>
          <w:szCs w:val="24"/>
        </w:rPr>
        <w:t xml:space="preserve">Compound formulations optimized for solubility (DMSO concentration, pH, osmolality)</w:t>
      </w:r>
    </w:p>
    <w:p>
      <w:pPr>
        <w:pStyle w:val="ListParagraph"/>
        <w:numPr>
          <w:ilvl w:val="0"/>
          <w:numId w:val="2"/>
        </w:numPr>
        <w:spacing w:after="100" w:line="360"/>
      </w:pPr>
      <w:r>
        <w:rPr>
          <w:rFonts w:ascii="Arial" w:cs="Arial" w:eastAsia="Arial" w:hAnsi="Arial"/>
          <w:sz w:val="24"/>
          <w:szCs w:val="24"/>
        </w:rPr>
        <w:t xml:space="preserve">Equipment for kinetic exposure experiments (automated systems or manual administration with timed sampling)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Dose-response fitting software (4-parameter logistic curves, drm R package, GraphPad Prism)</w:t>
      </w:r>
    </w:p>
    <w:p>
      <w:pPr>
        <w:pStyle w:val="ListParagraph"/>
        <w:numPr>
          <w:ilvl w:val="0"/>
          <w:numId w:val="2"/>
        </w:numPr>
        <w:spacing w:after="100" w:line="360"/>
      </w:pPr>
      <w:r>
        <w:rPr>
          <w:rFonts w:ascii="Arial" w:cs="Arial" w:eastAsia="Arial" w:hAnsi="Arial"/>
          <w:sz w:val="24"/>
          <w:szCs w:val="24"/>
        </w:rPr>
        <w:t xml:space="preserve">Compound concentration measurement (HPLC-MS for solution verification, LC-MS bioanalysis for cellular uptake)</w:t>
      </w:r>
    </w:p>
    <w:p>
      <w:pPr>
        <w:pStyle w:val="ListParagraph"/>
        <w:numPr>
          <w:ilvl w:val="0"/>
          <w:numId w:val="2"/>
        </w:numPr>
        <w:spacing w:after="100" w:line="360"/>
      </w:pPr>
      <w:r>
        <w:rPr>
          <w:rFonts w:ascii="Arial" w:cs="Arial" w:eastAsia="Arial" w:hAnsi="Arial"/>
          <w:sz w:val="24"/>
          <w:szCs w:val="24"/>
        </w:rPr>
        <w:t xml:space="preserve">Electrophysiology recording systems (as Stage 1)</w:t>
      </w:r>
    </w:p>
    <w:p>
      <w:pPr>
        <w:pStyle w:val="ListParagraph"/>
        <w:numPr>
          <w:ilvl w:val="0"/>
          <w:numId w:val="2"/>
        </w:numPr>
        <w:spacing w:after="100" w:line="360"/>
      </w:pPr>
      <w:r>
        <w:rPr>
          <w:rFonts w:ascii="Arial" w:cs="Arial" w:eastAsia="Arial" w:hAnsi="Arial"/>
          <w:sz w:val="24"/>
          <w:szCs w:val="24"/>
        </w:rPr>
        <w:t xml:space="preserve">Kinetic modeling software (PK/PD modeling, WinNonlin for pharmacokinetic simulation)</w:t>
      </w:r>
    </w:p>
    <w:p>
      <w:pPr>
        <w:pStyle w:val="ListParagraph"/>
        <w:numPr>
          <w:ilvl w:val="0"/>
          <w:numId w:val="2"/>
        </w:numPr>
        <w:spacing w:after="100" w:line="360"/>
      </w:pPr>
      <w:r>
        <w:rPr>
          <w:rFonts w:ascii="Arial" w:cs="Arial" w:eastAsia="Arial" w:hAnsi="Arial"/>
          <w:sz w:val="24"/>
          <w:szCs w:val="24"/>
        </w:rPr>
        <w:t xml:space="preserve">Statistical design tools (response surface methodology, optimal DOE for n parameters)</w:t>
      </w:r>
    </w:p>
    <w:p>
      <w:pPr>
        <w:pStyle w:val="ListParagraph"/>
        <w:numPr>
          <w:ilvl w:val="0"/>
          <w:numId w:val="2"/>
        </w:numPr>
        <w:spacing w:after="100" w:line="360"/>
      </w:pPr>
      <w:r>
        <w:rPr>
          <w:rFonts w:ascii="Arial" w:cs="Arial" w:eastAsia="Arial" w:hAnsi="Arial"/>
          <w:sz w:val="24"/>
          <w:szCs w:val="24"/>
        </w:rPr>
        <w:t xml:space="preserve">Visualization and analysis tools (ggplot2, matplotlib for dose-response curves with confidence intervals)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Conduct full dose-response study (8-10 concentrations spanning 0.1 - 30 μM or solubility limit, whichever is more restrictive) in patient-derived neurons.</w:t>
      </w:r>
    </w:p>
    <w:p>
      <w:pPr>
        <w:pStyle w:val="ListParagraph"/>
        <w:numPr>
          <w:ilvl w:val="0"/>
          <w:numId w:val="2"/>
        </w:numPr>
        <w:spacing w:after="100" w:line="360"/>
      </w:pPr>
      <w:r>
        <w:rPr>
          <w:rFonts w:ascii="Arial" w:cs="Arial" w:eastAsia="Arial" w:hAnsi="Arial"/>
          <w:sz w:val="24"/>
          <w:szCs w:val="24"/>
        </w:rPr>
        <w:t xml:space="preserve">Fit 4-parameter logistic curves (bottom, top, EC50, Hill coefficient); report curve fits with 95% confidence intervals; identify potential bimodal responses or biphasic kinetics.</w:t>
      </w:r>
    </w:p>
    <w:p>
      <w:pPr>
        <w:pStyle w:val="ListParagraph"/>
        <w:numPr>
          <w:ilvl w:val="0"/>
          <w:numId w:val="2"/>
        </w:numPr>
        <w:spacing w:after="100" w:line="360"/>
      </w:pPr>
      <w:r>
        <w:rPr>
          <w:rFonts w:ascii="Arial" w:cs="Arial" w:eastAsia="Arial" w:hAnsi="Arial"/>
          <w:sz w:val="24"/>
          <w:szCs w:val="24"/>
        </w:rPr>
        <w:t xml:space="preserve">Test reversibility: expose neurons to compound, record rescue; wash out compound with multiple medium changes, re-record electrophysiology at 5, 15, 30 minutes post-wash.</w:t>
      </w:r>
    </w:p>
    <w:p>
      <w:pPr>
        <w:pStyle w:val="ListParagraph"/>
        <w:numPr>
          <w:ilvl w:val="0"/>
          <w:numId w:val="2"/>
        </w:numPr>
        <w:spacing w:after="100" w:line="360"/>
      </w:pPr>
      <w:r>
        <w:rPr>
          <w:rFonts w:ascii="Arial" w:cs="Arial" w:eastAsia="Arial" w:hAnsi="Arial"/>
          <w:sz w:val="24"/>
          <w:szCs w:val="24"/>
        </w:rPr>
        <w:t xml:space="preserve">Assess dose-response relation consistency: does rescue magnitude scale linearly with concentration in linear portion of curve? Perform curve linearity analysis.</w:t>
      </w:r>
    </w:p>
    <w:p>
      <w:pPr>
        <w:pStyle w:val="ListParagraph"/>
        <w:numPr>
          <w:ilvl w:val="0"/>
          <w:numId w:val="2"/>
        </w:numPr>
        <w:spacing w:after="100" w:line="360"/>
      </w:pPr>
      <w:r>
        <w:rPr>
          <w:rFonts w:ascii="Arial" w:cs="Arial" w:eastAsia="Arial" w:hAnsi="Arial"/>
          <w:sz w:val="24"/>
          <w:szCs w:val="24"/>
        </w:rPr>
        <w:t xml:space="preserve">Estimate cellular pharmacokinetics: if possible, directly measure compound concentration in cells (mass spec bioanalysis) and correlate to rescue magnitude for on-target evidence.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Complete dose-response curves for top 3 compounds (8-10 concentrations, patient-derived neurons, 95% confidence intervals)</w:t>
      </w:r>
    </w:p>
    <w:p>
      <w:pPr>
        <w:pStyle w:val="ListParagraph"/>
        <w:numPr>
          <w:ilvl w:val="0"/>
          <w:numId w:val="2"/>
        </w:numPr>
        <w:spacing w:after="100" w:line="360"/>
      </w:pPr>
      <w:r>
        <w:rPr>
          <w:rFonts w:ascii="Arial" w:cs="Arial" w:eastAsia="Arial" w:hAnsi="Arial"/>
          <w:sz w:val="24"/>
          <w:szCs w:val="24"/>
        </w:rPr>
        <w:t xml:space="preserve">Pharmacological parameter summary (EC50, Emax, Hill coefficient, bottom/top asymptotes)</w:t>
      </w:r>
    </w:p>
    <w:p>
      <w:pPr>
        <w:pStyle w:val="ListParagraph"/>
        <w:numPr>
          <w:ilvl w:val="0"/>
          <w:numId w:val="2"/>
        </w:numPr>
        <w:spacing w:after="100" w:line="360"/>
      </w:pPr>
      <w:r>
        <w:rPr>
          <w:rFonts w:ascii="Arial" w:cs="Arial" w:eastAsia="Arial" w:hAnsi="Arial"/>
          <w:sz w:val="24"/>
          <w:szCs w:val="24"/>
        </w:rPr>
        <w:t xml:space="preserve">Reversibility kinetics (washout time-course, recovery of baseline phenotype, rate constant estimation)</w:t>
      </w:r>
    </w:p>
    <w:p>
      <w:pPr>
        <w:pStyle w:val="ListParagraph"/>
        <w:numPr>
          <w:ilvl w:val="0"/>
          <w:numId w:val="2"/>
        </w:numPr>
        <w:spacing w:after="100" w:line="360"/>
      </w:pPr>
      <w:r>
        <w:rPr>
          <w:rFonts w:ascii="Arial" w:cs="Arial" w:eastAsia="Arial" w:hAnsi="Arial"/>
          <w:sz w:val="24"/>
          <w:szCs w:val="24"/>
        </w:rPr>
        <w:t xml:space="preserve">Bimodal or biphasic response analysis (if non-monotonic dose-response observed, characterize secondary effects)</w:t>
      </w:r>
    </w:p>
    <w:p>
      <w:pPr>
        <w:pStyle w:val="ListParagraph"/>
        <w:numPr>
          <w:ilvl w:val="0"/>
          <w:numId w:val="2"/>
        </w:numPr>
        <w:spacing w:after="100" w:line="360"/>
      </w:pPr>
      <w:r>
        <w:rPr>
          <w:rFonts w:ascii="Arial" w:cs="Arial" w:eastAsia="Arial" w:hAnsi="Arial"/>
          <w:sz w:val="24"/>
          <w:szCs w:val="24"/>
        </w:rPr>
        <w:t xml:space="preserve">Cellular concentration-response relationship (if bioanalysis available, compound concentration vs rescue magnitude correlations)</w:t>
      </w:r>
    </w:p>
    <w:p>
      <w:pPr>
        <w:pStyle w:val="ListParagraph"/>
        <w:numPr>
          <w:ilvl w:val="0"/>
          <w:numId w:val="2"/>
        </w:numPr>
        <w:spacing w:after="100" w:line="360"/>
      </w:pPr>
      <w:r>
        <w:rPr>
          <w:rFonts w:ascii="Arial" w:cs="Arial" w:eastAsia="Arial" w:hAnsi="Arial"/>
          <w:sz w:val="24"/>
          <w:szCs w:val="24"/>
        </w:rPr>
        <w:t xml:space="preserve">Curve quality assessment and statistical validation (goodness-of-fit metrics, model selection tests)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dose-response tables with 95% CIs and washout kinetics, JSON pharmacological parameter summaries, PNG dose-response curves with fitted curves and confidence bands, scatter plots for concentration-response</w:t>
      </w:r>
    </w:p>
    <w:p>
      <w:pPr>
        <w:pStyle w:val="Heading2"/>
        <w:spacing w:after="200" w:before="200"/>
      </w:pPr>
      <w:r>
        <w:rPr>
          <w:rFonts w:ascii="Arial" w:cs="Arial" w:eastAsia="Arial" w:hAnsi="Arial"/>
          <w:b/>
          <w:bCs/>
          <w:sz w:val="28"/>
          <w:szCs w:val="28"/>
        </w:rPr>
        <w:t xml:space="preserve">Stage 3: Biomarker Selection &amp; Translational Bridging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validate electrophysiological and biochemical biomarkers that will enable translational bridging from patient cell studies to in vivo animal models to human clinical trials.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Patient-derived rescue data and validated biomarker candidates (from Stages 1-2)</w:t>
      </w:r>
    </w:p>
    <w:p>
      <w:pPr>
        <w:pStyle w:val="ListParagraph"/>
        <w:numPr>
          <w:ilvl w:val="0"/>
          <w:numId w:val="2"/>
        </w:numPr>
        <w:spacing w:after="100" w:line="360"/>
      </w:pPr>
      <w:r>
        <w:rPr>
          <w:rFonts w:ascii="Arial" w:cs="Arial" w:eastAsia="Arial" w:hAnsi="Arial"/>
          <w:sz w:val="24"/>
          <w:szCs w:val="24"/>
        </w:rPr>
        <w:t xml:space="preserve">Target disease patient data (human iPSC neurons, if available clinical data on biomarker variance)</w:t>
      </w:r>
    </w:p>
    <w:p>
      <w:pPr>
        <w:pStyle w:val="ListParagraph"/>
        <w:numPr>
          <w:ilvl w:val="0"/>
          <w:numId w:val="2"/>
        </w:numPr>
        <w:spacing w:after="100" w:line="360"/>
      </w:pPr>
      <w:r>
        <w:rPr>
          <w:rFonts w:ascii="Arial" w:cs="Arial" w:eastAsia="Arial" w:hAnsi="Arial"/>
          <w:sz w:val="24"/>
          <w:szCs w:val="24"/>
        </w:rPr>
        <w:t xml:space="preserve">In vivo disease model characterization (if available published data on model biomarkers)</w:t>
      </w:r>
    </w:p>
    <w:p>
      <w:pPr>
        <w:pStyle w:val="ListParagraph"/>
        <w:numPr>
          <w:ilvl w:val="0"/>
          <w:numId w:val="2"/>
        </w:numPr>
        <w:spacing w:after="100" w:line="360"/>
      </w:pPr>
      <w:r>
        <w:rPr>
          <w:rFonts w:ascii="Arial" w:cs="Arial" w:eastAsia="Arial" w:hAnsi="Arial"/>
          <w:sz w:val="24"/>
          <w:szCs w:val="24"/>
        </w:rPr>
        <w:t xml:space="preserve">Proposed clinical trial population definitions and patient stratification criteria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 discovery and validation tools (feature importance analysis, LASSO regression, random forests)</w:t>
      </w:r>
    </w:p>
    <w:p>
      <w:pPr>
        <w:pStyle w:val="ListParagraph"/>
        <w:numPr>
          <w:ilvl w:val="0"/>
          <w:numId w:val="2"/>
        </w:numPr>
        <w:spacing w:after="100" w:line="360"/>
      </w:pPr>
      <w:r>
        <w:rPr>
          <w:rFonts w:ascii="Arial" w:cs="Arial" w:eastAsia="Arial" w:hAnsi="Arial"/>
          <w:sz w:val="24"/>
          <w:szCs w:val="24"/>
        </w:rPr>
        <w:t xml:space="preserve">Multi-omics platforms (RNA-seq, proteomics, metabolomics on patient-derived neurons)</w:t>
      </w:r>
    </w:p>
    <w:p>
      <w:pPr>
        <w:pStyle w:val="ListParagraph"/>
        <w:numPr>
          <w:ilvl w:val="0"/>
          <w:numId w:val="2"/>
        </w:numPr>
        <w:spacing w:after="100" w:line="360"/>
      </w:pPr>
      <w:r>
        <w:rPr>
          <w:rFonts w:ascii="Arial" w:cs="Arial" w:eastAsia="Arial" w:hAnsi="Arial"/>
          <w:sz w:val="24"/>
          <w:szCs w:val="24"/>
        </w:rPr>
        <w:t xml:space="preserve">Electrophysiology feature subset selection (univariate association testing, multivariate supervised analysis)</w:t>
      </w:r>
    </w:p>
    <w:p>
      <w:pPr>
        <w:pStyle w:val="ListParagraph"/>
        <w:numPr>
          <w:ilvl w:val="0"/>
          <w:numId w:val="2"/>
        </w:numPr>
        <w:spacing w:after="100" w:line="360"/>
      </w:pPr>
      <w:r>
        <w:rPr>
          <w:rFonts w:ascii="Arial" w:cs="Arial" w:eastAsia="Arial" w:hAnsi="Arial"/>
          <w:sz w:val="24"/>
          <w:szCs w:val="24"/>
        </w:rPr>
        <w:t xml:space="preserve">Biomarker reproducibility assessment (test-retest analysis, inter-observer variability, platform reproducibility)</w:t>
      </w:r>
    </w:p>
    <w:p>
      <w:pPr>
        <w:pStyle w:val="ListParagraph"/>
        <w:numPr>
          <w:ilvl w:val="0"/>
          <w:numId w:val="2"/>
        </w:numPr>
        <w:spacing w:after="100" w:line="360"/>
      </w:pPr>
      <w:r>
        <w:rPr>
          <w:rFonts w:ascii="Arial" w:cs="Arial" w:eastAsia="Arial" w:hAnsi="Arial"/>
          <w:sz w:val="24"/>
          <w:szCs w:val="24"/>
        </w:rPr>
        <w:t xml:space="preserve">Translational bridging statistical frameworks (cross-species biomarker correlation, assay harmonization)</w:t>
      </w:r>
    </w:p>
    <w:p>
      <w:pPr>
        <w:pStyle w:val="ListParagraph"/>
        <w:numPr>
          <w:ilvl w:val="0"/>
          <w:numId w:val="2"/>
        </w:numPr>
        <w:spacing w:after="100" w:line="360"/>
      </w:pPr>
      <w:r>
        <w:rPr>
          <w:rFonts w:ascii="Arial" w:cs="Arial" w:eastAsia="Arial" w:hAnsi="Arial"/>
          <w:sz w:val="24"/>
          <w:szCs w:val="24"/>
        </w:rPr>
        <w:t xml:space="preserve">Clinical biomarker validation guidance (FDA biomarker qualification programs, qualification partnerships)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top 3-5 electrophysiological features most strongly rescued by each compound in patient-derived cells; these become primary translational biomarkers.</w:t>
      </w:r>
    </w:p>
    <w:p>
      <w:pPr>
        <w:pStyle w:val="ListParagraph"/>
        <w:numPr>
          <w:ilvl w:val="0"/>
          <w:numId w:val="2"/>
        </w:numPr>
        <w:spacing w:after="100" w:line="360"/>
      </w:pPr>
      <w:r>
        <w:rPr>
          <w:rFonts w:ascii="Arial" w:cs="Arial" w:eastAsia="Arial" w:hAnsi="Arial"/>
          <w:sz w:val="24"/>
          <w:szCs w:val="24"/>
        </w:rPr>
        <w:t xml:space="preserve">Assess biomarker robustness: measure same features across multiple patient lines, replicates, recording sessions; compute intra-assay and inter-assay reproducibility (ICC coefficients).</w:t>
      </w:r>
    </w:p>
    <w:p>
      <w:pPr>
        <w:pStyle w:val="ListParagraph"/>
        <w:numPr>
          <w:ilvl w:val="0"/>
          <w:numId w:val="2"/>
        </w:numPr>
        <w:spacing w:after="100" w:line="360"/>
      </w:pPr>
      <w:r>
        <w:rPr>
          <w:rFonts w:ascii="Arial" w:cs="Arial" w:eastAsia="Arial" w:hAnsi="Arial"/>
          <w:sz w:val="24"/>
          <w:szCs w:val="24"/>
        </w:rPr>
        <w:t xml:space="preserve">For each primary biomarker, select secondary confirmatory assay: e.g., if action potential width rescued, confirm with voltage-clamp capacitance measurement or field recording waveform analysis.</w:t>
      </w:r>
    </w:p>
    <w:p>
      <w:pPr>
        <w:pStyle w:val="ListParagraph"/>
        <w:numPr>
          <w:ilvl w:val="0"/>
          <w:numId w:val="2"/>
        </w:numPr>
        <w:spacing w:after="100" w:line="360"/>
      </w:pPr>
      <w:r>
        <w:rPr>
          <w:rFonts w:ascii="Arial" w:cs="Arial" w:eastAsia="Arial" w:hAnsi="Arial"/>
          <w:sz w:val="24"/>
          <w:szCs w:val="24"/>
        </w:rPr>
        <w:t xml:space="preserve">Select biochemical biomarkers supporting mechanism (e.g., if axon initial segment dysfunction hypothesis, measure ankyrin-G or β-IV-spectrin localization via immunofluorescence).</w:t>
      </w:r>
    </w:p>
    <w:p>
      <w:pPr>
        <w:pStyle w:val="ListParagraph"/>
        <w:numPr>
          <w:ilvl w:val="0"/>
          <w:numId w:val="2"/>
        </w:numPr>
        <w:spacing w:after="100" w:line="360"/>
      </w:pPr>
      <w:r>
        <w:rPr>
          <w:rFonts w:ascii="Arial" w:cs="Arial" w:eastAsia="Arial" w:hAnsi="Arial"/>
          <w:sz w:val="24"/>
          <w:szCs w:val="24"/>
        </w:rPr>
        <w:t xml:space="preserve">Design biomarker translation plan: which features will be measured in in vivo animal model? Which will translate to human clinical biomarker (e.g., CSF biomarkers, imaging, clinical electrophysiology)?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Primary translational biomarker selection (3-5 top electrophysiological features per compound with justification and rescue magnitude effect sizes)</w:t>
      </w:r>
    </w:p>
    <w:p>
      <w:pPr>
        <w:pStyle w:val="ListParagraph"/>
        <w:numPr>
          <w:ilvl w:val="0"/>
          <w:numId w:val="2"/>
        </w:numPr>
        <w:spacing w:after="100" w:line="360"/>
      </w:pPr>
      <w:r>
        <w:rPr>
          <w:rFonts w:ascii="Arial" w:cs="Arial" w:eastAsia="Arial" w:hAnsi="Arial"/>
          <w:sz w:val="24"/>
          <w:szCs w:val="24"/>
        </w:rPr>
        <w:t xml:space="preserve">Biomarker reproducibility assessment (ICC coefficients, test-retest reliability, assay robustness data)</w:t>
      </w:r>
    </w:p>
    <w:p>
      <w:pPr>
        <w:pStyle w:val="ListParagraph"/>
        <w:numPr>
          <w:ilvl w:val="0"/>
          <w:numId w:val="2"/>
        </w:numPr>
        <w:spacing w:after="100" w:line="360"/>
      </w:pPr>
      <w:r>
        <w:rPr>
          <w:rFonts w:ascii="Arial" w:cs="Arial" w:eastAsia="Arial" w:hAnsi="Arial"/>
          <w:sz w:val="24"/>
          <w:szCs w:val="24"/>
        </w:rPr>
        <w:t xml:space="preserve">Secondary confirmatory biomarkers (biochemical assays, complementary electrophysiological measurements, supporting mechanism validation)</w:t>
      </w:r>
    </w:p>
    <w:p>
      <w:pPr>
        <w:pStyle w:val="ListParagraph"/>
        <w:numPr>
          <w:ilvl w:val="0"/>
          <w:numId w:val="2"/>
        </w:numPr>
        <w:spacing w:after="100" w:line="360"/>
      </w:pPr>
      <w:r>
        <w:rPr>
          <w:rFonts w:ascii="Arial" w:cs="Arial" w:eastAsia="Arial" w:hAnsi="Arial"/>
          <w:sz w:val="24"/>
          <w:szCs w:val="24"/>
        </w:rPr>
        <w:t xml:space="preserve">Cross-species biomarker translation roadmap (EP features measurable in patient cells → rodent models → clinical assays)</w:t>
      </w:r>
    </w:p>
    <w:p>
      <w:pPr>
        <w:pStyle w:val="ListParagraph"/>
        <w:numPr>
          <w:ilvl w:val="0"/>
          <w:numId w:val="2"/>
        </w:numPr>
        <w:spacing w:after="100" w:line="360"/>
      </w:pPr>
      <w:r>
        <w:rPr>
          <w:rFonts w:ascii="Arial" w:cs="Arial" w:eastAsia="Arial" w:hAnsi="Arial"/>
          <w:sz w:val="24"/>
          <w:szCs w:val="24"/>
        </w:rPr>
        <w:t xml:space="preserve">Clinical biomarker strategy (proposed biomarkers for patient stratification and response monitoring in clinical trials)</w:t>
      </w:r>
    </w:p>
    <w:p>
      <w:pPr>
        <w:pStyle w:val="ListParagraph"/>
        <w:numPr>
          <w:ilvl w:val="0"/>
          <w:numId w:val="2"/>
        </w:numPr>
        <w:spacing w:after="100" w:line="360"/>
      </w:pPr>
      <w:r>
        <w:rPr>
          <w:rFonts w:ascii="Arial" w:cs="Arial" w:eastAsia="Arial" w:hAnsi="Arial"/>
          <w:sz w:val="24"/>
          <w:szCs w:val="24"/>
        </w:rPr>
        <w:t xml:space="preserve">Biomarker assay harmonization plan (protocols, quality control standards, platform validation requirements)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JSON biomarker profiles per compound with effect sizes and reproducibility metrics, CSV biomarker translation roadmap linking patient cells → animal models → clinical endpoints, PNG heatmaps showing biomarker reproducibility and ICC coefficients</w:t>
      </w:r>
    </w:p>
    <w:p>
      <w:pPr>
        <w:pStyle w:val="Heading2"/>
        <w:spacing w:after="200" w:before="200"/>
      </w:pPr>
      <w:r>
        <w:rPr>
          <w:rFonts w:ascii="Arial" w:cs="Arial" w:eastAsia="Arial" w:hAnsi="Arial"/>
          <w:b/>
          <w:bCs/>
          <w:sz w:val="28"/>
          <w:szCs w:val="28"/>
        </w:rPr>
        <w:t xml:space="preserve">Stage 4: In Vivo Proof-of-Concept Study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rigorous, hypothesis-driven in vivo proof-of-concept studies that address key de-risking questions while maintaining cost and timeline efficiency for progression to IND-enabling toxicology.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validated compounds with efficacy and biomarker profiles (from Stages 1-3)</w:t>
      </w:r>
    </w:p>
    <w:p>
      <w:pPr>
        <w:pStyle w:val="ListParagraph"/>
        <w:numPr>
          <w:ilvl w:val="0"/>
          <w:numId w:val="2"/>
        </w:numPr>
        <w:spacing w:after="100" w:line="360"/>
      </w:pPr>
      <w:r>
        <w:rPr>
          <w:rFonts w:ascii="Arial" w:cs="Arial" w:eastAsia="Arial" w:hAnsi="Arial"/>
          <w:sz w:val="24"/>
          <w:szCs w:val="24"/>
        </w:rPr>
        <w:t xml:space="preserve">Available in vivo disease models (established models, characterization data, historical precedent)</w:t>
      </w:r>
    </w:p>
    <w:p>
      <w:pPr>
        <w:pStyle w:val="ListParagraph"/>
        <w:numPr>
          <w:ilvl w:val="0"/>
          <w:numId w:val="2"/>
        </w:numPr>
        <w:spacing w:after="100" w:line="360"/>
      </w:pPr>
      <w:r>
        <w:rPr>
          <w:rFonts w:ascii="Arial" w:cs="Arial" w:eastAsia="Arial" w:hAnsi="Arial"/>
          <w:sz w:val="24"/>
          <w:szCs w:val="24"/>
        </w:rPr>
        <w:t xml:space="preserve">Compound pharmacokinetic properties (half-life, CNS penetration, bioavailability if available)</w:t>
      </w:r>
    </w:p>
    <w:p>
      <w:pPr>
        <w:pStyle w:val="ListParagraph"/>
        <w:numPr>
          <w:ilvl w:val="0"/>
          <w:numId w:val="2"/>
        </w:numPr>
        <w:spacing w:after="100" w:line="360"/>
      </w:pPr>
      <w:r>
        <w:rPr>
          <w:rFonts w:ascii="Arial" w:cs="Arial" w:eastAsia="Arial" w:hAnsi="Arial"/>
          <w:sz w:val="24"/>
          <w:szCs w:val="24"/>
        </w:rPr>
        <w:t xml:space="preserve">Regulatory guidance for target indication (FDA guidance, precedent from comparable programs)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 vivo study design software (JMP, Minitab for DOE, power analysis tools)</w:t>
      </w:r>
    </w:p>
    <w:p>
      <w:pPr>
        <w:pStyle w:val="ListParagraph"/>
        <w:numPr>
          <w:ilvl w:val="0"/>
          <w:numId w:val="2"/>
        </w:numPr>
        <w:spacing w:after="100" w:line="360"/>
      </w:pPr>
      <w:r>
        <w:rPr>
          <w:rFonts w:ascii="Arial" w:cs="Arial" w:eastAsia="Arial" w:hAnsi="Arial"/>
          <w:sz w:val="24"/>
          <w:szCs w:val="24"/>
        </w:rPr>
        <w:t xml:space="preserve">Rodent disease model databases (Jackson Laboratory, preclinical model repositories)</w:t>
      </w:r>
    </w:p>
    <w:p>
      <w:pPr>
        <w:pStyle w:val="ListParagraph"/>
        <w:numPr>
          <w:ilvl w:val="0"/>
          <w:numId w:val="2"/>
        </w:numPr>
        <w:spacing w:after="100" w:line="360"/>
      </w:pPr>
      <w:r>
        <w:rPr>
          <w:rFonts w:ascii="Arial" w:cs="Arial" w:eastAsia="Arial" w:hAnsi="Arial"/>
          <w:sz w:val="24"/>
          <w:szCs w:val="24"/>
        </w:rPr>
        <w:t xml:space="preserve">Pharmacokinetic simulation software (Simcyp Simulator, PK/PD modeling tools)</w:t>
      </w:r>
    </w:p>
    <w:p>
      <w:pPr>
        <w:pStyle w:val="ListParagraph"/>
        <w:numPr>
          <w:ilvl w:val="0"/>
          <w:numId w:val="2"/>
        </w:numPr>
        <w:spacing w:after="100" w:line="360"/>
      </w:pPr>
      <w:r>
        <w:rPr>
          <w:rFonts w:ascii="Arial" w:cs="Arial" w:eastAsia="Arial" w:hAnsi="Arial"/>
          <w:sz w:val="24"/>
          <w:szCs w:val="24"/>
        </w:rPr>
        <w:t xml:space="preserve">Sample size and power estimation (G*Power, custom R scripts for mixed-model designs)</w:t>
      </w:r>
    </w:p>
    <w:p>
      <w:pPr>
        <w:pStyle w:val="ListParagraph"/>
        <w:numPr>
          <w:ilvl w:val="0"/>
          <w:numId w:val="2"/>
        </w:numPr>
        <w:spacing w:after="100" w:line="360"/>
      </w:pPr>
      <w:r>
        <w:rPr>
          <w:rFonts w:ascii="Arial" w:cs="Arial" w:eastAsia="Arial" w:hAnsi="Arial"/>
          <w:sz w:val="24"/>
          <w:szCs w:val="24"/>
        </w:rPr>
        <w:t xml:space="preserve">Behavioral and physiological assay validation resources (SHIRPA, rotarod, Morris water maze protocols)</w:t>
      </w:r>
    </w:p>
    <w:p>
      <w:pPr>
        <w:pStyle w:val="ListParagraph"/>
        <w:numPr>
          <w:ilvl w:val="0"/>
          <w:numId w:val="2"/>
        </w:numPr>
        <w:spacing w:after="100" w:line="360"/>
      </w:pPr>
      <w:r>
        <w:rPr>
          <w:rFonts w:ascii="Arial" w:cs="Arial" w:eastAsia="Arial" w:hAnsi="Arial"/>
          <w:sz w:val="24"/>
          <w:szCs w:val="24"/>
        </w:rPr>
        <w:t xml:space="preserve">Statistical analysis frameworks (mixed-effects models, intention-to-treat, per-protocol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Select most appropriate rodent disease model: transgenic (genetic accuracy) vs induced (environmental validity) vs injury-based (translational precedent)?</w:t>
      </w:r>
    </w:p>
    <w:p>
      <w:pPr>
        <w:pStyle w:val="ListParagraph"/>
        <w:numPr>
          <w:ilvl w:val="0"/>
          <w:numId w:val="2"/>
        </w:numPr>
        <w:spacing w:after="100" w:line="360"/>
      </w:pPr>
      <w:r>
        <w:rPr>
          <w:rFonts w:ascii="Arial" w:cs="Arial" w:eastAsia="Arial" w:hAnsi="Arial"/>
          <w:sz w:val="24"/>
          <w:szCs w:val="24"/>
        </w:rPr>
        <w:t xml:space="preserve">Define primary efficacy endpoint: behavioral measure (motor function, seizure frequency) that correlates with EP rescue biomarkers identified in Stage 3.</w:t>
      </w:r>
    </w:p>
    <w:p>
      <w:pPr>
        <w:pStyle w:val="ListParagraph"/>
        <w:numPr>
          <w:ilvl w:val="0"/>
          <w:numId w:val="2"/>
        </w:numPr>
        <w:spacing w:after="100" w:line="360"/>
      </w:pPr>
      <w:r>
        <w:rPr>
          <w:rFonts w:ascii="Arial" w:cs="Arial" w:eastAsia="Arial" w:hAnsi="Arial"/>
          <w:sz w:val="24"/>
          <w:szCs w:val="24"/>
        </w:rPr>
        <w:t xml:space="preserve">Design dose-range finding study (3-5 doses in disease model, 1-2 compounds prioritized); estimate EC50/ED50 in vivo; compare to EC50 observed in patient cells (PK/PD scaling).</w:t>
      </w:r>
    </w:p>
    <w:p>
      <w:pPr>
        <w:pStyle w:val="ListParagraph"/>
        <w:numPr>
          <w:ilvl w:val="0"/>
          <w:numId w:val="2"/>
        </w:numPr>
        <w:spacing w:after="100" w:line="360"/>
      </w:pPr>
      <w:r>
        <w:rPr>
          <w:rFonts w:ascii="Arial" w:cs="Arial" w:eastAsia="Arial" w:hAnsi="Arial"/>
          <w:sz w:val="24"/>
          <w:szCs w:val="24"/>
        </w:rPr>
        <w:t xml:space="preserve">Power analysis for efficacy study: assume effect size from patient cell rescue data, compute sample size for 80% power (typically N=8-12/group for rodent studies).</w:t>
      </w:r>
    </w:p>
    <w:p>
      <w:pPr>
        <w:pStyle w:val="ListParagraph"/>
        <w:numPr>
          <w:ilvl w:val="0"/>
          <w:numId w:val="2"/>
        </w:numPr>
        <w:spacing w:after="100" w:line="360"/>
      </w:pPr>
      <w:r>
        <w:rPr>
          <w:rFonts w:ascii="Arial" w:cs="Arial" w:eastAsia="Arial" w:hAnsi="Arial"/>
          <w:sz w:val="24"/>
          <w:szCs w:val="24"/>
        </w:rPr>
        <w:t xml:space="preserve">Define dosing schedule: chronic (once-daily) matching clinical intent, or acute (if acute phenotype model)? Include vehicle and positive control (reference drug if available) groups.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 vivo disease model selection rationale (model characteristics, advantages/limitations, precedent for target indication)</w:t>
      </w:r>
    </w:p>
    <w:p>
      <w:pPr>
        <w:pStyle w:val="ListParagraph"/>
        <w:numPr>
          <w:ilvl w:val="0"/>
          <w:numId w:val="2"/>
        </w:numPr>
        <w:spacing w:after="100" w:line="360"/>
      </w:pPr>
      <w:r>
        <w:rPr>
          <w:rFonts w:ascii="Arial" w:cs="Arial" w:eastAsia="Arial" w:hAnsi="Arial"/>
          <w:sz w:val="24"/>
          <w:szCs w:val="24"/>
        </w:rPr>
        <w:t xml:space="preserve">Dose-range finding study design (doses, timing, readouts, sample size justification)</w:t>
      </w:r>
    </w:p>
    <w:p>
      <w:pPr>
        <w:pStyle w:val="ListParagraph"/>
        <w:numPr>
          <w:ilvl w:val="0"/>
          <w:numId w:val="2"/>
        </w:numPr>
        <w:spacing w:after="100" w:line="360"/>
      </w:pPr>
      <w:r>
        <w:rPr>
          <w:rFonts w:ascii="Arial" w:cs="Arial" w:eastAsia="Arial" w:hAnsi="Arial"/>
          <w:sz w:val="24"/>
          <w:szCs w:val="24"/>
        </w:rPr>
        <w:t xml:space="preserve">Dose-escalation results (ED50 estimate, dose proportionality assessment, tolerability observations)</w:t>
      </w:r>
    </w:p>
    <w:p>
      <w:pPr>
        <w:pStyle w:val="ListParagraph"/>
        <w:numPr>
          <w:ilvl w:val="0"/>
          <w:numId w:val="2"/>
        </w:numPr>
        <w:spacing w:after="100" w:line="360"/>
      </w:pPr>
      <w:r>
        <w:rPr>
          <w:rFonts w:ascii="Arial" w:cs="Arial" w:eastAsia="Arial" w:hAnsi="Arial"/>
          <w:sz w:val="24"/>
          <w:szCs w:val="24"/>
        </w:rPr>
        <w:t xml:space="preserve">Efficacy study design (primary endpoint, secondary endpoints, power analysis, sample size justification)</w:t>
      </w:r>
    </w:p>
    <w:p>
      <w:pPr>
        <w:pStyle w:val="ListParagraph"/>
        <w:numPr>
          <w:ilvl w:val="0"/>
          <w:numId w:val="2"/>
        </w:numPr>
        <w:spacing w:after="100" w:line="360"/>
      </w:pPr>
      <w:r>
        <w:rPr>
          <w:rFonts w:ascii="Arial" w:cs="Arial" w:eastAsia="Arial" w:hAnsi="Arial"/>
          <w:sz w:val="24"/>
          <w:szCs w:val="24"/>
        </w:rPr>
        <w:t xml:space="preserve">Statistical analysis plan (primary efficacy analysis, subgroup analyses, sensitivity analyses)</w:t>
      </w:r>
    </w:p>
    <w:p>
      <w:pPr>
        <w:pStyle w:val="ListParagraph"/>
        <w:numPr>
          <w:ilvl w:val="0"/>
          <w:numId w:val="2"/>
        </w:numPr>
        <w:spacing w:after="100" w:line="360"/>
      </w:pPr>
      <w:r>
        <w:rPr>
          <w:rFonts w:ascii="Arial" w:cs="Arial" w:eastAsia="Arial" w:hAnsi="Arial"/>
          <w:sz w:val="24"/>
          <w:szCs w:val="24"/>
        </w:rPr>
        <w:t xml:space="preserve">Go/no-go decision framework (minimum efficacy threshold for progression to IND-enabling toxicology, stopping rules)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study protocol documents, CSV dose-range finding data with ED50 estimates, R/SAS statistical analysis plans, PNG power analysis curves and sample size justifications</w:t>
      </w:r>
    </w:p>
    <w:p>
      <w:pPr>
        <w:pStyle w:val="Heading2"/>
        <w:spacing w:after="200" w:before="200"/>
      </w:pPr>
      <w:r>
        <w:rPr>
          <w:rFonts w:ascii="Arial" w:cs="Arial" w:eastAsia="Arial" w:hAnsi="Arial"/>
          <w:b/>
          <w:bCs/>
          <w:sz w:val="28"/>
          <w:szCs w:val="28"/>
        </w:rPr>
        <w:t xml:space="preserve">Stage 5: Mechanism of Action &amp; Target Engagement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experiments to confirm on-target mechanism and rule out off-target liabilities, establishing scientific confidence in proposed mechanism prior to IND-enabling studies.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validated compounds (from Stages 1-2)</w:t>
      </w:r>
    </w:p>
    <w:p>
      <w:pPr>
        <w:pStyle w:val="ListParagraph"/>
        <w:numPr>
          <w:ilvl w:val="0"/>
          <w:numId w:val="2"/>
        </w:numPr>
        <w:spacing w:after="100" w:line="360"/>
      </w:pPr>
      <w:r>
        <w:rPr>
          <w:rFonts w:ascii="Arial" w:cs="Arial" w:eastAsia="Arial" w:hAnsi="Arial"/>
          <w:sz w:val="24"/>
          <w:szCs w:val="24"/>
        </w:rPr>
        <w:t xml:space="preserve">Known compound targets and predicted off-targets (from computational databases, ChEMBL)</w:t>
      </w:r>
    </w:p>
    <w:p>
      <w:pPr>
        <w:pStyle w:val="ListParagraph"/>
        <w:numPr>
          <w:ilvl w:val="0"/>
          <w:numId w:val="2"/>
        </w:numPr>
        <w:spacing w:after="100" w:line="360"/>
      </w:pPr>
      <w:r>
        <w:rPr>
          <w:rFonts w:ascii="Arial" w:cs="Arial" w:eastAsia="Arial" w:hAnsi="Arial"/>
          <w:sz w:val="24"/>
          <w:szCs w:val="24"/>
        </w:rPr>
        <w:t xml:space="preserve">Patient-derived neurons and in vivo disease model (from previous stages)</w:t>
      </w:r>
    </w:p>
    <w:p>
      <w:pPr>
        <w:pStyle w:val="ListParagraph"/>
        <w:numPr>
          <w:ilvl w:val="0"/>
          <w:numId w:val="2"/>
        </w:numPr>
        <w:spacing w:after="100" w:line="360"/>
      </w:pPr>
      <w:r>
        <w:rPr>
          <w:rFonts w:ascii="Arial" w:cs="Arial" w:eastAsia="Arial" w:hAnsi="Arial"/>
          <w:sz w:val="24"/>
          <w:szCs w:val="24"/>
        </w:rPr>
        <w:t xml:space="preserve">Mechanistic pathway hypotheses (CRISPR data, literature, computational predictions)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Molecular target validation tools (knockdown approaches: CRISPR/Cas9, siRNA, morpholinos)</w:t>
      </w:r>
    </w:p>
    <w:p>
      <w:pPr>
        <w:pStyle w:val="ListParagraph"/>
        <w:numPr>
          <w:ilvl w:val="0"/>
          <w:numId w:val="2"/>
        </w:numPr>
        <w:spacing w:after="100" w:line="360"/>
      </w:pPr>
      <w:r>
        <w:rPr>
          <w:rFonts w:ascii="Arial" w:cs="Arial" w:eastAsia="Arial" w:hAnsi="Arial"/>
          <w:sz w:val="24"/>
          <w:szCs w:val="24"/>
        </w:rPr>
        <w:t xml:space="preserve">Proteomics and phosphoproteomics platforms (mass spec, immunoblotting for pathway activation)</w:t>
      </w:r>
    </w:p>
    <w:p>
      <w:pPr>
        <w:pStyle w:val="ListParagraph"/>
        <w:numPr>
          <w:ilvl w:val="0"/>
          <w:numId w:val="2"/>
        </w:numPr>
        <w:spacing w:after="100" w:line="360"/>
      </w:pPr>
      <w:r>
        <w:rPr>
          <w:rFonts w:ascii="Arial" w:cs="Arial" w:eastAsia="Arial" w:hAnsi="Arial"/>
          <w:sz w:val="24"/>
          <w:szCs w:val="24"/>
        </w:rPr>
        <w:t xml:space="preserve">Gene expression profiling (RNA-seq to measure target engagement and off-target signature activation)</w:t>
      </w:r>
    </w:p>
    <w:p>
      <w:pPr>
        <w:pStyle w:val="ListParagraph"/>
        <w:numPr>
          <w:ilvl w:val="0"/>
          <w:numId w:val="2"/>
        </w:numPr>
        <w:spacing w:after="100" w:line="360"/>
      </w:pPr>
      <w:r>
        <w:rPr>
          <w:rFonts w:ascii="Arial" w:cs="Arial" w:eastAsia="Arial" w:hAnsi="Arial"/>
          <w:sz w:val="24"/>
          <w:szCs w:val="24"/>
        </w:rPr>
        <w:t xml:space="preserve">Immunofluorescence and microscopy (subcellular localization, protein-protein interactions)</w:t>
      </w:r>
    </w:p>
    <w:p>
      <w:pPr>
        <w:pStyle w:val="ListParagraph"/>
        <w:numPr>
          <w:ilvl w:val="0"/>
          <w:numId w:val="2"/>
        </w:numPr>
        <w:spacing w:after="100" w:line="360"/>
      </w:pPr>
      <w:r>
        <w:rPr>
          <w:rFonts w:ascii="Arial" w:cs="Arial" w:eastAsia="Arial" w:hAnsi="Arial"/>
          <w:sz w:val="24"/>
          <w:szCs w:val="24"/>
        </w:rPr>
        <w:t xml:space="preserve">Pharmacological counterscreen (compounds to block proposed targets, confirm specificity)</w:t>
      </w:r>
    </w:p>
    <w:p>
      <w:pPr>
        <w:pStyle w:val="ListParagraph"/>
        <w:numPr>
          <w:ilvl w:val="0"/>
          <w:numId w:val="2"/>
        </w:numPr>
        <w:spacing w:after="100" w:line="360"/>
      </w:pPr>
      <w:r>
        <w:rPr>
          <w:rFonts w:ascii="Arial" w:cs="Arial" w:eastAsia="Arial" w:hAnsi="Arial"/>
          <w:sz w:val="24"/>
          <w:szCs w:val="24"/>
        </w:rPr>
        <w:t xml:space="preserve">Integrative analysis tools (pathway enrichment, network visualization, LINCS L1000 signatures)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compound, perform CRISPR/Cas9 knockdown of predicted primary target in patient-derived neurons; does phenotype match compound-induced rescue?</w:t>
      </w:r>
    </w:p>
    <w:p>
      <w:pPr>
        <w:pStyle w:val="ListParagraph"/>
        <w:numPr>
          <w:ilvl w:val="0"/>
          <w:numId w:val="2"/>
        </w:numPr>
        <w:spacing w:after="100" w:line="360"/>
      </w:pPr>
      <w:r>
        <w:rPr>
          <w:rFonts w:ascii="Arial" w:cs="Arial" w:eastAsia="Arial" w:hAnsi="Arial"/>
          <w:sz w:val="24"/>
          <w:szCs w:val="24"/>
        </w:rPr>
        <w:t xml:space="preserve">Conduct pharmacological counterscreen: co-administer compound with selective antagonist of proposed primary target; does rescue block? (Supports on-target mechanism)</w:t>
      </w:r>
    </w:p>
    <w:p>
      <w:pPr>
        <w:pStyle w:val="ListParagraph"/>
        <w:numPr>
          <w:ilvl w:val="0"/>
          <w:numId w:val="2"/>
        </w:numPr>
        <w:spacing w:after="100" w:line="360"/>
      </w:pPr>
      <w:r>
        <w:rPr>
          <w:rFonts w:ascii="Arial" w:cs="Arial" w:eastAsia="Arial" w:hAnsi="Arial"/>
          <w:sz w:val="24"/>
          <w:szCs w:val="24"/>
        </w:rPr>
        <w:t xml:space="preserve">Measure target engagement biomarkers: phosphorylation of target substrates, changes in mRNA expression for target pathway genes (RNA-seq).</w:t>
      </w:r>
    </w:p>
    <w:p>
      <w:pPr>
        <w:pStyle w:val="ListParagraph"/>
        <w:numPr>
          <w:ilvl w:val="0"/>
          <w:numId w:val="2"/>
        </w:numPr>
        <w:spacing w:after="100" w:line="360"/>
      </w:pPr>
      <w:r>
        <w:rPr>
          <w:rFonts w:ascii="Arial" w:cs="Arial" w:eastAsia="Arial" w:hAnsi="Arial"/>
          <w:sz w:val="24"/>
          <w:szCs w:val="24"/>
        </w:rPr>
        <w:t xml:space="preserve">Assess off-target signature: does compound induce transcriptional signature consistent with known off-target activities (LINCS L1000 signature matching)?</w:t>
      </w:r>
    </w:p>
    <w:p>
      <w:pPr>
        <w:pStyle w:val="ListParagraph"/>
        <w:numPr>
          <w:ilvl w:val="0"/>
          <w:numId w:val="2"/>
        </w:numPr>
        <w:spacing w:after="100" w:line="360"/>
      </w:pPr>
      <w:r>
        <w:rPr>
          <w:rFonts w:ascii="Arial" w:cs="Arial" w:eastAsia="Arial" w:hAnsi="Arial"/>
          <w:sz w:val="24"/>
          <w:szCs w:val="24"/>
        </w:rPr>
        <w:t xml:space="preserve">Generate mechanistic confidence assessment: high confidence (target knockdown phenocopies compound, counterscreen confirms specificity, engagement biomarkers clear) vs medium/low confidence.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validation results (CRISPR knockdown phenotypes, correlation to compound rescue profiles)</w:t>
      </w:r>
    </w:p>
    <w:p>
      <w:pPr>
        <w:pStyle w:val="ListParagraph"/>
        <w:numPr>
          <w:ilvl w:val="0"/>
          <w:numId w:val="2"/>
        </w:numPr>
        <w:spacing w:after="100" w:line="360"/>
      </w:pPr>
      <w:r>
        <w:rPr>
          <w:rFonts w:ascii="Arial" w:cs="Arial" w:eastAsia="Arial" w:hAnsi="Arial"/>
          <w:sz w:val="24"/>
          <w:szCs w:val="24"/>
        </w:rPr>
        <w:t xml:space="preserve">Target engagement biomarkers (phosphorylation signatures, gene expression changes confirming target activation)</w:t>
      </w:r>
    </w:p>
    <w:p>
      <w:pPr>
        <w:pStyle w:val="ListParagraph"/>
        <w:numPr>
          <w:ilvl w:val="0"/>
          <w:numId w:val="2"/>
        </w:numPr>
        <w:spacing w:after="100" w:line="360"/>
      </w:pPr>
      <w:r>
        <w:rPr>
          <w:rFonts w:ascii="Arial" w:cs="Arial" w:eastAsia="Arial" w:hAnsi="Arial"/>
          <w:sz w:val="24"/>
          <w:szCs w:val="24"/>
        </w:rPr>
        <w:t xml:space="preserve">Pharmacological counterscreen results (antagonist co-administration, confirmation of on-target vs off-target contributions)</w:t>
      </w:r>
    </w:p>
    <w:p>
      <w:pPr>
        <w:pStyle w:val="ListParagraph"/>
        <w:numPr>
          <w:ilvl w:val="0"/>
          <w:numId w:val="2"/>
        </w:numPr>
        <w:spacing w:after="100" w:line="360"/>
      </w:pPr>
      <w:r>
        <w:rPr>
          <w:rFonts w:ascii="Arial" w:cs="Arial" w:eastAsia="Arial" w:hAnsi="Arial"/>
          <w:sz w:val="24"/>
          <w:szCs w:val="24"/>
        </w:rPr>
        <w:t xml:space="preserve">Off-target assessment (LINCS signature analysis, potential liability evaluation)</w:t>
      </w:r>
    </w:p>
    <w:p>
      <w:pPr>
        <w:pStyle w:val="ListParagraph"/>
        <w:numPr>
          <w:ilvl w:val="0"/>
          <w:numId w:val="2"/>
        </w:numPr>
        <w:spacing w:after="100" w:line="360"/>
      </w:pPr>
      <w:r>
        <w:rPr>
          <w:rFonts w:ascii="Arial" w:cs="Arial" w:eastAsia="Arial" w:hAnsi="Arial"/>
          <w:sz w:val="24"/>
          <w:szCs w:val="24"/>
        </w:rPr>
        <w:t xml:space="preserve">Mechanistic confidence scoring (high/medium/low with justification for each compound)</w:t>
      </w:r>
    </w:p>
    <w:p>
      <w:pPr>
        <w:pStyle w:val="ListParagraph"/>
        <w:numPr>
          <w:ilvl w:val="0"/>
          <w:numId w:val="2"/>
        </w:numPr>
        <w:spacing w:after="100" w:line="360"/>
      </w:pPr>
      <w:r>
        <w:rPr>
          <w:rFonts w:ascii="Arial" w:cs="Arial" w:eastAsia="Arial" w:hAnsi="Arial"/>
          <w:sz w:val="24"/>
          <w:szCs w:val="24"/>
        </w:rPr>
        <w:t xml:space="preserve">Integrated mechanism summary (proposed mechanism diagram, evidence supporting model, alternative mechanisms considered and ruled out)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JSON mechanistic profiles per compound with confidence scoring, CSV gene expression data showing target engagement signatures, PNG pathway diagrams with validated target positions</w:t>
      </w:r>
    </w:p>
    <w:p>
      <w:pPr>
        <w:pStyle w:val="Heading2"/>
        <w:spacing w:after="200" w:before="200"/>
      </w:pPr>
      <w:r>
        <w:rPr>
          <w:rFonts w:ascii="Arial" w:cs="Arial" w:eastAsia="Arial" w:hAnsi="Arial"/>
          <w:b/>
          <w:bCs/>
          <w:sz w:val="28"/>
          <w:szCs w:val="28"/>
        </w:rPr>
        <w:t xml:space="preserve">Stage 6: IND-Enabling Experimental Roadmap &amp; Go/No-Go Criteria</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confirmatory data into a clear IND-enabling experimental roadmap with quantified go/no-go decision criteria, enabling efficient progression or deprioritization of candidates.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All validation data from Stages 1-5 (ex vivo rescue, dose-response, biomarkers, in vivo PoC, mechanism)</w:t>
      </w:r>
    </w:p>
    <w:p>
      <w:pPr>
        <w:pStyle w:val="ListParagraph"/>
        <w:numPr>
          <w:ilvl w:val="0"/>
          <w:numId w:val="2"/>
        </w:numPr>
        <w:spacing w:after="100" w:line="360"/>
      </w:pPr>
      <w:r>
        <w:rPr>
          <w:rFonts w:ascii="Arial" w:cs="Arial" w:eastAsia="Arial" w:hAnsi="Arial"/>
          <w:sz w:val="24"/>
          <w:szCs w:val="24"/>
        </w:rPr>
        <w:t xml:space="preserve">Regulatory guidance (FDA guidances for preclinical toxicology, IND-enabling requirements)</w:t>
      </w:r>
    </w:p>
    <w:p>
      <w:pPr>
        <w:pStyle w:val="ListParagraph"/>
        <w:numPr>
          <w:ilvl w:val="0"/>
          <w:numId w:val="2"/>
        </w:numPr>
        <w:spacing w:after="100" w:line="360"/>
      </w:pPr>
      <w:r>
        <w:rPr>
          <w:rFonts w:ascii="Arial" w:cs="Arial" w:eastAsia="Arial" w:hAnsi="Arial"/>
          <w:sz w:val="24"/>
          <w:szCs w:val="24"/>
        </w:rPr>
        <w:t xml:space="preserve">Estimated development costs and timelines (preclinical through Phase 1)</w:t>
      </w:r>
    </w:p>
    <w:p>
      <w:pPr>
        <w:pStyle w:val="ListParagraph"/>
        <w:numPr>
          <w:ilvl w:val="0"/>
          <w:numId w:val="2"/>
        </w:numPr>
        <w:spacing w:after="100" w:line="360"/>
      </w:pPr>
      <w:r>
        <w:rPr>
          <w:rFonts w:ascii="Arial" w:cs="Arial" w:eastAsia="Arial" w:hAnsi="Arial"/>
          <w:sz w:val="24"/>
          <w:szCs w:val="24"/>
        </w:rPr>
        <w:t xml:space="preserve">Comparative data from reference compounds or clinical precedents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Decision tree and go/no-go criteria analysis (transparent decision rules, explicit thresholds)</w:t>
      </w:r>
    </w:p>
    <w:p>
      <w:pPr>
        <w:pStyle w:val="ListParagraph"/>
        <w:numPr>
          <w:ilvl w:val="0"/>
          <w:numId w:val="2"/>
        </w:numPr>
        <w:spacing w:after="100" w:line="360"/>
      </w:pPr>
      <w:r>
        <w:rPr>
          <w:rFonts w:ascii="Arial" w:cs="Arial" w:eastAsia="Arial" w:hAnsi="Arial"/>
          <w:sz w:val="24"/>
          <w:szCs w:val="24"/>
        </w:rPr>
        <w:t xml:space="preserve">Regulatory intelligence database (FDA precedents, guidance document review)</w:t>
      </w:r>
    </w:p>
    <w:p>
      <w:pPr>
        <w:pStyle w:val="ListParagraph"/>
        <w:numPr>
          <w:ilvl w:val="0"/>
          <w:numId w:val="2"/>
        </w:numPr>
        <w:spacing w:after="100" w:line="360"/>
      </w:pPr>
      <w:r>
        <w:rPr>
          <w:rFonts w:ascii="Arial" w:cs="Arial" w:eastAsia="Arial" w:hAnsi="Arial"/>
          <w:sz w:val="24"/>
          <w:szCs w:val="24"/>
        </w:rPr>
        <w:t xml:space="preserve">Project timeline and budget estimation (preclinical study duration, cost modeling)</w:t>
      </w:r>
    </w:p>
    <w:p>
      <w:pPr>
        <w:pStyle w:val="ListParagraph"/>
        <w:numPr>
          <w:ilvl w:val="0"/>
          <w:numId w:val="2"/>
        </w:numPr>
        <w:spacing w:after="100" w:line="360"/>
      </w:pPr>
      <w:r>
        <w:rPr>
          <w:rFonts w:ascii="Arial" w:cs="Arial" w:eastAsia="Arial" w:hAnsi="Arial"/>
          <w:sz w:val="24"/>
          <w:szCs w:val="24"/>
        </w:rPr>
        <w:t xml:space="preserve">Presentation and communication tools (executive summaries, visual decision trees)</w:t>
      </w:r>
    </w:p>
    <w:p>
      <w:pPr>
        <w:pStyle w:val="ListParagraph"/>
        <w:numPr>
          <w:ilvl w:val="0"/>
          <w:numId w:val="2"/>
        </w:numPr>
        <w:spacing w:after="100" w:line="360"/>
      </w:pPr>
      <w:r>
        <w:rPr>
          <w:rFonts w:ascii="Arial" w:cs="Arial" w:eastAsia="Arial" w:hAnsi="Arial"/>
          <w:sz w:val="24"/>
          <w:szCs w:val="24"/>
        </w:rPr>
        <w:t xml:space="preserve">Risk assessment frameworks (critical path analysis, probability-adjusted timelines)</w:t>
      </w:r>
    </w:p>
    <w:p>
      <w:pPr>
        <w:pStyle w:val="ListParagraph"/>
        <w:numPr>
          <w:ilvl w:val="0"/>
          <w:numId w:val="2"/>
        </w:numPr>
        <w:spacing w:after="100" w:line="360"/>
      </w:pPr>
      <w:r>
        <w:rPr>
          <w:rFonts w:ascii="Arial" w:cs="Arial" w:eastAsia="Arial" w:hAnsi="Arial"/>
          <w:sz w:val="24"/>
          <w:szCs w:val="24"/>
        </w:rPr>
        <w:t xml:space="preserve">Governance and approval workflows (stakeholder sign-off, escalation procedures)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Synthesize confirmation data into report card per candidate: rescue strength (scale 1-5), mechanism confidence (scale 1-5), in vivo efficacy (scale 1-5), risk profile (scale 1-5, inverted).</w:t>
      </w:r>
    </w:p>
    <w:p>
      <w:pPr>
        <w:pStyle w:val="ListParagraph"/>
        <w:numPr>
          <w:ilvl w:val="0"/>
          <w:numId w:val="2"/>
        </w:numPr>
        <w:spacing w:after="100" w:line="360"/>
      </w:pPr>
      <w:r>
        <w:rPr>
          <w:rFonts w:ascii="Arial" w:cs="Arial" w:eastAsia="Arial" w:hAnsi="Arial"/>
          <w:sz w:val="24"/>
          <w:szCs w:val="24"/>
        </w:rPr>
        <w:t xml:space="preserve">Define explicit go/no-go thresholds: Advance if rescue strength ≥4, mechanism confidence ≥3, in vivo efficacy detected (p&lt;0.05), AND risk profile ≤3?</w:t>
      </w:r>
    </w:p>
    <w:p>
      <w:pPr>
        <w:pStyle w:val="ListParagraph"/>
        <w:numPr>
          <w:ilvl w:val="0"/>
          <w:numId w:val="2"/>
        </w:numPr>
        <w:spacing w:after="100" w:line="360"/>
      </w:pPr>
      <w:r>
        <w:rPr>
          <w:rFonts w:ascii="Arial" w:cs="Arial" w:eastAsia="Arial" w:hAnsi="Arial"/>
          <w:sz w:val="24"/>
          <w:szCs w:val="24"/>
        </w:rPr>
        <w:t xml:space="preserve">Outline IND-enabling studies required per candidate: GLP single-dose toxicology (range-finding + 2-week repeat dose), PK studies, genotoxicity, plus any indication-specific studies.</w:t>
      </w:r>
    </w:p>
    <w:p>
      <w:pPr>
        <w:pStyle w:val="ListParagraph"/>
        <w:numPr>
          <w:ilvl w:val="0"/>
          <w:numId w:val="2"/>
        </w:numPr>
        <w:spacing w:after="100" w:line="360"/>
      </w:pPr>
      <w:r>
        <w:rPr>
          <w:rFonts w:ascii="Arial" w:cs="Arial" w:eastAsia="Arial" w:hAnsi="Arial"/>
          <w:sz w:val="24"/>
          <w:szCs w:val="24"/>
        </w:rPr>
        <w:t xml:space="preserve">Estimate total IND-enabling cost (~$2-4M per compound) and timeline (~12-18 months); identify critical path bottlenecks.</w:t>
      </w:r>
    </w:p>
    <w:p>
      <w:pPr>
        <w:pStyle w:val="ListParagraph"/>
        <w:numPr>
          <w:ilvl w:val="0"/>
          <w:numId w:val="2"/>
        </w:numPr>
        <w:spacing w:after="100" w:line="360"/>
      </w:pPr>
      <w:r>
        <w:rPr>
          <w:rFonts w:ascii="Arial" w:cs="Arial" w:eastAsia="Arial" w:hAnsi="Arial"/>
          <w:sz w:val="24"/>
          <w:szCs w:val="24"/>
        </w:rPr>
        <w:t xml:space="preserve">Generate go/no-go decision framework document: decision matrix, explicit scoring, recommended advancement status (Proceed with candidate X and Y; deprioritize Z pending additional data).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Confirmation data summary table (rescue strength, dose-response parameters, biomarker reproducibility, in vivo efficacy results, mechanism confidence scores)</w:t>
      </w:r>
    </w:p>
    <w:p>
      <w:pPr>
        <w:pStyle w:val="ListParagraph"/>
        <w:numPr>
          <w:ilvl w:val="0"/>
          <w:numId w:val="2"/>
        </w:numPr>
        <w:spacing w:after="100" w:line="360"/>
      </w:pPr>
      <w:r>
        <w:rPr>
          <w:rFonts w:ascii="Arial" w:cs="Arial" w:eastAsia="Arial" w:hAnsi="Arial"/>
          <w:sz w:val="24"/>
          <w:szCs w:val="24"/>
        </w:rPr>
        <w:t xml:space="preserve">Go/no-go decision criteria (explicit thresholds, scoring methodology, rationale for thresholds selected)</w:t>
      </w:r>
    </w:p>
    <w:p>
      <w:pPr>
        <w:pStyle w:val="ListParagraph"/>
        <w:numPr>
          <w:ilvl w:val="0"/>
          <w:numId w:val="2"/>
        </w:numPr>
        <w:spacing w:after="100" w:line="360"/>
      </w:pPr>
      <w:r>
        <w:rPr>
          <w:rFonts w:ascii="Arial" w:cs="Arial" w:eastAsia="Arial" w:hAnsi="Arial"/>
          <w:sz w:val="24"/>
          <w:szCs w:val="24"/>
        </w:rPr>
        <w:t xml:space="preserve">IND-enabling experimental roadmap (specific studies required, regulatory guidance citations, cost estimates, timeline projections)</w:t>
      </w:r>
    </w:p>
    <w:p>
      <w:pPr>
        <w:pStyle w:val="ListParagraph"/>
        <w:numPr>
          <w:ilvl w:val="0"/>
          <w:numId w:val="2"/>
        </w:numPr>
        <w:spacing w:after="100" w:line="360"/>
      </w:pPr>
      <w:r>
        <w:rPr>
          <w:rFonts w:ascii="Arial" w:cs="Arial" w:eastAsia="Arial" w:hAnsi="Arial"/>
          <w:sz w:val="24"/>
          <w:szCs w:val="24"/>
        </w:rPr>
        <w:t xml:space="preserve">Risk assessment and mitigation strategies (identified risks, contingency plans, alternative pathways)</w:t>
      </w:r>
    </w:p>
    <w:p>
      <w:pPr>
        <w:pStyle w:val="ListParagraph"/>
        <w:numPr>
          <w:ilvl w:val="0"/>
          <w:numId w:val="2"/>
        </w:numPr>
        <w:spacing w:after="100" w:line="360"/>
      </w:pPr>
      <w:r>
        <w:rPr>
          <w:rFonts w:ascii="Arial" w:cs="Arial" w:eastAsia="Arial" w:hAnsi="Arial"/>
          <w:sz w:val="24"/>
          <w:szCs w:val="24"/>
        </w:rPr>
        <w:t xml:space="preserve">Advancement recommendation (explicit go/no-go determination per candidate with comprehensive justification)</w:t>
      </w:r>
    </w:p>
    <w:p>
      <w:pPr>
        <w:pStyle w:val="ListParagraph"/>
        <w:numPr>
          <w:ilvl w:val="0"/>
          <w:numId w:val="2"/>
        </w:numPr>
        <w:spacing w:after="100" w:line="360"/>
      </w:pPr>
      <w:r>
        <w:rPr>
          <w:rFonts w:ascii="Arial" w:cs="Arial" w:eastAsia="Arial" w:hAnsi="Arial"/>
          <w:sz w:val="24"/>
          <w:szCs w:val="24"/>
        </w:rPr>
        <w:t xml:space="preserve">Executive summary for decision-makers (1-page overview with visual report cards and recommendation)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decision matrix with go/no-go scoring, PDF regulatory roadmap document with embedded timelines, PNG visual report cards and decision trees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Patch-clamp electrophysiology equipment (automated platforms for high-throughput: Sophion, HEKA systems)</w:t>
      </w:r>
    </w:p>
    <w:p>
      <w:pPr>
        <w:pStyle w:val="ListParagraph"/>
        <w:numPr>
          <w:ilvl w:val="0"/>
          <w:numId w:val="2"/>
        </w:numPr>
        <w:spacing w:after="100" w:line="360"/>
      </w:pPr>
      <w:r>
        <w:rPr>
          <w:rFonts w:ascii="Arial" w:cs="Arial" w:eastAsia="Arial" w:hAnsi="Arial"/>
          <w:sz w:val="24"/>
          <w:szCs w:val="24"/>
        </w:rPr>
        <w:t xml:space="preserve">Multi-electrode arrays (MEA) for population-level recording (60-256 channel systems)</w:t>
      </w:r>
    </w:p>
    <w:p>
      <w:pPr>
        <w:pStyle w:val="ListParagraph"/>
        <w:numPr>
          <w:ilvl w:val="0"/>
          <w:numId w:val="2"/>
        </w:numPr>
        <w:spacing w:after="100" w:line="360"/>
      </w:pPr>
      <w:r>
        <w:rPr>
          <w:rFonts w:ascii="Arial" w:cs="Arial" w:eastAsia="Arial" w:hAnsi="Arial"/>
          <w:sz w:val="24"/>
          <w:szCs w:val="24"/>
        </w:rPr>
        <w:t xml:space="preserve">Calcium imaging platforms (automated fluorescence microscopy, ratiometric indicators)</w:t>
      </w:r>
    </w:p>
    <w:p>
      <w:pPr>
        <w:pStyle w:val="ListParagraph"/>
        <w:numPr>
          <w:ilvl w:val="0"/>
          <w:numId w:val="2"/>
        </w:numPr>
        <w:spacing w:after="100" w:line="360"/>
      </w:pPr>
      <w:r>
        <w:rPr>
          <w:rFonts w:ascii="Arial" w:cs="Arial" w:eastAsia="Arial" w:hAnsi="Arial"/>
          <w:sz w:val="24"/>
          <w:szCs w:val="24"/>
        </w:rPr>
        <w:t xml:space="preserve">iPSC banking and characterization infrastructure (genotyping, RNA-seq, flow cytometry)</w:t>
      </w:r>
    </w:p>
    <w:p>
      <w:pPr>
        <w:pStyle w:val="ListParagraph"/>
        <w:numPr>
          <w:ilvl w:val="0"/>
          <w:numId w:val="2"/>
        </w:numPr>
        <w:spacing w:after="100" w:line="360"/>
      </w:pPr>
      <w:r>
        <w:rPr>
          <w:rFonts w:ascii="Arial" w:cs="Arial" w:eastAsia="Arial" w:hAnsi="Arial"/>
          <w:sz w:val="24"/>
          <w:szCs w:val="24"/>
        </w:rPr>
        <w:t xml:space="preserve">Statistical analysis suite (R, Python: mixed models for patient effect, dose-response fitting)</w:t>
      </w:r>
    </w:p>
    <w:p>
      <w:pPr>
        <w:pStyle w:val="ListParagraph"/>
        <w:numPr>
          <w:ilvl w:val="0"/>
          <w:numId w:val="2"/>
        </w:numPr>
        <w:spacing w:after="100" w:line="360"/>
      </w:pPr>
      <w:r>
        <w:rPr>
          <w:rFonts w:ascii="Arial" w:cs="Arial" w:eastAsia="Arial" w:hAnsi="Arial"/>
          <w:sz w:val="24"/>
          <w:szCs w:val="24"/>
        </w:rPr>
        <w:t xml:space="preserve">Laboratory information management system (LIMS) for experiment tracking and data integration</w:t>
      </w:r>
    </w:p>
    <w:p>
      <w:pPr>
        <w:pStyle w:val="ListParagraph"/>
        <w:numPr>
          <w:ilvl w:val="0"/>
          <w:numId w:val="2"/>
        </w:numPr>
        <w:spacing w:after="100" w:line="360"/>
      </w:pPr>
      <w:r>
        <w:rPr>
          <w:rFonts w:ascii="Arial" w:cs="Arial" w:eastAsia="Arial" w:hAnsi="Arial"/>
          <w:sz w:val="24"/>
          <w:szCs w:val="24"/>
        </w:rPr>
        <w:t xml:space="preserve">Dose-response fitting software (4-parameter logistic curves, drm R package, GraphPad Prism)</w:t>
      </w:r>
    </w:p>
    <w:p>
      <w:pPr>
        <w:pStyle w:val="ListParagraph"/>
        <w:numPr>
          <w:ilvl w:val="0"/>
          <w:numId w:val="2"/>
        </w:numPr>
        <w:spacing w:after="100" w:line="360"/>
      </w:pPr>
      <w:r>
        <w:rPr>
          <w:rFonts w:ascii="Arial" w:cs="Arial" w:eastAsia="Arial" w:hAnsi="Arial"/>
          <w:sz w:val="24"/>
          <w:szCs w:val="24"/>
        </w:rPr>
        <w:t xml:space="preserve">Compound concentration measurement (HPLC-MS for solution verification, LC-MS bioanalysis for cellular uptake)</w:t>
      </w:r>
    </w:p>
    <w:p>
      <w:pPr>
        <w:pStyle w:val="ListParagraph"/>
        <w:numPr>
          <w:ilvl w:val="0"/>
          <w:numId w:val="2"/>
        </w:numPr>
        <w:spacing w:after="100" w:line="360"/>
      </w:pPr>
      <w:r>
        <w:rPr>
          <w:rFonts w:ascii="Arial" w:cs="Arial" w:eastAsia="Arial" w:hAnsi="Arial"/>
          <w:sz w:val="24"/>
          <w:szCs w:val="24"/>
        </w:rPr>
        <w:t xml:space="preserve">Electrophysiology recording systems (as Stage 1)</w:t>
      </w:r>
    </w:p>
    <w:p>
      <w:pPr>
        <w:pStyle w:val="ListParagraph"/>
        <w:numPr>
          <w:ilvl w:val="0"/>
          <w:numId w:val="2"/>
        </w:numPr>
        <w:spacing w:after="100" w:line="360"/>
      </w:pPr>
      <w:r>
        <w:rPr>
          <w:rFonts w:ascii="Arial" w:cs="Arial" w:eastAsia="Arial" w:hAnsi="Arial"/>
          <w:sz w:val="24"/>
          <w:szCs w:val="24"/>
        </w:rPr>
        <w:t xml:space="preserve">Kinetic modeling software (PK/PD modeling, WinNonlin for pharmacokinetic simulation)</w:t>
      </w:r>
    </w:p>
    <w:p>
      <w:pPr>
        <w:pStyle w:val="ListParagraph"/>
        <w:numPr>
          <w:ilvl w:val="0"/>
          <w:numId w:val="2"/>
        </w:numPr>
        <w:spacing w:after="100" w:line="360"/>
      </w:pPr>
      <w:r>
        <w:rPr>
          <w:rFonts w:ascii="Arial" w:cs="Arial" w:eastAsia="Arial" w:hAnsi="Arial"/>
          <w:sz w:val="24"/>
          <w:szCs w:val="24"/>
        </w:rPr>
        <w:t xml:space="preserve">Statistical design tools (response surface methodology, optimal DOE for n parameters)</w:t>
      </w:r>
    </w:p>
    <w:p>
      <w:pPr>
        <w:pStyle w:val="ListParagraph"/>
        <w:numPr>
          <w:ilvl w:val="0"/>
          <w:numId w:val="2"/>
        </w:numPr>
        <w:spacing w:after="100" w:line="360"/>
      </w:pPr>
      <w:r>
        <w:rPr>
          <w:rFonts w:ascii="Arial" w:cs="Arial" w:eastAsia="Arial" w:hAnsi="Arial"/>
          <w:sz w:val="24"/>
          <w:szCs w:val="24"/>
        </w:rPr>
        <w:t xml:space="preserve">Visualization and analysis tools (ggplot2, matplotlib for dose-response curves with confidence intervals)</w:t>
      </w:r>
    </w:p>
    <w:p>
      <w:pPr>
        <w:pStyle w:val="ListParagraph"/>
        <w:numPr>
          <w:ilvl w:val="0"/>
          <w:numId w:val="2"/>
        </w:numPr>
        <w:spacing w:after="100" w:line="360"/>
      </w:pPr>
      <w:r>
        <w:rPr>
          <w:rFonts w:ascii="Arial" w:cs="Arial" w:eastAsia="Arial" w:hAnsi="Arial"/>
          <w:sz w:val="24"/>
          <w:szCs w:val="24"/>
        </w:rPr>
        <w:t xml:space="preserve">Biomarker discovery and validation tools (feature importance analysis, LASSO regression, random forests)</w:t>
      </w:r>
    </w:p>
    <w:p>
      <w:pPr>
        <w:pStyle w:val="ListParagraph"/>
        <w:numPr>
          <w:ilvl w:val="0"/>
          <w:numId w:val="2"/>
        </w:numPr>
        <w:spacing w:after="100" w:line="360"/>
      </w:pPr>
      <w:r>
        <w:rPr>
          <w:rFonts w:ascii="Arial" w:cs="Arial" w:eastAsia="Arial" w:hAnsi="Arial"/>
          <w:sz w:val="24"/>
          <w:szCs w:val="24"/>
        </w:rPr>
        <w:t xml:space="preserve">Multi-omics platforms (RNA-seq, proteomics, metabolomics on patient-derived neurons)</w:t>
      </w:r>
    </w:p>
    <w:p>
      <w:pPr>
        <w:pStyle w:val="ListParagraph"/>
        <w:numPr>
          <w:ilvl w:val="0"/>
          <w:numId w:val="2"/>
        </w:numPr>
        <w:spacing w:after="100" w:line="360"/>
      </w:pPr>
      <w:r>
        <w:rPr>
          <w:rFonts w:ascii="Arial" w:cs="Arial" w:eastAsia="Arial" w:hAnsi="Arial"/>
          <w:sz w:val="24"/>
          <w:szCs w:val="24"/>
        </w:rPr>
        <w:t xml:space="preserve">Electrophysiology feature subset selection (univariate association testing, multivariate supervised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2026-03-04T17:27:59.225Z</dcterms:created>
  <dcterms:modified xsi:type="dcterms:W3CDTF">2026-03-04T17:27:59.225Z</dcterms:modified>
</cp:coreProperties>
</file>

<file path=docProps/custom.xml><?xml version="1.0" encoding="utf-8"?>
<Properties xmlns="http://schemas.openxmlformats.org/officeDocument/2006/custom-properties" xmlns:vt="http://schemas.openxmlformats.org/officeDocument/2006/docPropsVTypes"/>
</file>