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Final Prioritized CNS Portfolio with Regulatory Strategy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Prompt: </w:t>
      </w:r>
      <w:r>
        <w:rPr>
          <w:rFonts w:ascii="Arial" w:cs="Arial" w:eastAsia="Arial" w:hAnsi="Arial"/>
          <w:sz w:val="24"/>
          <w:szCs w:val="24"/>
        </w:rPr>
        <w:t xml:space="preserve">Deliver a final prioritized list of clinically de-risked CNS programs across 5 diseases with mechanistic rationale and experimental plan.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capstone pipeline delivers a comprehensive, board-ready prioritized portfolio of 5 clinically de-risked CNS programs spanning distinct disease indications, each with complete mechanistic rationale, IND-enabling experimental validation plan, and regulatory strategy. The workflow synthesizes all prior pipeline outputs into an integrated, multi-disease strategic view enabling executive-level decision-making on research investment allocation and clinical development pathway prioritization.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By providing transparent mechanistic justification, quantified translational bridging evidence, and pre-defined regulatory milestones, the pipeline enables structured scientific governance of the CNS program portfolio. Each program's recommendation includes risk-adjusted probability of success, resource requirements, and contingency triggers, supporting both strategic long-term planning and real-time portfolio management as programs progress through development.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capstone pipeline delivers a comprehensive, board-ready prioritized portfolio of 5 clinically de-risked CNS programs spanning distinct disease indications, each with complete mechanistic rationale, IND-enabling experimental validation plan, and regulatory strategy. The workflow synthesizes all prior pipeline outputs into an integrated, multi-disease strategic view enabling executive-level decision-making on research investment allocation and clinical development pathway prioritization.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By providing transparent mechanistic justification, quantified translational bridging evidence, and pre-defined regulatory milestones, the pipeline enables structured scientific governance of the CNS program portfolio. Each program's recommendation includes risk-adjusted probability of success, resource requirements, and contingency triggers, supporting both strategic long-term planning and real-time portfolio management as programs progress through development.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Multi-Disease Program Selection &amp; Portfolio Composition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Define final 5-program CNS portfolio across distinct disease indications, incorporating rescue efficacy strength, clinical de-risking maturity, regulatory pathway feasibility, and portfolio-level diversification to maximize probability of clinical success and commercial impact.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Composite-ranked candidate programs (top 100 from Pipeline 271)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Indication-stratified rescues for Parkinson's disease, Alzheimer's disease, bipolar disorder, epilepsy, and cerebellar ataxia (the 5 target diseases)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optimization results from Pipeline 273 (if applicable, or direct selection if starting fresh from top 100)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Risk-adjusted expected value rankings (from Pipeline 273 or equivalent prioritization)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constraints (research focus indications, patient population priorities, unmet need emphasis)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Indication-specific rescue strength rankings (disease-stratified data from Pipeline 271)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Multi-criteria decision analysis (MCDA) for multi-disease portfolio composition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optimization algorithms (diversity metrics, rEV maximization across 5-disease constraint)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intelligence database (comparable drugs in clinical development for each disease)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pathway analysis (indication-specific FDA precedents, review times, breakthrough designation eligibility)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Visualization and ranking tools (portfolio composition matrices, disease-specific candidate rankings)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Select highest-rescue-strength compound for each of 5 disease indications: Parkinson's (most common, highest unmet need) → Program A, Alzheimer's (largest patient population) → Program B, bipolar disorder (high disability burden) → Program C, epilepsy (early PoC pathway) → Program D, cerebellar ataxia (rare disease, orphan potential) → Program E.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Cross-check diversification: Verify 5 programs span mechanistically distinct targets (ion channel, kinase, GPCR, transcription factor, neuroprotection modality). Avoid target class redundancy.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regulatory precedent per disease: epilepsy and bipolar disorder have accelerated approval pathways (frequent Phase 2 endpoints → filing potential); neurodegenerative diseases typically longer timelines.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candidates within each disease by composite metric (rescue strength 0-40 points, de-risking score 0-35 points, clinical feasibility 0-25 points); select top 1 per disease (score ≥70 preferred).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Generate portfolio composition matrix: disease indication × compound × rescue score × de-risking score × clinical pathway timeline; confirm portfolio balances rapid early wins (epilepsy) with long-term value (Parkinson's/Alzheimer's).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Final 5-program portfolio composition (Program A-E: 1 per disease indication, compound ID, therapeutic target, mechanism of action)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indication profiles (Parkinson's, Alzheimer's, bipolar disorder, epilepsy, cerebellar ataxia: epidemiology, unmet need, patient population size, clinical precedent)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Rescue strength ranking per disease (top 10 candidates per indication with composite rescue scores; selected candidate highlighted)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Portfolio-level diversification assessment (mechanism diversity, target class distribution, timeline staggering across diseases)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pathway summary per disease (FDA breakthrough designation eligibility, typical review times, comparable drug precedent)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composition scorecard (5 programs with rescue strength, de-risking score, clinical feasibility, combined portfolio metrics)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Excel portfolio composition matrix with multi-column scoring, JSON program-disease matching profiles, PNG disease-indication comparative rescue strength rankings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Comprehensive Mechanistic Rationale &amp; Target Validation Evidence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For each of 5 selected programs, synthesize complete mechanistic justification linking disease pathophysiology to computational target predictions to CRISPR validation to clinical genetic evidence, establishing scientific confidence prior to IND-enabling studies.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5 selected program compounds (from Stage 1)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Disease-specific neuronal phenotype definitions and pathophysiology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Compound target annotations (primary targets, off-targets, binding affinities from ChEMBL/DrugBank)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CRISPR knockdown phenotypes for all target genes (Quiver atlas and published CRISPR screens)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genetic data (GWAS, WES, rare variant studies for each disease)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enrichment analysis (DAVID, Enrichr, Cytoscape for network construction)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annotation databases (ChEMBL, BindingDB, Pathway Commons for mechanistic mapping)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CRISPR phenotype matching (correlation analysis between gene knockdown and disease phenotype rescue)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genetics integration (GWAS SNP→gene mapping, pathway enrichment of GWAS loci)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visualization tools (Cytoscape, Gephi for pathway diagrams and target network positioning)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mining and synthesis tools (PubMed API queries, manual expert review)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pathophysiology mapping: For Parkinson's disease (Program A), define key neurodegenerative mechanisms (dopaminergic neuronal loss, α-synuclein aggregation, mitochondrial dysfunction); map to computational rescue phenotypes (action potential frequency, mitochondrial TMRM signal, synaptic activity).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pathway validation: Retrieve known targets of Program A compound from ChEMBL; cross-reference against CRISPR knockdown phenotypes in Quiver atlas. Do genetic knockdowns of targets phenocopy compound-induced rescue? High correlation (r&gt;0.6) → mechanistic confidence high.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genetic bridging: For Parkinson's disease, identify genetic association studies (GWAS, WES) implicating pathways related to Program A target. LRRK2, GBA, PINK1, DJ1 mutations cause familial PD; if Program A targets pathway downstream of these genes, strong clinical relevance supported.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assessment: Does Program A have known off-target activities that might cause adverse effects? Cross-check against hERG (cardiac toxicity), CYP3A4 (drug interactions), kinase off-targets (if applicable).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Integrated mechanism statement: For each program, write 2-3 paragraph mechanistic rationale synthesizing disease pathophysiology → computational prediction → target validation → clinical genetic evidence → confidence assessment.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pathophysiology summary per program (key mechanisms implicated in disease, animal model phenotypes, patient neuronal phenotypes)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Compound target annotation and mechanism of action (primary targets, binding affinities, secondary targets, mechanistic pathway positioning)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CRISPR validation results per program (gene knockdowns phenocopying compound-induced rescue, correlation coefficients, mechanistic confidence assessment)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genetic evidence per program (GWAS loci in target pathways, rare variants in target genes or related proteins, clinical precedent for pathway modulation)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liability assessment per program (known off-target activities, predicted toxicity risks, mitigation strategies)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Integrated mechanistic rationale statement per program (2-3 paragraph summary with supporting evidence, confidence level for proposed mechanism)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JSON mechanistic profiles per program with nested pathway and target information, CSV CRISPR validation results with correlation coefficients, PNG pathway network diagrams with target positions highlighted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IND-Enabling Experimental Plan &amp; Regulatory Timeline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Define detailed, time-sequenced IND-enabling experimental roadmap for each of 5 programs, specifying preclinical studies, regulatory interactions, and milestones needed to support investigational new drug (IND) application filing within 18-24 month timeframe.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5 selected programs with validated targets and mechanistic rationale (from Stages 1-2)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Toxicology and drug safety requirements (FDA guidance for neurotoxicity assessment, CNS special populations)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precedent for comparable programs (timelines, study requirements, common FDA questions)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Preclinical study templates (GLP toxicology protocols, neurotoxicity assessment methods)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consulting expertise (FDA interactions, IND strategy development)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FDA guidance documents (comprehensive list of guidance for CNS drug development, preclinical safety assessment)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Preclinical toxicology study planning (GLP single-dose, repeat-dose, special study protocols)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PK/PD study design and modeling (absorption, distribution, metabolism, excretion, CNS penetration)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timeline and critical path analysis (Gantt chart tools, dependency mapping)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IND application preparation tools (Common Technical Document (CTD) structure, Type B meeting request templates)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Cost and resource estimation (preclinical study cost databases, CRO capacity verification)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Outline preclinical toxicology battery (Program A example): single-dose GLP study (3 dose levels, rodent, 14-day observation) → $300K, repeat-dose 14-day GLP study (3 dose levels, rodent) → $500K, repeat-dose 28-day GLP study (3 dose levels, dog for CNS disease) → $800K.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neurotoxicity assessment: functional observation battery (FOB), neuropathology (CNS, PNS), neurodegeneration markers (immunohistochemistry for neuronal density, gliosis), +/- EEG recordings for seizure risk assessment if applicable.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Plan PK studies: rat PK (iv and po administration), dog PK (iv and po, closer to human), CNS penetration (CSF sampling if possible, or surrogate markers), metabolite identification and characterization, food effect assessment.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Genotoxicity battery (Ames assay, micronucleus, if molecular structure suggests potential genotoxicity risk; may be waived based on structure-activity relationship assessment).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interaction timeline: Month 3 → IND-Enabling meeting with FDA (pre-IND): present target, mechanism, preclinical data, proposed human PK/dose escalation; Month 6 → IND application filing (CTD structure); Month 6.5 → FDA 30-day review period; Month 7 → IND approval/clearance expected.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Detailed preclinical study plan per program (GLP tox, neurotoxicity, PK, genotoxicity, special studies, estimated cost per study)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strategy per program (FDA guidance applied, special designations pursued, critical path studies, anticipated FDA questions)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timeline and critical path (Gantt chart from study initiation through IND approval, dependencies, milestone dates)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IND application content plan (nonclinical overview, pharmacology/toxicology studies, pharmacokinetics, proposed Phase 1 protocol)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mitigation strategies per program (contingency plans if toxicology flags identified, alternative study designs, backup timelines)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Resource requirements and cost estimate (preclinical studies total cost, CRO partnerships, internal staff, external consultants)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PDF regulatory strategy documents per program with embedded timelines, Excel IND-enabling study budget and timeline spreadsheet, PNG critical path Gantt charts, JSON regulatory interaction plan templates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Patient Stratification &amp; Clinical Biomarker Strategy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Define patient stratification criteria and clinical biomarker strategy for each program to enable enrollment of enriched populations most likely to respond, improve Phase 1-2 trial efficiency, and enable translational bridging from preclinical models to clinical setting.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5 selected programs with mechanistic rationale and EP biomarker profiles (from Stages 1-2)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population genetics and phenotype diversity (genetic subtypes within each disease, clinical heterogeneity)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Available biomarker technologies (CSF biomarkers, imaging biomarkers, genetic testing for patient stratification)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Preclinical biomarker findings (EP features rescued, biochemical markers of target engagement)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endpoint selection (primary efficacy endpoints for Phase 1-2 trials, patient-acceptable outcome measures)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discovery and validation tools (association testing, random forest importance analysis for patient stratification)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Genetic risk stratification (analysis of genetic variants predicting treatment response, genotype-phenotype analysis)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assay development (validation of selected biomarkers for clinical use, QC standards)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registry and electronic health record (EHR) mining tools (identify patient populations, genotype prevalence, phenotype correlation)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 optimization (enrichment strategy design, adaptive trial frameworks)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Translational biomarker mapping (from EP features in patient cells → animal model biomarkers → clinical trial biomarkers)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Parkinson's disease program (Program A): identify genetic risk factors (LRRK2 carriers, GBA mutations if relevant to mechanism); propose genotype-enriched population for Phase 1 (if strong mechanistic link). Secondary: identify clinical phenotype enrichment (age of onset, progression rate) if predictive of compound response.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strategy per program: Primary translational biomarker from Stage 2 (Pipeline 272) (e.g., action potential width rescue) → can this be measured in clinical setting? Propose clinical surrogate (e.g., quantitative motor speed, cognitive speed if applicable). Secondary biomarkers: serum phosphorylated tau (AD/Parkinson's), inflammatory markers (neuroinflammation hypothesis), neuroimaging (MRI, PET) if mechanistically relevant.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decision: Will Phase 1-2 include all comers (unselected population) for safety/tolerability assessment, then stratified analysis for efficacy? Or genetically enriched cohort to maximize efficacy signal?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biomarker harmonization: ensure that EP features identified as primary biomarkers in preclinical work have clinical assay correlates (e.g., neurophysiological testing, quantitative neurological examination, cognitive testing protocols).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timeline: when should biomarker assays be validated? Recommend pre-Phase 1 initiation biomarker assay qualification (for CSF, serum, imaging biomarkers likely to be used as secondary efficacy endpoints).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strategy per program (genetic risk factors, clinical phenotype selection criteria, rationale for enrichment or unselected approach)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selection per program (primary translational biomarker, secondary biomarkers, biochemical markers of target engagement, clinical trial biomarkers for response monitoring)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translational roadmap (preclinical EP features → animal model biomarkers → clinical assays; validation plans for clinical biomarkers)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biomarker assay specifications (proposed assays, required qualifications, timeline for assay development/validation)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enrollment strategy (genetic testing requirements, clinical selection criteria, expected patient population characteristics, recruitment feasibility assessment)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Phase 1-2 trial design implications (sample size justification based on biomarker variability, adaptive trial design if biomarker-guided, subgroup analysis plans)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JSON patient stratification and biomarker profiles per program, CSV clinical biomarker specifications and validation requirements, PNG translational biomarker roadmaps linking preclinical to clinical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Phase 1-2 Clinical Trial Design &amp; Success Criteria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Specify Phase 1 and Phase 2 trial designs for each of 5 programs with primary/secondary endpoints, patient population size justification, statistical power calculations, go/no-go decision thresholds aligned with regulatory expectations and portfolio advancement criteria.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5 programs with IND-enabling plans and clinical biomarker strategies (from Stages 3-4)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guidance on CNS clinical trial design (FDA endpoint selection guidance, clinical outcome measures)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Historical trial designs for comparable programs (similar indications, trial size, endpoint selection, success rates)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Preclinical efficacy data and animal model effect sizes (to inform clinical trial power calculations)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 software (JMP, PASS for sample size and power calculations)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Phase 1 clinical pharmacology design (dose escalation, PK sampling, safety monitoring)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Phase 2 efficacy trial design (endpoint selection, sample size calculation, statistical analysis plans)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FDA guidance review (indication-specific guidance documents, endpoint recommendations, regulatory review)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Adaptive trial design frameworks (group sequential designs, interim efficacy/futility analyses)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Go/no-go decision support (explicit advancement criteria, threshold establishment, statistical testing rules)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Phase 1 design (all 5 programs): single-dose escalation (standard 3+3 design, 40-80 healthy volunteers), repeat-dose study (14-28 days, dose escalation), +/- food effect, PK/PD sampling, safety/tolerability endpoints. Timeline: 6-9 months. Cost: $3-5M.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Phase 2 design (Program A: Parkinson's disease): 12-week double-blind, placebo-controlled trial, n=100-150 patients (randomized 1:1), primary endpoint = change in motor UPDRS score (United Parkinson's Disease Rating Scale) from baseline to week 12 (justification: ~3-5 point improvement is clinically meaningful, effect size ~0.5-0.7 from historical comparator data). Secondary: levodopa-induced dyskinesia reduction, motor complications, quality of life measures. Biomarker secondary: CSF phosphorylated alpha-synuclein, serum p-tau if applicable, neurophysiological measures if feasible.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Sample size justification (Program A): 100 patients/arm, 2-sided α=0.05, β=0.20 (80% power), effect size 0.5 (conservative), detects 3-point UPDRS difference. Accounting for ~10% dropout, total n=110/arm.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Go/no-go criteria: Advance Program A to Phase 2b if primary endpoint met (p&lt;0.05), ≥30% responder rate, and safety profile acceptable (no serious neurological AEs, no cardiac QTc &gt;500ms). If primary endpoint not met but biomarker response strong, consider alternative efficacy endpoint strategy for Phase 2b.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Adaptive trial design option: Include pre-planned interim analysis at 50% enrollment (stage 1: n=55/arm). Assess efficacy signal; if futility boundary crossed, stop trial. If efficacy borderline, allow sample size re-estimation (up to n=150/arm) before final analysis.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Phase 1 trial design summary per program (dose escalation schema, patient population, primary safety endpoints, PK sampling, expected timeline and cost)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Phase 2 trial design summary per program (indication-specific efficacy endpoints, sample size justification, statistical power calculation, inclusion/exclusion criteria, randomization and blinding scheme)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Primary endpoint selection and justification (disease-specific scale selection, minimal clinically important difference, historical precedent for endpoint sensitivity)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plan (primary efficacy analysis, sensitivity analyses, subgroup analyses, interim analysis rules if adaptive design)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Go/no-go decision thresholds (explicit efficacy criteria for advancement, safety stopping rules, decision criteria for alternative efficacy endpoints)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Trial timeline and resource estimates (enrollment timeline, study duration, cost estimate, regulatory interactions)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PDF clinical trial protocol summaries per program, Excel statistical analysis plans with power calculations and sample size tables, PNG phase progression timelines and go/no-go decision trees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Executive Portfolio Summary &amp; Board Decision Framework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Synthesize all 5-program analysis into comprehensive executive portfolio summary, including detailed program profiles, integrated mechanistic rationale, preclinical-to-clinical bridging evidence, regulatory timelines, risk-adjusted success metrics, and clear board-level recommendations for portfolio advancement and investment allocation.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Complete analysis for all 5 programs (Stages 1-5: composition, mechanisms, IND plans, biomarkers, clinical trials)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Risk-adjusted metrics (POS by stage, expected value, development costs, timelines)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Board-level strategic context (company capabilities, financial resources, long-term strategic priorities)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Stakeholder perspectives (scientific advisory board, patient advocacy, regulatory consultants)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presentation frameworks (compelling narrative, data visualization, decision support matrices)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portfolio dashboard (summary metrics for all 5 programs, comparative analysis)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communication (clear articulation of key risks per program and portfolio-level concentration risks)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management tools (priority matrices, resource allocation, timeline projections)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Governance and approval workflows (executive sign-off, board presentation materials)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Ongoing portfolio monitoring tools (tracking sheets, quarterly performance reviews, trigger-based re-evaluations)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Create program profile for each of 5 diseases: disease indication overview (epidemiology, unmet need, patient population), selected compound (ID, mechanism, rescue strength, de-risking score), mechanistic rationale (2-3 paragraph summary), preclinical key data (EP rescue magnitude, CRISPR validation, animal model efficacy), IND-enabling plan (timeline, cost), Phase 1-2 clinical design (endpoints, sample size), key risks and mitigants, go/no-go criteria.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Portfolio-level executive summary: Combined 5-program metrics (total development cost ~$XX million, aggregate timeline to Phase 2 readouts ~36 months, portfolio-level success probability [≥1 program reaches Phase 3] ~XX%), strategic rationale (disease diversity, therapeutic targets, unmet need coverage), portfolio risk profile (success probability if all 3 highest-value programs advance).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Comparative program scoring: all 5 programs ranked by rescue strength, de-risking score, clinical feasibility, expected value, timeline to first readout; highlight which program(s) offer rapid early wins (epilepsy pathway potentially Phase 2 readout within 24 months) vs long-term value (Parkinson's/Alzheimer's multi-billion-dollar peak sales).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Resource and investment roadmap: Year 1 ($X million): preclinical studies, IND-enabling work; Year 2 ($Y million): Phase 1 initiation, continued preclinical for additional programs; Year 3 ($Z million): Phase 2 readouts for Programs D-E, Phase 1 initiation for Programs A-C.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mitigation and contingency: If Program X fails Phase 1 safety, trigger plan Y (deprioritize and redirect resources to Programs Y and Z). If preclinical costs exceed budget, which studies are deprioritized? Portfolio success even if 2 of 5 programs advance to Phase 2.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portfolio summary document (1-2 page overview with portfolio composition, key metrics, recommendation, and supporting detailed analyses)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Program profile documents (one per program: disease/indication, compound/mechanism, preclinical evidence, clinical development plan, key risks/mitigants, go/no-go criteria)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Integrated mechanistic rationale summary (consolidated view of all 5 program mechanisms, highlighting target diversity and complementary therapeutic approaches)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risk assessment and mitigation strategies (portfolio-level success probability, downside scenarios, contingency plans)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IND-enabling and clinical development timeline (integrated 3-year roadmap for all 5 programs, regulatory milestones, Phase 1-2 readout expectations)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Board presentation materials (executive slides, portfolio dashboard, program comparison matrices, decision frameworks, approval documents)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Comprehensive PDF portfolio summary document with embedded visuals, Excel portfolio dashboard with all programs' key metrics and comparative rankings, PNG timeline integration charts and risk heatmaps, presentation-ready PDF with board slides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Indication-specific rescue strength rankings (disease-stratified data from Pipeline 271)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Multi-criteria decision analysis (MCDA) for multi-disease portfolio composition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optimization algorithms (diversity metrics, rEV maximization across 5-disease constraint)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intelligence database (comparable drugs in clinical development for each disease)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pathway analysis (indication-specific FDA precedents, review times, breakthrough designation eligibility)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Visualization and ranking tools (portfolio composition matrices, disease-specific candidate rankings)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enrichment analysis (DAVID, Enrichr, Cytoscape for network construction)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annotation databases (ChEMBL, BindingDB, Pathway Commons for mechanistic mapping)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CRISPR phenotype matching (correlation analysis between gene knockdown and disease phenotype rescue)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genetics integration (GWAS SNP→gene mapping, pathway enrichment of GWAS loci)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visualization tools (Cytoscape, Gephi for pathway diagrams and target network positioning)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mining and synthesis tools (PubMed API queries, manual expert review)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FDA guidance documents (comprehensive list of guidance for CNS drug development, preclinical safety assessment)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Preclinical toxicology study planning (GLP single-dose, repeat-dose, special study protocols)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PK/PD study design and modeling (absorption, distribution, metabolism, excretion, CNS penetration)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2026-03-04T17:27:59.258Z</dcterms:created>
  <dcterms:modified xsi:type="dcterms:W3CDTF">2026-03-04T17:27:59.258Z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