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TSC2 Gapmer Design for Cortical Neurons</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Design 5 gapmer ASO sequences targeting TSC2 mRNA that achieve 50–70% knockdown in human cortical neurons, maximize rescue of the TSC2 KO EP phenotype, and minimize predicted innate immune activation.</w:t>
      </w:r>
    </w:p>
    <w:p>
      <w:pPr>
        <w:spacing w:after="200" w:line="360"/>
      </w:pPr>
      <w:r>
        <w:rPr>
          <w:rFonts w:ascii="Arial" w:cs="Arial" w:eastAsia="Arial" w:hAnsi="Arial"/>
          <w:sz w:val="24"/>
          <w:szCs w:val="24"/>
        </w:rPr>
        <w:t xml:space="preserve">This Sapphire Pipeline workflow provides a comprehensive, multi-stage framework for designing antisense oligonucleotide (ASO) therapeutics targeting tsc2 gapmer design for cortical neurons. The pipeline integrates computational biology, biophysical modeling, and experimental validation protocols to enable precision-medicine approaches to gene regulation and cellular phenotype rescue in patient-derived neurons derived from Quiver Bioscience's electrophysiology (EP) CRISPR atlas.</w:t>
      </w:r>
    </w:p>
    <w:p>
      <w:pPr>
        <w:spacing w:after="200" w:line="360"/>
      </w:pPr>
      <w:r>
        <w:rPr>
          <w:rFonts w:ascii="Arial" w:cs="Arial" w:eastAsia="Arial" w:hAnsi="Arial"/>
          <w:sz w:val="24"/>
          <w:szCs w:val="24"/>
        </w:rPr>
        <w:t xml:space="preserve">Each stage builds upon prior results, from initial target characterization through synthesis and clinical translation. The workflow emphasizes mechanistic understanding of RNA regulation, computational prediction validation, and functional electrophysiological rescue as primary validation metrics. Quiver's integrated platform enables dose-response correlation between ASO-induced mRNA/protein changes and EP phenotypic recovery across the ~18,000 gene perturbations and 3,500+ compound treatments available in the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orchestrates the discovery and validation of therapeutic ASOs through six integrated stages. Stages 1-2 establish the molecular target landscape: identifying optimal sites on disease-relevant transcripts, characterizing secondary structure accessibility, and predicting RNase H or steric hindrance-based mechanisms. Stages 3-4 optimize ASO chemistry and validate specificity: designing modifications (2'-O-methyl, locked nucleic acids, phosphorothioate patterns) to maximize efficacy while minimizing off-target effects and innate immune activation. Stages 5-6 transition from computational models to experimental validation: utilizing splicing reporters, patient-derived neurons, and whole-cell electrophysiology to confirm mechanism and predict clinical outcomes.</w:t>
      </w:r>
    </w:p>
    <w:p>
      <w:pPr>
        <w:spacing w:after="200" w:line="360"/>
      </w:pPr>
      <w:r>
        <w:rPr>
          <w:rFonts w:ascii="Arial" w:cs="Arial" w:eastAsia="Arial" w:hAnsi="Arial"/>
          <w:sz w:val="24"/>
          <w:szCs w:val="24"/>
        </w:rPr>
        <w:t xml:space="preserve">The Quiver Bioscience platform uniquely enables quantitative phenotype-genotype correlation: ASO-induced knockdown/upregulation levels can be directly correlated with EP parameter recovery (action potential duration, resting potential, firing frequency, sodium/potassium current properties) using ~500 features per neuron across multiple neuronal types. This data-driven approach transforms ASO design from purely sequence-optimization toward outcome-optimization: identifying knockdown/upregulation levels that maximize therapeutic EP rescue with minimal toxicity.</w:t>
      </w:r>
    </w:p>
    <w:p>
      <w:pPr>
        <w:pStyle w:val="Heading2"/>
      </w:pPr>
      <w:r>
        <w:rPr>
          <w:rFonts w:ascii="Arial" w:cs="Arial" w:eastAsia="Arial" w:hAnsi="Arial"/>
          <w:b/>
          <w:bCs/>
          <w:sz w:val="28"/>
          <w:szCs w:val="28"/>
        </w:rPr>
        <w:t xml:space="preserve">Stage 1: TSC2 mRNA Target Selection &amp; Secondary Structure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optimal target sites on TSC2 mRNA that balance accessibility, RNase H cleavage potential, and minimal immune activation while considering human cortical neuron-specific splice variants.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TSC2 reference sequences (NM_000368.4) with tissue-specific isoform annotation</w:t>
      </w:r>
    </w:p>
    <w:p>
      <w:pPr>
        <w:pStyle w:val="ListParagraph"/>
        <w:numPr>
          <w:ilvl w:val="0"/>
          <w:numId w:val="2"/>
        </w:numPr>
        <w:spacing w:after="100" w:line="360"/>
      </w:pPr>
      <w:r>
        <w:rPr>
          <w:rFonts w:ascii="Arial" w:cs="Arial" w:eastAsia="Arial" w:hAnsi="Arial"/>
          <w:sz w:val="24"/>
          <w:szCs w:val="24"/>
        </w:rPr>
        <w:t xml:space="preserve">EP phenotype data from TSC2 KO cortical neurons (action potential duration, sodium/potassium channel dynamics)</w:t>
      </w:r>
    </w:p>
    <w:p>
      <w:pPr>
        <w:pStyle w:val="ListParagraph"/>
        <w:numPr>
          <w:ilvl w:val="0"/>
          <w:numId w:val="2"/>
        </w:numPr>
        <w:spacing w:after="100" w:line="360"/>
      </w:pPr>
      <w:r>
        <w:rPr>
          <w:rFonts w:ascii="Arial" w:cs="Arial" w:eastAsia="Arial" w:hAnsi="Arial"/>
          <w:sz w:val="24"/>
          <w:szCs w:val="24"/>
        </w:rPr>
        <w:t xml:space="preserve">mRNA secondary structure predictions for all TSC2 exons and junctions</w:t>
      </w:r>
    </w:p>
    <w:p>
      <w:pPr>
        <w:pStyle w:val="ListParagraph"/>
        <w:numPr>
          <w:ilvl w:val="0"/>
          <w:numId w:val="2"/>
        </w:numPr>
        <w:spacing w:after="100" w:line="360"/>
      </w:pPr>
      <w:r>
        <w:rPr>
          <w:rFonts w:ascii="Arial" w:cs="Arial" w:eastAsia="Arial" w:hAnsi="Arial"/>
          <w:sz w:val="24"/>
          <w:szCs w:val="24"/>
        </w:rPr>
        <w:t xml:space="preserve">CpG/GU-rich repeat mapping across the entire TSC2 coding sequence</w:t>
      </w:r>
    </w:p>
    <w:p>
      <w:pPr>
        <w:pStyle w:val="ListParagraph"/>
        <w:numPr>
          <w:ilvl w:val="0"/>
          <w:numId w:val="2"/>
        </w:numPr>
        <w:spacing w:after="100" w:line="360"/>
      </w:pPr>
      <w:r>
        <w:rPr>
          <w:rFonts w:ascii="Arial" w:cs="Arial" w:eastAsia="Arial" w:hAnsi="Arial"/>
          <w:sz w:val="24"/>
          <w:szCs w:val="24"/>
        </w:rPr>
        <w:t xml:space="preserve">Normalized expression levels and transcript abundance in human primary cortical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NUPACK/RNAfold for RNA secondary structure prediction at 37°C</w:t>
      </w:r>
    </w:p>
    <w:p>
      <w:pPr>
        <w:pStyle w:val="ListParagraph"/>
        <w:numPr>
          <w:ilvl w:val="0"/>
          <w:numId w:val="2"/>
        </w:numPr>
        <w:spacing w:after="100" w:line="360"/>
      </w:pPr>
      <w:r>
        <w:rPr>
          <w:rFonts w:ascii="Arial" w:cs="Arial" w:eastAsia="Arial" w:hAnsi="Arial"/>
          <w:sz w:val="24"/>
          <w:szCs w:val="24"/>
        </w:rPr>
        <w:t xml:space="preserve">Quiver EP CRISPR atlas (TSC2 perturbation phenotypic data)</w:t>
      </w:r>
    </w:p>
    <w:p>
      <w:pPr>
        <w:pStyle w:val="ListParagraph"/>
        <w:numPr>
          <w:ilvl w:val="0"/>
          <w:numId w:val="2"/>
        </w:numPr>
        <w:spacing w:after="100" w:line="360"/>
      </w:pPr>
      <w:r>
        <w:rPr>
          <w:rFonts w:ascii="Arial" w:cs="Arial" w:eastAsia="Arial" w:hAnsi="Arial"/>
          <w:sz w:val="24"/>
          <w:szCs w:val="24"/>
        </w:rPr>
        <w:t xml:space="preserve">TRANSAT for splice variant-specific accessibility analysis</w:t>
      </w:r>
    </w:p>
    <w:p>
      <w:pPr>
        <w:pStyle w:val="ListParagraph"/>
        <w:numPr>
          <w:ilvl w:val="0"/>
          <w:numId w:val="2"/>
        </w:numPr>
        <w:spacing w:after="100" w:line="360"/>
      </w:pPr>
      <w:r>
        <w:rPr>
          <w:rFonts w:ascii="Arial" w:cs="Arial" w:eastAsia="Arial" w:hAnsi="Arial"/>
          <w:sz w:val="24"/>
          <w:szCs w:val="24"/>
        </w:rPr>
        <w:t xml:space="preserve">CpG database and pattern recognition tools for immune motif detection</w:t>
      </w:r>
    </w:p>
    <w:p>
      <w:pPr>
        <w:pStyle w:val="ListParagraph"/>
        <w:numPr>
          <w:ilvl w:val="0"/>
          <w:numId w:val="2"/>
        </w:numPr>
        <w:spacing w:after="100" w:line="360"/>
      </w:pPr>
      <w:r>
        <w:rPr>
          <w:rFonts w:ascii="Arial" w:cs="Arial" w:eastAsia="Arial" w:hAnsi="Arial"/>
          <w:sz w:val="24"/>
          <w:szCs w:val="24"/>
        </w:rPr>
        <w:t xml:space="preserve">RNase H binding site prediction algorithms (thermodynamic-based)</w:t>
      </w:r>
    </w:p>
    <w:p>
      <w:pPr>
        <w:pStyle w:val="ListParagraph"/>
        <w:numPr>
          <w:ilvl w:val="0"/>
          <w:numId w:val="2"/>
        </w:numPr>
        <w:spacing w:after="100" w:line="360"/>
      </w:pPr>
      <w:r>
        <w:rPr>
          <w:rFonts w:ascii="Arial" w:cs="Arial" w:eastAsia="Arial" w:hAnsi="Arial"/>
          <w:sz w:val="24"/>
          <w:szCs w:val="24"/>
        </w:rPr>
        <w:t xml:space="preserve">Integrated Genome Browser (IGB) for TSC2 genome visualization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TSC2 exon, calculate the probability of accessible regions (ΔG &lt; -8 kcal/mol) suitable for gapmer binding</w:t>
      </w:r>
    </w:p>
    <w:p>
      <w:pPr>
        <w:pStyle w:val="ListParagraph"/>
        <w:numPr>
          <w:ilvl w:val="0"/>
          <w:numId w:val="2"/>
        </w:numPr>
        <w:spacing w:after="100" w:line="360"/>
      </w:pPr>
      <w:r>
        <w:rPr>
          <w:rFonts w:ascii="Arial" w:cs="Arial" w:eastAsia="Arial" w:hAnsi="Arial"/>
          <w:sz w:val="24"/>
          <w:szCs w:val="24"/>
        </w:rPr>
        <w:t xml:space="preserve">Map all CpG dinucleotides and GU-rich 4-nucleotide runs to identify immune-stimulating motifs</w:t>
      </w:r>
    </w:p>
    <w:p>
      <w:pPr>
        <w:pStyle w:val="ListParagraph"/>
        <w:numPr>
          <w:ilvl w:val="0"/>
          <w:numId w:val="2"/>
        </w:numPr>
        <w:spacing w:after="100" w:line="360"/>
      </w:pPr>
      <w:r>
        <w:rPr>
          <w:rFonts w:ascii="Arial" w:cs="Arial" w:eastAsia="Arial" w:hAnsi="Arial"/>
          <w:sz w:val="24"/>
          <w:szCs w:val="24"/>
        </w:rPr>
        <w:t xml:space="preserve">Predict RNase H cleavage efficiency for each candidate site based on duplex thermodynamics</w:t>
      </w:r>
    </w:p>
    <w:p>
      <w:pPr>
        <w:pStyle w:val="ListParagraph"/>
        <w:numPr>
          <w:ilvl w:val="0"/>
          <w:numId w:val="2"/>
        </w:numPr>
        <w:spacing w:after="100" w:line="360"/>
      </w:pPr>
      <w:r>
        <w:rPr>
          <w:rFonts w:ascii="Arial" w:cs="Arial" w:eastAsia="Arial" w:hAnsi="Arial"/>
          <w:sz w:val="24"/>
          <w:szCs w:val="24"/>
        </w:rPr>
        <w:t xml:space="preserve">Compare EP phenotypes of TSC2 KO neurons to identify knockdown-sensitive electrophysiological readouts (firing rate, burst frequency)</w:t>
      </w:r>
    </w:p>
    <w:p>
      <w:pPr>
        <w:pStyle w:val="ListParagraph"/>
        <w:numPr>
          <w:ilvl w:val="0"/>
          <w:numId w:val="2"/>
        </w:numPr>
        <w:spacing w:after="100" w:line="360"/>
      </w:pPr>
      <w:r>
        <w:rPr>
          <w:rFonts w:ascii="Arial" w:cs="Arial" w:eastAsia="Arial" w:hAnsi="Arial"/>
          <w:sz w:val="24"/>
          <w:szCs w:val="24"/>
        </w:rPr>
        <w:t xml:space="preserve">Filter target sites to exclude regions requiring &gt;60% secondary structure disruption for binding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List of 15 candidate target sites with ΔG binding free energies and accessibility percentile rankings</w:t>
      </w:r>
    </w:p>
    <w:p>
      <w:pPr>
        <w:pStyle w:val="ListParagraph"/>
        <w:numPr>
          <w:ilvl w:val="0"/>
          <w:numId w:val="2"/>
        </w:numPr>
        <w:spacing w:after="100" w:line="360"/>
      </w:pPr>
      <w:r>
        <w:rPr>
          <w:rFonts w:ascii="Arial" w:cs="Arial" w:eastAsia="Arial" w:hAnsi="Arial"/>
          <w:sz w:val="24"/>
          <w:szCs w:val="24"/>
        </w:rPr>
        <w:t xml:space="preserve">Secondary structure maps highlighting accessible regions with predicted gapmer occupancy</w:t>
      </w:r>
    </w:p>
    <w:p>
      <w:pPr>
        <w:pStyle w:val="ListParagraph"/>
        <w:numPr>
          <w:ilvl w:val="0"/>
          <w:numId w:val="2"/>
        </w:numPr>
        <w:spacing w:after="100" w:line="360"/>
      </w:pPr>
      <w:r>
        <w:rPr>
          <w:rFonts w:ascii="Arial" w:cs="Arial" w:eastAsia="Arial" w:hAnsi="Arial"/>
          <w:sz w:val="24"/>
          <w:szCs w:val="24"/>
        </w:rPr>
        <w:t xml:space="preserve">CpG and immune motif distribution analysis with risk stratification per candidate site</w:t>
      </w:r>
    </w:p>
    <w:p>
      <w:pPr>
        <w:pStyle w:val="ListParagraph"/>
        <w:numPr>
          <w:ilvl w:val="0"/>
          <w:numId w:val="2"/>
        </w:numPr>
        <w:spacing w:after="100" w:line="360"/>
      </w:pPr>
      <w:r>
        <w:rPr>
          <w:rFonts w:ascii="Arial" w:cs="Arial" w:eastAsia="Arial" w:hAnsi="Arial"/>
          <w:sz w:val="24"/>
          <w:szCs w:val="24"/>
        </w:rPr>
        <w:t xml:space="preserve">RNase H cleavage site predictions with relative catalytic efficiency scores (0-100 scale)</w:t>
      </w:r>
    </w:p>
    <w:p>
      <w:pPr>
        <w:pStyle w:val="ListParagraph"/>
        <w:numPr>
          <w:ilvl w:val="0"/>
          <w:numId w:val="2"/>
        </w:numPr>
        <w:spacing w:after="100" w:line="360"/>
      </w:pPr>
      <w:r>
        <w:rPr>
          <w:rFonts w:ascii="Arial" w:cs="Arial" w:eastAsia="Arial" w:hAnsi="Arial"/>
          <w:sz w:val="24"/>
          <w:szCs w:val="24"/>
        </w:rPr>
        <w:t xml:space="preserve">EP phenotype sensitivity matrix correlating knockdown depth to electrophysiological recovery</w:t>
      </w:r>
    </w:p>
    <w:p>
      <w:pPr>
        <w:pStyle w:val="ListParagraph"/>
        <w:numPr>
          <w:ilvl w:val="0"/>
          <w:numId w:val="2"/>
        </w:numPr>
        <w:spacing w:after="100" w:line="360"/>
      </w:pPr>
      <w:r>
        <w:rPr>
          <w:rFonts w:ascii="Arial" w:cs="Arial" w:eastAsia="Arial" w:hAnsi="Arial"/>
          <w:sz w:val="24"/>
          <w:szCs w:val="24"/>
        </w:rPr>
        <w:t xml:space="preserve">Top 5 ranked target sites with composite scoring (accessibility + RNase H + immune safety)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spreadsheet with ranked sites; secondary structure diagrams in PNG format; RNase H prediction table with Gibbs free energy values (kcal/mol) and cleavage efficiency percentiles</w:t>
      </w:r>
    </w:p>
    <w:p>
      <w:pPr>
        <w:pStyle w:val="Heading2"/>
      </w:pPr>
      <w:r>
        <w:rPr>
          <w:rFonts w:ascii="Arial" w:cs="Arial" w:eastAsia="Arial" w:hAnsi="Arial"/>
          <w:b/>
          <w:bCs/>
          <w:sz w:val="28"/>
          <w:szCs w:val="28"/>
        </w:rPr>
        <w:t xml:space="preserve">Stage 2: Gapmer Architecture Design (5-10-5 Model Variants)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and optimize gapmer ASO architecture (gap region length 10 bp, flanking motifs 5 bp) to maximize RNase H engagement while maintaining cellular uptake and minimizing off-target interactions.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Target site sequences and predicted RNase H cleavage preference windows</w:t>
      </w:r>
    </w:p>
    <w:p>
      <w:pPr>
        <w:pStyle w:val="ListParagraph"/>
        <w:numPr>
          <w:ilvl w:val="0"/>
          <w:numId w:val="2"/>
        </w:numPr>
        <w:spacing w:after="100" w:line="360"/>
      </w:pPr>
      <w:r>
        <w:rPr>
          <w:rFonts w:ascii="Arial" w:cs="Arial" w:eastAsia="Arial" w:hAnsi="Arial"/>
          <w:sz w:val="24"/>
          <w:szCs w:val="24"/>
        </w:rPr>
        <w:t xml:space="preserve">Gap-flanking sequence flexibility constraints from literature (5-10-5 vs. 5-12-5 efficacy data)</w:t>
      </w:r>
    </w:p>
    <w:p>
      <w:pPr>
        <w:pStyle w:val="ListParagraph"/>
        <w:numPr>
          <w:ilvl w:val="0"/>
          <w:numId w:val="2"/>
        </w:numPr>
        <w:spacing w:after="100" w:line="360"/>
      </w:pPr>
      <w:r>
        <w:rPr>
          <w:rFonts w:ascii="Arial" w:cs="Arial" w:eastAsia="Arial" w:hAnsi="Arial"/>
          <w:sz w:val="24"/>
          <w:szCs w:val="24"/>
        </w:rPr>
        <w:t xml:space="preserve">Cellular uptake optimization data for phosphorothioate backbone patterns</w:t>
      </w:r>
    </w:p>
    <w:p>
      <w:pPr>
        <w:pStyle w:val="ListParagraph"/>
        <w:numPr>
          <w:ilvl w:val="0"/>
          <w:numId w:val="2"/>
        </w:numPr>
        <w:spacing w:after="100" w:line="360"/>
      </w:pPr>
      <w:r>
        <w:rPr>
          <w:rFonts w:ascii="Arial" w:cs="Arial" w:eastAsia="Arial" w:hAnsi="Arial"/>
          <w:sz w:val="24"/>
          <w:szCs w:val="24"/>
        </w:rPr>
        <w:t xml:space="preserve">Previously validated gapmer designs targeting related mRNA substrates (TSC1, PTEN)</w:t>
      </w:r>
    </w:p>
    <w:p>
      <w:pPr>
        <w:pStyle w:val="ListParagraph"/>
        <w:numPr>
          <w:ilvl w:val="0"/>
          <w:numId w:val="2"/>
        </w:numPr>
        <w:spacing w:after="100" w:line="360"/>
      </w:pPr>
      <w:r>
        <w:rPr>
          <w:rFonts w:ascii="Arial" w:cs="Arial" w:eastAsia="Arial" w:hAnsi="Arial"/>
          <w:sz w:val="24"/>
          <w:szCs w:val="24"/>
        </w:rPr>
        <w:t xml:space="preserve">Predicted off-target binding sites across the human transcriptome (UCSC Genome Browser)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Antisense Oligonucleotide Design Tool (custom ASO design optimization suite)</w:t>
      </w:r>
    </w:p>
    <w:p>
      <w:pPr>
        <w:pStyle w:val="ListParagraph"/>
        <w:numPr>
          <w:ilvl w:val="0"/>
          <w:numId w:val="2"/>
        </w:numPr>
        <w:spacing w:after="100" w:line="360"/>
      </w:pPr>
      <w:r>
        <w:rPr>
          <w:rFonts w:ascii="Arial" w:cs="Arial" w:eastAsia="Arial" w:hAnsi="Arial"/>
          <w:sz w:val="24"/>
          <w:szCs w:val="24"/>
        </w:rPr>
        <w:t xml:space="preserve">RNase H structure-activity relationship (SAR) database</w:t>
      </w:r>
    </w:p>
    <w:p>
      <w:pPr>
        <w:pStyle w:val="ListParagraph"/>
        <w:numPr>
          <w:ilvl w:val="0"/>
          <w:numId w:val="2"/>
        </w:numPr>
        <w:spacing w:after="100" w:line="360"/>
      </w:pPr>
      <w:r>
        <w:rPr>
          <w:rFonts w:ascii="Arial" w:cs="Arial" w:eastAsia="Arial" w:hAnsi="Arial"/>
          <w:sz w:val="24"/>
          <w:szCs w:val="24"/>
        </w:rPr>
        <w:t xml:space="preserve">Off-target prediction engine (OligoWalk, Exiqon design tools)</w:t>
      </w:r>
    </w:p>
    <w:p>
      <w:pPr>
        <w:pStyle w:val="ListParagraph"/>
        <w:numPr>
          <w:ilvl w:val="0"/>
          <w:numId w:val="2"/>
        </w:numPr>
        <w:spacing w:after="100" w:line="360"/>
      </w:pPr>
      <w:r>
        <w:rPr>
          <w:rFonts w:ascii="Arial" w:cs="Arial" w:eastAsia="Arial" w:hAnsi="Arial"/>
          <w:sz w:val="24"/>
          <w:szCs w:val="24"/>
        </w:rPr>
        <w:t xml:space="preserve">MFOLD/RNAsoftware for target-ASO duplex thermodynamic analysis</w:t>
      </w:r>
    </w:p>
    <w:p>
      <w:pPr>
        <w:pStyle w:val="ListParagraph"/>
        <w:numPr>
          <w:ilvl w:val="0"/>
          <w:numId w:val="2"/>
        </w:numPr>
        <w:spacing w:after="100" w:line="360"/>
      </w:pPr>
      <w:r>
        <w:rPr>
          <w:rFonts w:ascii="Arial" w:cs="Arial" w:eastAsia="Arial" w:hAnsi="Arial"/>
          <w:sz w:val="24"/>
          <w:szCs w:val="24"/>
        </w:rPr>
        <w:t xml:space="preserve">Cellular uptake prediction model (phosphorothioate position optimization)</w:t>
      </w:r>
    </w:p>
    <w:p>
      <w:pPr>
        <w:pStyle w:val="ListParagraph"/>
        <w:numPr>
          <w:ilvl w:val="0"/>
          <w:numId w:val="2"/>
        </w:numPr>
        <w:spacing w:after="100" w:line="360"/>
      </w:pPr>
      <w:r>
        <w:rPr>
          <w:rFonts w:ascii="Arial" w:cs="Arial" w:eastAsia="Arial" w:hAnsi="Arial"/>
          <w:sz w:val="24"/>
          <w:szCs w:val="24"/>
        </w:rPr>
        <w:t xml:space="preserve">Gapmer modification databases (2'-MOE, locked nucleic acids, morpholino compatibility)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5 gapmer variants with 10 bp gaps and test 5-MOE or 5-LNA flanking combinations</w:t>
      </w:r>
    </w:p>
    <w:p>
      <w:pPr>
        <w:pStyle w:val="ListParagraph"/>
        <w:numPr>
          <w:ilvl w:val="0"/>
          <w:numId w:val="2"/>
        </w:numPr>
        <w:spacing w:after="100" w:line="360"/>
      </w:pPr>
      <w:r>
        <w:rPr>
          <w:rFonts w:ascii="Arial" w:cs="Arial" w:eastAsia="Arial" w:hAnsi="Arial"/>
          <w:sz w:val="24"/>
          <w:szCs w:val="24"/>
        </w:rPr>
        <w:t xml:space="preserve">For each variant, calculate predicted RNase H recruitment efficiency and H/N ratio optimization</w:t>
      </w:r>
    </w:p>
    <w:p>
      <w:pPr>
        <w:pStyle w:val="ListParagraph"/>
        <w:numPr>
          <w:ilvl w:val="0"/>
          <w:numId w:val="2"/>
        </w:numPr>
        <w:spacing w:after="100" w:line="360"/>
      </w:pPr>
      <w:r>
        <w:rPr>
          <w:rFonts w:ascii="Arial" w:cs="Arial" w:eastAsia="Arial" w:hAnsi="Arial"/>
          <w:sz w:val="24"/>
          <w:szCs w:val="24"/>
        </w:rPr>
        <w:t xml:space="preserve">Predict off-target binding to high-abundance transcripts (GAPDH, ACTB, ACTIN isoforms)</w:t>
      </w:r>
    </w:p>
    <w:p>
      <w:pPr>
        <w:pStyle w:val="ListParagraph"/>
        <w:numPr>
          <w:ilvl w:val="0"/>
          <w:numId w:val="2"/>
        </w:numPr>
        <w:spacing w:after="100" w:line="360"/>
      </w:pPr>
      <w:r>
        <w:rPr>
          <w:rFonts w:ascii="Arial" w:cs="Arial" w:eastAsia="Arial" w:hAnsi="Arial"/>
          <w:sz w:val="24"/>
          <w:szCs w:val="24"/>
        </w:rPr>
        <w:t xml:space="preserve">Model gapmer-target duplex formation ΔG and stability at 37°C in cell culture buffer</w:t>
      </w:r>
    </w:p>
    <w:p>
      <w:pPr>
        <w:pStyle w:val="ListParagraph"/>
        <w:numPr>
          <w:ilvl w:val="0"/>
          <w:numId w:val="2"/>
        </w:numPr>
        <w:spacing w:after="100" w:line="360"/>
      </w:pPr>
      <w:r>
        <w:rPr>
          <w:rFonts w:ascii="Arial" w:cs="Arial" w:eastAsia="Arial" w:hAnsi="Arial"/>
          <w:sz w:val="24"/>
          <w:szCs w:val="24"/>
        </w:rPr>
        <w:t xml:space="preserve">Estimate cellular bioavailability based on phosphorothioate backbone saturation (24 vs. 20 positions)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5 gapmer sequences with 5-10-5 architecture and specified chemical modifications (2'-MOE, phosphorothioate positions)</w:t>
      </w:r>
    </w:p>
    <w:p>
      <w:pPr>
        <w:pStyle w:val="ListParagraph"/>
        <w:numPr>
          <w:ilvl w:val="0"/>
          <w:numId w:val="2"/>
        </w:numPr>
        <w:spacing w:after="100" w:line="360"/>
      </w:pPr>
      <w:r>
        <w:rPr>
          <w:rFonts w:ascii="Arial" w:cs="Arial" w:eastAsia="Arial" w:hAnsi="Arial"/>
          <w:sz w:val="24"/>
          <w:szCs w:val="24"/>
        </w:rPr>
        <w:t xml:space="preserve">RNase H recruitment efficiency scores for each gapmer (0-100) with predicted cleavage kinetics</w:t>
      </w:r>
    </w:p>
    <w:p>
      <w:pPr>
        <w:pStyle w:val="ListParagraph"/>
        <w:numPr>
          <w:ilvl w:val="0"/>
          <w:numId w:val="2"/>
        </w:numPr>
        <w:spacing w:after="100" w:line="360"/>
      </w:pPr>
      <w:r>
        <w:rPr>
          <w:rFonts w:ascii="Arial" w:cs="Arial" w:eastAsia="Arial" w:hAnsi="Arial"/>
          <w:sz w:val="24"/>
          <w:szCs w:val="24"/>
        </w:rPr>
        <w:t xml:space="preserve">Off-target binding predictions (number of predicted sites with ΔG &lt; -12 kcal/mol) and selectivity indices</w:t>
      </w:r>
    </w:p>
    <w:p>
      <w:pPr>
        <w:pStyle w:val="ListParagraph"/>
        <w:numPr>
          <w:ilvl w:val="0"/>
          <w:numId w:val="2"/>
        </w:numPr>
        <w:spacing w:after="100" w:line="360"/>
      </w:pPr>
      <w:r>
        <w:rPr>
          <w:rFonts w:ascii="Arial" w:cs="Arial" w:eastAsia="Arial" w:hAnsi="Arial"/>
          <w:sz w:val="24"/>
          <w:szCs w:val="24"/>
        </w:rPr>
        <w:t xml:space="preserve">Target-gapmer duplex ΔG values and predicted Tm (melting temperature) at physiological conditions</w:t>
      </w:r>
    </w:p>
    <w:p>
      <w:pPr>
        <w:pStyle w:val="ListParagraph"/>
        <w:numPr>
          <w:ilvl w:val="0"/>
          <w:numId w:val="2"/>
        </w:numPr>
        <w:spacing w:after="100" w:line="360"/>
      </w:pPr>
      <w:r>
        <w:rPr>
          <w:rFonts w:ascii="Arial" w:cs="Arial" w:eastAsia="Arial" w:hAnsi="Arial"/>
          <w:sz w:val="24"/>
          <w:szCs w:val="24"/>
        </w:rPr>
        <w:t xml:space="preserve">Cellular uptake potential scores based on modification pattern and phosphorothioate saturation</w:t>
      </w:r>
    </w:p>
    <w:p>
      <w:pPr>
        <w:pStyle w:val="ListParagraph"/>
        <w:numPr>
          <w:ilvl w:val="0"/>
          <w:numId w:val="2"/>
        </w:numPr>
        <w:spacing w:after="100" w:line="360"/>
      </w:pPr>
      <w:r>
        <w:rPr>
          <w:rFonts w:ascii="Arial" w:cs="Arial" w:eastAsia="Arial" w:hAnsi="Arial"/>
          <w:sz w:val="24"/>
          <w:szCs w:val="24"/>
        </w:rPr>
        <w:t xml:space="preserve">Comparative efficacy ranking of 5 designs with rationale for preferred variant(s)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FASTA format sequence output with modification annotations using standard IUPAC nomenclature; thermodynamic predictions in tabular format (kcal/mol, Tm°C); off-target report in HTML with interactive genome browser links</w:t>
      </w:r>
    </w:p>
    <w:p>
      <w:pPr>
        <w:pStyle w:val="Heading2"/>
      </w:pPr>
      <w:r>
        <w:rPr>
          <w:rFonts w:ascii="Arial" w:cs="Arial" w:eastAsia="Arial" w:hAnsi="Arial"/>
          <w:b/>
          <w:bCs/>
          <w:sz w:val="28"/>
          <w:szCs w:val="28"/>
        </w:rPr>
        <w:t xml:space="preserve">Stage 3: Innate Immune Activation Prediction &amp; Mitigation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Computationally predict and experimentally validate innate immune pathway activation risk (TLR3, TLR7/8, RIG-I) for each gapmer candidate and design sequences with minimal immunostimulatory motifs.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Immune activation motif database (5-nucleotide CpG signatures, GU-rich clusters, stem-loop patterns)</w:t>
      </w:r>
    </w:p>
    <w:p>
      <w:pPr>
        <w:pStyle w:val="ListParagraph"/>
        <w:numPr>
          <w:ilvl w:val="0"/>
          <w:numId w:val="2"/>
        </w:numPr>
        <w:spacing w:after="100" w:line="360"/>
      </w:pPr>
      <w:r>
        <w:rPr>
          <w:rFonts w:ascii="Arial" w:cs="Arial" w:eastAsia="Arial" w:hAnsi="Arial"/>
          <w:sz w:val="24"/>
          <w:szCs w:val="24"/>
        </w:rPr>
        <w:t xml:space="preserve">TLR3/TLR7/TLR8 binding motif predictions from literature (dsRNA recognition domains)</w:t>
      </w:r>
    </w:p>
    <w:p>
      <w:pPr>
        <w:pStyle w:val="ListParagraph"/>
        <w:numPr>
          <w:ilvl w:val="0"/>
          <w:numId w:val="2"/>
        </w:numPr>
        <w:spacing w:after="100" w:line="360"/>
      </w:pPr>
      <w:r>
        <w:rPr>
          <w:rFonts w:ascii="Arial" w:cs="Arial" w:eastAsia="Arial" w:hAnsi="Arial"/>
          <w:sz w:val="24"/>
          <w:szCs w:val="24"/>
        </w:rPr>
        <w:t xml:space="preserve">RIG-I activation patterns (triphosphate terminus, stem-loop recognition)</w:t>
      </w:r>
    </w:p>
    <w:p>
      <w:pPr>
        <w:pStyle w:val="ListParagraph"/>
        <w:numPr>
          <w:ilvl w:val="0"/>
          <w:numId w:val="2"/>
        </w:numPr>
        <w:spacing w:after="100" w:line="360"/>
      </w:pPr>
      <w:r>
        <w:rPr>
          <w:rFonts w:ascii="Arial" w:cs="Arial" w:eastAsia="Arial" w:hAnsi="Arial"/>
          <w:sz w:val="24"/>
          <w:szCs w:val="24"/>
        </w:rPr>
        <w:t xml:space="preserve">Baseline immune activation scores for control ASO sequences in cortical neurons</w:t>
      </w:r>
    </w:p>
    <w:p>
      <w:pPr>
        <w:pStyle w:val="ListParagraph"/>
        <w:numPr>
          <w:ilvl w:val="0"/>
          <w:numId w:val="2"/>
        </w:numPr>
        <w:spacing w:after="100" w:line="360"/>
      </w:pPr>
      <w:r>
        <w:rPr>
          <w:rFonts w:ascii="Arial" w:cs="Arial" w:eastAsia="Arial" w:hAnsi="Arial"/>
          <w:sz w:val="24"/>
          <w:szCs w:val="24"/>
        </w:rPr>
        <w:t xml:space="preserve">Chemical modification impact on immune activation (2'-MOE, phosphorothioate, cap analogs)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ImmunoMap tool for TLR3/TLR7/TLR8 motif prediction</w:t>
      </w:r>
    </w:p>
    <w:p>
      <w:pPr>
        <w:pStyle w:val="ListParagraph"/>
        <w:numPr>
          <w:ilvl w:val="0"/>
          <w:numId w:val="2"/>
        </w:numPr>
        <w:spacing w:after="100" w:line="360"/>
      </w:pPr>
      <w:r>
        <w:rPr>
          <w:rFonts w:ascii="Arial" w:cs="Arial" w:eastAsia="Arial" w:hAnsi="Arial"/>
          <w:sz w:val="24"/>
          <w:szCs w:val="24"/>
        </w:rPr>
        <w:t xml:space="preserve">RIG-I binding site prediction (5' terminal structure analysis)</w:t>
      </w:r>
    </w:p>
    <w:p>
      <w:pPr>
        <w:pStyle w:val="ListParagraph"/>
        <w:numPr>
          <w:ilvl w:val="0"/>
          <w:numId w:val="2"/>
        </w:numPr>
        <w:spacing w:after="100" w:line="360"/>
      </w:pPr>
      <w:r>
        <w:rPr>
          <w:rFonts w:ascii="Arial" w:cs="Arial" w:eastAsia="Arial" w:hAnsi="Arial"/>
          <w:sz w:val="24"/>
          <w:szCs w:val="24"/>
        </w:rPr>
        <w:t xml:space="preserve">CpG pattern recognition and GU-rich region detector</w:t>
      </w:r>
    </w:p>
    <w:p>
      <w:pPr>
        <w:pStyle w:val="ListParagraph"/>
        <w:numPr>
          <w:ilvl w:val="0"/>
          <w:numId w:val="2"/>
        </w:numPr>
        <w:spacing w:after="100" w:line="360"/>
      </w:pPr>
      <w:r>
        <w:rPr>
          <w:rFonts w:ascii="Arial" w:cs="Arial" w:eastAsia="Arial" w:hAnsi="Arial"/>
          <w:sz w:val="24"/>
          <w:szCs w:val="24"/>
        </w:rPr>
        <w:t xml:space="preserve">Immune activation risk calculator (cumulative motif scoring)</w:t>
      </w:r>
    </w:p>
    <w:p>
      <w:pPr>
        <w:pStyle w:val="ListParagraph"/>
        <w:numPr>
          <w:ilvl w:val="0"/>
          <w:numId w:val="2"/>
        </w:numPr>
        <w:spacing w:after="100" w:line="360"/>
      </w:pPr>
      <w:r>
        <w:rPr>
          <w:rFonts w:ascii="Arial" w:cs="Arial" w:eastAsia="Arial" w:hAnsi="Arial"/>
          <w:sz w:val="24"/>
          <w:szCs w:val="24"/>
        </w:rPr>
        <w:t xml:space="preserve">Chemical modification impact database (2'-MOE immune evasion, phosphorothioate effects)</w:t>
      </w:r>
    </w:p>
    <w:p>
      <w:pPr>
        <w:pStyle w:val="ListParagraph"/>
        <w:numPr>
          <w:ilvl w:val="0"/>
          <w:numId w:val="2"/>
        </w:numPr>
        <w:spacing w:after="100" w:line="360"/>
      </w:pPr>
      <w:r>
        <w:rPr>
          <w:rFonts w:ascii="Arial" w:cs="Arial" w:eastAsia="Arial" w:hAnsi="Arial"/>
          <w:sz w:val="24"/>
          <w:szCs w:val="24"/>
        </w:rPr>
        <w:t xml:space="preserve">Literature-derived TLR activation threshold models (IL-6, TNF-α induction)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gapmer, scan for CpG dinucleotides, GU-rich 4-nucleotide repeats, and calculate motif prevalence density</w:t>
      </w:r>
    </w:p>
    <w:p>
      <w:pPr>
        <w:pStyle w:val="ListParagraph"/>
        <w:numPr>
          <w:ilvl w:val="0"/>
          <w:numId w:val="2"/>
        </w:numPr>
        <w:spacing w:after="100" w:line="360"/>
      </w:pPr>
      <w:r>
        <w:rPr>
          <w:rFonts w:ascii="Arial" w:cs="Arial" w:eastAsia="Arial" w:hAnsi="Arial"/>
          <w:sz w:val="24"/>
          <w:szCs w:val="24"/>
        </w:rPr>
        <w:t xml:space="preserve">Predict RIG-I recognition probability based on 5' terminal structure and stem-loop frequency</w:t>
      </w:r>
    </w:p>
    <w:p>
      <w:pPr>
        <w:pStyle w:val="ListParagraph"/>
        <w:numPr>
          <w:ilvl w:val="0"/>
          <w:numId w:val="2"/>
        </w:numPr>
        <w:spacing w:after="100" w:line="360"/>
      </w:pPr>
      <w:r>
        <w:rPr>
          <w:rFonts w:ascii="Arial" w:cs="Arial" w:eastAsia="Arial" w:hAnsi="Arial"/>
          <w:sz w:val="24"/>
          <w:szCs w:val="24"/>
        </w:rPr>
        <w:t xml:space="preserve">Model TLR3 activation potential from predicted dsRNA duplex stability and pattern recognition</w:t>
      </w:r>
    </w:p>
    <w:p>
      <w:pPr>
        <w:pStyle w:val="ListParagraph"/>
        <w:numPr>
          <w:ilvl w:val="0"/>
          <w:numId w:val="2"/>
        </w:numPr>
        <w:spacing w:after="100" w:line="360"/>
      </w:pPr>
      <w:r>
        <w:rPr>
          <w:rFonts w:ascii="Arial" w:cs="Arial" w:eastAsia="Arial" w:hAnsi="Arial"/>
          <w:sz w:val="24"/>
          <w:szCs w:val="24"/>
        </w:rPr>
        <w:t xml:space="preserve">Determine optimal 2'-MOE and phosphorothioate modification patterns to suppress immune motifs</w:t>
      </w:r>
    </w:p>
    <w:p>
      <w:pPr>
        <w:pStyle w:val="ListParagraph"/>
        <w:numPr>
          <w:ilvl w:val="0"/>
          <w:numId w:val="2"/>
        </w:numPr>
        <w:spacing w:after="100" w:line="360"/>
      </w:pPr>
      <w:r>
        <w:rPr>
          <w:rFonts w:ascii="Arial" w:cs="Arial" w:eastAsia="Arial" w:hAnsi="Arial"/>
          <w:sz w:val="24"/>
          <w:szCs w:val="24"/>
        </w:rPr>
        <w:t xml:space="preserve">Score each gapmer on a 0-100 immune safety scale with threshold &gt;70 for acceptable designs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Immune motif atlas for each gapmer showing CpG positions, GU-rich clusters, and TLR3 recognition sites</w:t>
      </w:r>
    </w:p>
    <w:p>
      <w:pPr>
        <w:pStyle w:val="ListParagraph"/>
        <w:numPr>
          <w:ilvl w:val="0"/>
          <w:numId w:val="2"/>
        </w:numPr>
        <w:spacing w:after="100" w:line="360"/>
      </w:pPr>
      <w:r>
        <w:rPr>
          <w:rFonts w:ascii="Arial" w:cs="Arial" w:eastAsia="Arial" w:hAnsi="Arial"/>
          <w:sz w:val="24"/>
          <w:szCs w:val="24"/>
        </w:rPr>
        <w:t xml:space="preserve">TLR3/TLR7/TLR8 activation risk scores (0-100) with prediction confidence intervals</w:t>
      </w:r>
    </w:p>
    <w:p>
      <w:pPr>
        <w:pStyle w:val="ListParagraph"/>
        <w:numPr>
          <w:ilvl w:val="0"/>
          <w:numId w:val="2"/>
        </w:numPr>
        <w:spacing w:after="100" w:line="360"/>
      </w:pPr>
      <w:r>
        <w:rPr>
          <w:rFonts w:ascii="Arial" w:cs="Arial" w:eastAsia="Arial" w:hAnsi="Arial"/>
          <w:sz w:val="24"/>
          <w:szCs w:val="24"/>
        </w:rPr>
        <w:t xml:space="preserve">RIG-I binding probability assessment with 5' terminal structure predictions</w:t>
      </w:r>
    </w:p>
    <w:p>
      <w:pPr>
        <w:pStyle w:val="ListParagraph"/>
        <w:numPr>
          <w:ilvl w:val="0"/>
          <w:numId w:val="2"/>
        </w:numPr>
        <w:spacing w:after="100" w:line="360"/>
      </w:pPr>
      <w:r>
        <w:rPr>
          <w:rFonts w:ascii="Arial" w:cs="Arial" w:eastAsia="Arial" w:hAnsi="Arial"/>
          <w:sz w:val="24"/>
          <w:szCs w:val="24"/>
        </w:rPr>
        <w:t xml:space="preserve">Recommended chemical modifications to evade immune detection (2'-MOE coverage, phosphorothioate saturation)</w:t>
      </w:r>
    </w:p>
    <w:p>
      <w:pPr>
        <w:pStyle w:val="ListParagraph"/>
        <w:numPr>
          <w:ilvl w:val="0"/>
          <w:numId w:val="2"/>
        </w:numPr>
        <w:spacing w:after="100" w:line="360"/>
      </w:pPr>
      <w:r>
        <w:rPr>
          <w:rFonts w:ascii="Arial" w:cs="Arial" w:eastAsia="Arial" w:hAnsi="Arial"/>
          <w:sz w:val="24"/>
          <w:szCs w:val="24"/>
        </w:rPr>
        <w:t xml:space="preserve">Predicted IL-6 and TNF-α induction levels (relative to positive control) for each gapmer</w:t>
      </w:r>
    </w:p>
    <w:p>
      <w:pPr>
        <w:pStyle w:val="ListParagraph"/>
        <w:numPr>
          <w:ilvl w:val="0"/>
          <w:numId w:val="2"/>
        </w:numPr>
        <w:spacing w:after="100" w:line="360"/>
      </w:pPr>
      <w:r>
        <w:rPr>
          <w:rFonts w:ascii="Arial" w:cs="Arial" w:eastAsia="Arial" w:hAnsi="Arial"/>
          <w:sz w:val="24"/>
          <w:szCs w:val="24"/>
        </w:rPr>
        <w:t xml:space="preserve">Immune safety ranking of 5 gapmer designs with mitigation strategies for high-risk variants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Risk assessment spreadsheet with motif positions mapped to sequence; immune activation heatmaps; modification recommendation table; IL-6/TNF-α prediction graphs</w:t>
      </w:r>
    </w:p>
    <w:p>
      <w:pPr>
        <w:pStyle w:val="Heading2"/>
      </w:pPr>
      <w:r>
        <w:rPr>
          <w:rFonts w:ascii="Arial" w:cs="Arial" w:eastAsia="Arial" w:hAnsi="Arial"/>
          <w:b/>
          <w:bCs/>
          <w:sz w:val="28"/>
          <w:szCs w:val="28"/>
        </w:rPr>
        <w:t xml:space="preserve">Stage 4: EP Phenotype Rescue Correlation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gapmer-induced knockdown levels (0-100%) against TSC2 KO electrophysiological phenotype metrics to identify optimal knockdown window (50-70%) for maximal rescue without toxicity.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Dose-response curve data: TSC2 knockdown % vs. mRNA reduction (RT-qPCR from cortical neurons)</w:t>
      </w:r>
    </w:p>
    <w:p>
      <w:pPr>
        <w:pStyle w:val="ListParagraph"/>
        <w:numPr>
          <w:ilvl w:val="0"/>
          <w:numId w:val="2"/>
        </w:numPr>
        <w:spacing w:after="100" w:line="360"/>
      </w:pPr>
      <w:r>
        <w:rPr>
          <w:rFonts w:ascii="Arial" w:cs="Arial" w:eastAsia="Arial" w:hAnsi="Arial"/>
          <w:sz w:val="24"/>
          <w:szCs w:val="24"/>
        </w:rPr>
        <w:t xml:space="preserve">EP parameter measurements in TSC2 KO vs. wild-type neurons (action potential duration, resting potential, firing frequency)</w:t>
      </w:r>
    </w:p>
    <w:p>
      <w:pPr>
        <w:pStyle w:val="ListParagraph"/>
        <w:numPr>
          <w:ilvl w:val="0"/>
          <w:numId w:val="2"/>
        </w:numPr>
        <w:spacing w:after="100" w:line="360"/>
      </w:pPr>
      <w:r>
        <w:rPr>
          <w:rFonts w:ascii="Arial" w:cs="Arial" w:eastAsia="Arial" w:hAnsi="Arial"/>
          <w:sz w:val="24"/>
          <w:szCs w:val="24"/>
        </w:rPr>
        <w:t xml:space="preserve">Knockdown kinetics (time to maximal mRNA reduction, plateau duration)</w:t>
      </w:r>
    </w:p>
    <w:p>
      <w:pPr>
        <w:pStyle w:val="ListParagraph"/>
        <w:numPr>
          <w:ilvl w:val="0"/>
          <w:numId w:val="2"/>
        </w:numPr>
        <w:spacing w:after="100" w:line="360"/>
      </w:pPr>
      <w:r>
        <w:rPr>
          <w:rFonts w:ascii="Arial" w:cs="Arial" w:eastAsia="Arial" w:hAnsi="Arial"/>
          <w:sz w:val="24"/>
          <w:szCs w:val="24"/>
        </w:rPr>
        <w:t xml:space="preserve">TSC2 protein level measurements (Western blot) across knockdown dose range</w:t>
      </w:r>
    </w:p>
    <w:p>
      <w:pPr>
        <w:pStyle w:val="ListParagraph"/>
        <w:numPr>
          <w:ilvl w:val="0"/>
          <w:numId w:val="2"/>
        </w:numPr>
        <w:spacing w:after="100" w:line="360"/>
      </w:pPr>
      <w:r>
        <w:rPr>
          <w:rFonts w:ascii="Arial" w:cs="Arial" w:eastAsia="Arial" w:hAnsi="Arial"/>
          <w:sz w:val="24"/>
          <w:szCs w:val="24"/>
        </w:rPr>
        <w:t xml:space="preserve">Compound perturbation data for TSC2-related pathways (mTOR signaling, AKT, PTEN)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atlas data query interface (TSC2 KO phenotypic signatures)</w:t>
      </w:r>
    </w:p>
    <w:p>
      <w:pPr>
        <w:pStyle w:val="ListParagraph"/>
        <w:numPr>
          <w:ilvl w:val="0"/>
          <w:numId w:val="2"/>
        </w:numPr>
        <w:spacing w:after="100" w:line="360"/>
      </w:pPr>
      <w:r>
        <w:rPr>
          <w:rFonts w:ascii="Arial" w:cs="Arial" w:eastAsia="Arial" w:hAnsi="Arial"/>
          <w:sz w:val="24"/>
          <w:szCs w:val="24"/>
        </w:rPr>
        <w:t xml:space="preserve">Dose-response curve fitting (sigmoid logistic regression, EC50 calculation)</w:t>
      </w:r>
    </w:p>
    <w:p>
      <w:pPr>
        <w:pStyle w:val="ListParagraph"/>
        <w:numPr>
          <w:ilvl w:val="0"/>
          <w:numId w:val="2"/>
        </w:numPr>
        <w:spacing w:after="100" w:line="360"/>
      </w:pPr>
      <w:r>
        <w:rPr>
          <w:rFonts w:ascii="Arial" w:cs="Arial" w:eastAsia="Arial" w:hAnsi="Arial"/>
          <w:sz w:val="24"/>
          <w:szCs w:val="24"/>
        </w:rPr>
        <w:t xml:space="preserve">mRNA-protein correlation analysis (linear regression with protein stability modeling)</w:t>
      </w:r>
    </w:p>
    <w:p>
      <w:pPr>
        <w:pStyle w:val="ListParagraph"/>
        <w:numPr>
          <w:ilvl w:val="0"/>
          <w:numId w:val="2"/>
        </w:numPr>
        <w:spacing w:after="100" w:line="360"/>
      </w:pPr>
      <w:r>
        <w:rPr>
          <w:rFonts w:ascii="Arial" w:cs="Arial" w:eastAsia="Arial" w:hAnsi="Arial"/>
          <w:sz w:val="24"/>
          <w:szCs w:val="24"/>
        </w:rPr>
        <w:t xml:space="preserve">EP parameter extraction pipeline (action potential analysis, current clamp recordings)</w:t>
      </w:r>
    </w:p>
    <w:p>
      <w:pPr>
        <w:pStyle w:val="ListParagraph"/>
        <w:numPr>
          <w:ilvl w:val="0"/>
          <w:numId w:val="2"/>
        </w:numPr>
        <w:spacing w:after="100" w:line="360"/>
      </w:pPr>
      <w:r>
        <w:rPr>
          <w:rFonts w:ascii="Arial" w:cs="Arial" w:eastAsia="Arial" w:hAnsi="Arial"/>
          <w:sz w:val="24"/>
          <w:szCs w:val="24"/>
        </w:rPr>
        <w:t xml:space="preserve">Phenotype-genotype correlation engine (Pearson/Spearman correlation with significance testing)</w:t>
      </w:r>
    </w:p>
    <w:p>
      <w:pPr>
        <w:pStyle w:val="ListParagraph"/>
        <w:numPr>
          <w:ilvl w:val="0"/>
          <w:numId w:val="2"/>
        </w:numPr>
        <w:spacing w:after="100" w:line="360"/>
      </w:pPr>
      <w:r>
        <w:rPr>
          <w:rFonts w:ascii="Arial" w:cs="Arial" w:eastAsia="Arial" w:hAnsi="Arial"/>
          <w:sz w:val="24"/>
          <w:szCs w:val="24"/>
        </w:rPr>
        <w:t xml:space="preserve">Rescue efficacy calculator (phenotypic distance metric: KO vs. knockdown vs. wild-type)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action potential duration (APD), resting membrane potential (Vm), and firing rate from TSC2 KO neurons</w:t>
      </w:r>
    </w:p>
    <w:p>
      <w:pPr>
        <w:pStyle w:val="ListParagraph"/>
        <w:numPr>
          <w:ilvl w:val="0"/>
          <w:numId w:val="2"/>
        </w:numPr>
        <w:spacing w:after="100" w:line="360"/>
      </w:pPr>
      <w:r>
        <w:rPr>
          <w:rFonts w:ascii="Arial" w:cs="Arial" w:eastAsia="Arial" w:hAnsi="Arial"/>
          <w:sz w:val="24"/>
          <w:szCs w:val="24"/>
        </w:rPr>
        <w:t xml:space="preserve">For each gapmer, predict mRNA knockdown % at EC80 concentration and map to expected EP recovery</w:t>
      </w:r>
    </w:p>
    <w:p>
      <w:pPr>
        <w:pStyle w:val="ListParagraph"/>
        <w:numPr>
          <w:ilvl w:val="0"/>
          <w:numId w:val="2"/>
        </w:numPr>
        <w:spacing w:after="100" w:line="360"/>
      </w:pPr>
      <w:r>
        <w:rPr>
          <w:rFonts w:ascii="Arial" w:cs="Arial" w:eastAsia="Arial" w:hAnsi="Arial"/>
          <w:sz w:val="24"/>
          <w:szCs w:val="24"/>
        </w:rPr>
        <w:t xml:space="preserve">Calculate phenotypic rescue efficacy: % restoration of wild-type EP values at target 50-70% knockdown</w:t>
      </w:r>
    </w:p>
    <w:p>
      <w:pPr>
        <w:pStyle w:val="ListParagraph"/>
        <w:numPr>
          <w:ilvl w:val="0"/>
          <w:numId w:val="2"/>
        </w:numPr>
        <w:spacing w:after="100" w:line="360"/>
      </w:pPr>
      <w:r>
        <w:rPr>
          <w:rFonts w:ascii="Arial" w:cs="Arial" w:eastAsia="Arial" w:hAnsi="Arial"/>
          <w:sz w:val="24"/>
          <w:szCs w:val="24"/>
        </w:rPr>
        <w:t xml:space="preserve">Determine if partial knockdown (50-70%) recovers EP parameters better than complete knockdown (&gt;90%)</w:t>
      </w:r>
    </w:p>
    <w:p>
      <w:pPr>
        <w:pStyle w:val="ListParagraph"/>
        <w:numPr>
          <w:ilvl w:val="0"/>
          <w:numId w:val="2"/>
        </w:numPr>
        <w:spacing w:after="100" w:line="360"/>
      </w:pPr>
      <w:r>
        <w:rPr>
          <w:rFonts w:ascii="Arial" w:cs="Arial" w:eastAsia="Arial" w:hAnsi="Arial"/>
          <w:sz w:val="24"/>
          <w:szCs w:val="24"/>
        </w:rPr>
        <w:t xml:space="preserve">Validate that TSC2 haploinsufficiency phenotypes are not exacerbated by mild knockdown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Dose-response curves correlating TSC2 mRNA reduction (%) to EP parameters (APD, Vm, firing rate)</w:t>
      </w:r>
    </w:p>
    <w:p>
      <w:pPr>
        <w:pStyle w:val="ListParagraph"/>
        <w:numPr>
          <w:ilvl w:val="0"/>
          <w:numId w:val="2"/>
        </w:numPr>
        <w:spacing w:after="100" w:line="360"/>
      </w:pPr>
      <w:r>
        <w:rPr>
          <w:rFonts w:ascii="Arial" w:cs="Arial" w:eastAsia="Arial" w:hAnsi="Arial"/>
          <w:sz w:val="24"/>
          <w:szCs w:val="24"/>
        </w:rPr>
        <w:t xml:space="preserve">EC50 and EC80 values for TSC2 mRNA knockdown with 95% confidence intervals</w:t>
      </w:r>
    </w:p>
    <w:p>
      <w:pPr>
        <w:pStyle w:val="ListParagraph"/>
        <w:numPr>
          <w:ilvl w:val="0"/>
          <w:numId w:val="2"/>
        </w:numPr>
        <w:spacing w:after="100" w:line="360"/>
      </w:pPr>
      <w:r>
        <w:rPr>
          <w:rFonts w:ascii="Arial" w:cs="Arial" w:eastAsia="Arial" w:hAnsi="Arial"/>
          <w:sz w:val="24"/>
          <w:szCs w:val="24"/>
        </w:rPr>
        <w:t xml:space="preserve">Predicted TSC2 protein levels at 50%, 70%, and 90% mRNA knockdown</w:t>
      </w:r>
    </w:p>
    <w:p>
      <w:pPr>
        <w:pStyle w:val="ListParagraph"/>
        <w:numPr>
          <w:ilvl w:val="0"/>
          <w:numId w:val="2"/>
        </w:numPr>
        <w:spacing w:after="100" w:line="360"/>
      </w:pPr>
      <w:r>
        <w:rPr>
          <w:rFonts w:ascii="Arial" w:cs="Arial" w:eastAsia="Arial" w:hAnsi="Arial"/>
          <w:sz w:val="24"/>
          <w:szCs w:val="24"/>
        </w:rPr>
        <w:t xml:space="preserve">EP phenotype rescue rankings showing which EP parameters recover most effectively at 50-70% knockdown</w:t>
      </w:r>
    </w:p>
    <w:p>
      <w:pPr>
        <w:pStyle w:val="ListParagraph"/>
        <w:numPr>
          <w:ilvl w:val="0"/>
          <w:numId w:val="2"/>
        </w:numPr>
        <w:spacing w:after="100" w:line="360"/>
      </w:pPr>
      <w:r>
        <w:rPr>
          <w:rFonts w:ascii="Arial" w:cs="Arial" w:eastAsia="Arial" w:hAnsi="Arial"/>
          <w:sz w:val="24"/>
          <w:szCs w:val="24"/>
        </w:rPr>
        <w:t xml:space="preserve">Toxicity risk assessment: likelihood of adverse EP phenotypes at different knockdown depths</w:t>
      </w:r>
    </w:p>
    <w:p>
      <w:pPr>
        <w:pStyle w:val="ListParagraph"/>
        <w:numPr>
          <w:ilvl w:val="0"/>
          <w:numId w:val="2"/>
        </w:numPr>
        <w:spacing w:after="100" w:line="360"/>
      </w:pPr>
      <w:r>
        <w:rPr>
          <w:rFonts w:ascii="Arial" w:cs="Arial" w:eastAsia="Arial" w:hAnsi="Arial"/>
          <w:sz w:val="24"/>
          <w:szCs w:val="24"/>
        </w:rPr>
        <w:t xml:space="preserve">Optimal gapmer selection with rationale: predicted knockdown kinetics and EP rescue profile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Dose-response curve graphs with fitted logistic equations; correlation heatmap (knockdown % vs. EP parameters); phenotypic distance radar plots comparing KO, knockdown, and WT; summary table with EC50/EC80 values</w:t>
      </w:r>
    </w:p>
    <w:p>
      <w:pPr>
        <w:pStyle w:val="Heading2"/>
      </w:pPr>
      <w:r>
        <w:rPr>
          <w:rFonts w:ascii="Arial" w:cs="Arial" w:eastAsia="Arial" w:hAnsi="Arial"/>
          <w:b/>
          <w:bCs/>
          <w:sz w:val="28"/>
          <w:szCs w:val="28"/>
        </w:rPr>
        <w:t xml:space="preserve">Stage 5: Competitive Binding &amp; Saturation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gapmer-target binding kinetics, competitive saturation at physiological ASO concentrations, and predict maximum achievable knockdown efficiency accounting for cellular ASO concentration constraints.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Target RNA copy number per cell (TSC2 mRNA abundance in cortical neurons, ~0.1-10 molecules/cell)</w:t>
      </w:r>
    </w:p>
    <w:p>
      <w:pPr>
        <w:pStyle w:val="ListParagraph"/>
        <w:numPr>
          <w:ilvl w:val="0"/>
          <w:numId w:val="2"/>
        </w:numPr>
        <w:spacing w:after="100" w:line="360"/>
      </w:pPr>
      <w:r>
        <w:rPr>
          <w:rFonts w:ascii="Arial" w:cs="Arial" w:eastAsia="Arial" w:hAnsi="Arial"/>
          <w:sz w:val="24"/>
          <w:szCs w:val="24"/>
        </w:rPr>
        <w:t xml:space="preserve">ASO cellular concentration achieved at standard treatment doses (typically 0.1-10 μM in vitro)</w:t>
      </w:r>
    </w:p>
    <w:p>
      <w:pPr>
        <w:pStyle w:val="ListParagraph"/>
        <w:numPr>
          <w:ilvl w:val="0"/>
          <w:numId w:val="2"/>
        </w:numPr>
        <w:spacing w:after="100" w:line="360"/>
      </w:pPr>
      <w:r>
        <w:rPr>
          <w:rFonts w:ascii="Arial" w:cs="Arial" w:eastAsia="Arial" w:hAnsi="Arial"/>
          <w:sz w:val="24"/>
          <w:szCs w:val="24"/>
        </w:rPr>
        <w:t xml:space="preserve">Binding kinetics parameters (Kon, Koff, Kd) for similar ASO-mRNA duplexes</w:t>
      </w:r>
    </w:p>
    <w:p>
      <w:pPr>
        <w:pStyle w:val="ListParagraph"/>
        <w:numPr>
          <w:ilvl w:val="0"/>
          <w:numId w:val="2"/>
        </w:numPr>
        <w:spacing w:after="100" w:line="360"/>
      </w:pPr>
      <w:r>
        <w:rPr>
          <w:rFonts w:ascii="Arial" w:cs="Arial" w:eastAsia="Arial" w:hAnsi="Arial"/>
          <w:sz w:val="24"/>
          <w:szCs w:val="24"/>
        </w:rPr>
        <w:t xml:space="preserve">Competition from endogenous RNA-binding proteins (HuR, ELAVL proteins) for TSC2 mRNA</w:t>
      </w:r>
    </w:p>
    <w:p>
      <w:pPr>
        <w:pStyle w:val="ListParagraph"/>
        <w:numPr>
          <w:ilvl w:val="0"/>
          <w:numId w:val="2"/>
        </w:numPr>
        <w:spacing w:after="100" w:line="360"/>
      </w:pPr>
      <w:r>
        <w:rPr>
          <w:rFonts w:ascii="Arial" w:cs="Arial" w:eastAsia="Arial" w:hAnsi="Arial"/>
          <w:sz w:val="24"/>
          <w:szCs w:val="24"/>
        </w:rPr>
        <w:t xml:space="preserve">RNase H kinetic parameters (Km, Vmax) for substrate saturation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Binding kinetics simulator (Kon/Koff prediction from sequence thermodynamics)</w:t>
      </w:r>
    </w:p>
    <w:p>
      <w:pPr>
        <w:pStyle w:val="ListParagraph"/>
        <w:numPr>
          <w:ilvl w:val="0"/>
          <w:numId w:val="2"/>
        </w:numPr>
        <w:spacing w:after="100" w:line="360"/>
      </w:pPr>
      <w:r>
        <w:rPr>
          <w:rFonts w:ascii="Arial" w:cs="Arial" w:eastAsia="Arial" w:hAnsi="Arial"/>
          <w:sz w:val="24"/>
          <w:szCs w:val="24"/>
        </w:rPr>
        <w:t xml:space="preserve">Competitive binding equilibrium model (multiple ligand binding at single target)</w:t>
      </w:r>
    </w:p>
    <w:p>
      <w:pPr>
        <w:pStyle w:val="ListParagraph"/>
        <w:numPr>
          <w:ilvl w:val="0"/>
          <w:numId w:val="2"/>
        </w:numPr>
        <w:spacing w:after="100" w:line="360"/>
      </w:pPr>
      <w:r>
        <w:rPr>
          <w:rFonts w:ascii="Arial" w:cs="Arial" w:eastAsia="Arial" w:hAnsi="Arial"/>
          <w:sz w:val="24"/>
          <w:szCs w:val="24"/>
        </w:rPr>
        <w:t xml:space="preserve">mRNA abundance quantification database (single-cell RNA-seq normalization)</w:t>
      </w:r>
    </w:p>
    <w:p>
      <w:pPr>
        <w:pStyle w:val="ListParagraph"/>
        <w:numPr>
          <w:ilvl w:val="0"/>
          <w:numId w:val="2"/>
        </w:numPr>
        <w:spacing w:after="100" w:line="360"/>
      </w:pPr>
      <w:r>
        <w:rPr>
          <w:rFonts w:ascii="Arial" w:cs="Arial" w:eastAsia="Arial" w:hAnsi="Arial"/>
          <w:sz w:val="24"/>
          <w:szCs w:val="24"/>
        </w:rPr>
        <w:t xml:space="preserve">RNase H saturation kinetics calculator (Michaelis-Menten analysis)</w:t>
      </w:r>
    </w:p>
    <w:p>
      <w:pPr>
        <w:pStyle w:val="ListParagraph"/>
        <w:numPr>
          <w:ilvl w:val="0"/>
          <w:numId w:val="2"/>
        </w:numPr>
        <w:spacing w:after="100" w:line="360"/>
      </w:pPr>
      <w:r>
        <w:rPr>
          <w:rFonts w:ascii="Arial" w:cs="Arial" w:eastAsia="Arial" w:hAnsi="Arial"/>
          <w:sz w:val="24"/>
          <w:szCs w:val="24"/>
        </w:rPr>
        <w:t xml:space="preserve">ASO cellular uptake predictor (perfusion-limited vs. saturation kinetics)</w:t>
      </w:r>
    </w:p>
    <w:p>
      <w:pPr>
        <w:pStyle w:val="ListParagraph"/>
        <w:numPr>
          <w:ilvl w:val="0"/>
          <w:numId w:val="2"/>
        </w:numPr>
        <w:spacing w:after="100" w:line="360"/>
      </w:pPr>
      <w:r>
        <w:rPr>
          <w:rFonts w:ascii="Arial" w:cs="Arial" w:eastAsia="Arial" w:hAnsi="Arial"/>
          <w:sz w:val="24"/>
          <w:szCs w:val="24"/>
        </w:rPr>
        <w:t xml:space="preserve">Knockout efficiency plateau estimator (maximum achievable knockdown given cellular constraints)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TSC2 mRNA copy number per cortical neuron using published single-cell RNA-seq data</w:t>
      </w:r>
    </w:p>
    <w:p>
      <w:pPr>
        <w:pStyle w:val="ListParagraph"/>
        <w:numPr>
          <w:ilvl w:val="0"/>
          <w:numId w:val="2"/>
        </w:numPr>
        <w:spacing w:after="100" w:line="360"/>
      </w:pPr>
      <w:r>
        <w:rPr>
          <w:rFonts w:ascii="Arial" w:cs="Arial" w:eastAsia="Arial" w:hAnsi="Arial"/>
          <w:sz w:val="24"/>
          <w:szCs w:val="24"/>
        </w:rPr>
        <w:t xml:space="preserve">Predict gapmer Kd based on target sequence, secondary structure accessibility, and modification pattern</w:t>
      </w:r>
    </w:p>
    <w:p>
      <w:pPr>
        <w:pStyle w:val="ListParagraph"/>
        <w:numPr>
          <w:ilvl w:val="0"/>
          <w:numId w:val="2"/>
        </w:numPr>
        <w:spacing w:after="100" w:line="360"/>
      </w:pPr>
      <w:r>
        <w:rPr>
          <w:rFonts w:ascii="Arial" w:cs="Arial" w:eastAsia="Arial" w:hAnsi="Arial"/>
          <w:sz w:val="24"/>
          <w:szCs w:val="24"/>
        </w:rPr>
        <w:t xml:space="preserve">Model competitive binding with endogenous HuR and ELAVL proteins for shared RNA binding sites</w:t>
      </w:r>
    </w:p>
    <w:p>
      <w:pPr>
        <w:pStyle w:val="ListParagraph"/>
        <w:numPr>
          <w:ilvl w:val="0"/>
          <w:numId w:val="2"/>
        </w:numPr>
        <w:spacing w:after="100" w:line="360"/>
      </w:pPr>
      <w:r>
        <w:rPr>
          <w:rFonts w:ascii="Arial" w:cs="Arial" w:eastAsia="Arial" w:hAnsi="Arial"/>
          <w:sz w:val="24"/>
          <w:szCs w:val="24"/>
        </w:rPr>
        <w:t xml:space="preserve">Simulate saturation kinetics: predict knockdown % as function of ASO dose from 10 nM to 10 μM</w:t>
      </w:r>
    </w:p>
    <w:p>
      <w:pPr>
        <w:pStyle w:val="ListParagraph"/>
        <w:numPr>
          <w:ilvl w:val="0"/>
          <w:numId w:val="2"/>
        </w:numPr>
        <w:spacing w:after="100" w:line="360"/>
      </w:pPr>
      <w:r>
        <w:rPr>
          <w:rFonts w:ascii="Arial" w:cs="Arial" w:eastAsia="Arial" w:hAnsi="Arial"/>
          <w:sz w:val="24"/>
          <w:szCs w:val="24"/>
        </w:rPr>
        <w:t xml:space="preserve">Estimate RNase H Km for gapmer-target complex and predict cleavage turnover rate (kcat)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Predicted Kd values for each gapmer with target RNA (nanomolar range)</w:t>
      </w:r>
    </w:p>
    <w:p>
      <w:pPr>
        <w:pStyle w:val="ListParagraph"/>
        <w:numPr>
          <w:ilvl w:val="0"/>
          <w:numId w:val="2"/>
        </w:numPr>
        <w:spacing w:after="100" w:line="360"/>
      </w:pPr>
      <w:r>
        <w:rPr>
          <w:rFonts w:ascii="Arial" w:cs="Arial" w:eastAsia="Arial" w:hAnsi="Arial"/>
          <w:sz w:val="24"/>
          <w:szCs w:val="24"/>
        </w:rPr>
        <w:t xml:space="preserve">Binding kinetics parameters (Kon, Koff in s-1) derived from thermodynamic models</w:t>
      </w:r>
    </w:p>
    <w:p>
      <w:pPr>
        <w:pStyle w:val="ListParagraph"/>
        <w:numPr>
          <w:ilvl w:val="0"/>
          <w:numId w:val="2"/>
        </w:numPr>
        <w:spacing w:after="100" w:line="360"/>
      </w:pPr>
      <w:r>
        <w:rPr>
          <w:rFonts w:ascii="Arial" w:cs="Arial" w:eastAsia="Arial" w:hAnsi="Arial"/>
          <w:sz w:val="24"/>
          <w:szCs w:val="24"/>
        </w:rPr>
        <w:t xml:space="preserve">Competitive binding analysis showing HuR/ELAVL inhibition of gapmer binding (% reduction)</w:t>
      </w:r>
    </w:p>
    <w:p>
      <w:pPr>
        <w:pStyle w:val="ListParagraph"/>
        <w:numPr>
          <w:ilvl w:val="0"/>
          <w:numId w:val="2"/>
        </w:numPr>
        <w:spacing w:after="100" w:line="360"/>
      </w:pPr>
      <w:r>
        <w:rPr>
          <w:rFonts w:ascii="Arial" w:cs="Arial" w:eastAsia="Arial" w:hAnsi="Arial"/>
          <w:sz w:val="24"/>
          <w:szCs w:val="24"/>
        </w:rPr>
        <w:t xml:space="preserve">Saturation curve: predicted knockdown % vs. ASO dose (nM to μM range) with plateau identification</w:t>
      </w:r>
    </w:p>
    <w:p>
      <w:pPr>
        <w:pStyle w:val="ListParagraph"/>
        <w:numPr>
          <w:ilvl w:val="0"/>
          <w:numId w:val="2"/>
        </w:numPr>
        <w:spacing w:after="100" w:line="360"/>
      </w:pPr>
      <w:r>
        <w:rPr>
          <w:rFonts w:ascii="Arial" w:cs="Arial" w:eastAsia="Arial" w:hAnsi="Arial"/>
          <w:sz w:val="24"/>
          <w:szCs w:val="24"/>
        </w:rPr>
        <w:t xml:space="preserve">RNase H kinetic parameters (Km in μM, Vmax in fmol/min) for each gapmer-target complex</w:t>
      </w:r>
    </w:p>
    <w:p>
      <w:pPr>
        <w:pStyle w:val="ListParagraph"/>
        <w:numPr>
          <w:ilvl w:val="0"/>
          <w:numId w:val="2"/>
        </w:numPr>
        <w:spacing w:after="100" w:line="360"/>
      </w:pPr>
      <w:r>
        <w:rPr>
          <w:rFonts w:ascii="Arial" w:cs="Arial" w:eastAsia="Arial" w:hAnsi="Arial"/>
          <w:sz w:val="24"/>
          <w:szCs w:val="24"/>
        </w:rPr>
        <w:t xml:space="preserve">Maximum achievable knockdown prediction at saturating ASO concentrations with confidence bounds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Binding kinetics table with Kd, Kon, Koff values (units: M, s-1); saturation curve graphs with logistic fit equations; competitive binding inhibition percentages; RNase H Michaelis-Menten plot</w:t>
      </w:r>
    </w:p>
    <w:p>
      <w:pPr>
        <w:pStyle w:val="Heading2"/>
      </w:pPr>
      <w:r>
        <w:rPr>
          <w:rFonts w:ascii="Arial" w:cs="Arial" w:eastAsia="Arial" w:hAnsi="Arial"/>
          <w:b/>
          <w:bCs/>
          <w:sz w:val="28"/>
          <w:szCs w:val="28"/>
        </w:rPr>
        <w:t xml:space="preserve">Stage 6: Synthesis, QC, &amp; Experimental Validation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chemical synthesis routes for 5 gapmer candidates, specify quality control specifications, and outline experimental validation workflow for knockdown efficacy and EP rescue in human cortical neurons.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Gapmer sequences with full chemical modification specifications (2'-MOE positions, phosphorothioate linkages, 5'/3' caps)</w:t>
      </w:r>
    </w:p>
    <w:p>
      <w:pPr>
        <w:pStyle w:val="ListParagraph"/>
        <w:numPr>
          <w:ilvl w:val="0"/>
          <w:numId w:val="2"/>
        </w:numPr>
        <w:spacing w:after="100" w:line="360"/>
      </w:pPr>
      <w:r>
        <w:rPr>
          <w:rFonts w:ascii="Arial" w:cs="Arial" w:eastAsia="Arial" w:hAnsi="Arial"/>
          <w:sz w:val="24"/>
          <w:szCs w:val="24"/>
        </w:rPr>
        <w:t xml:space="preserve">Purity requirements for cell culture (&gt;95% full-length by HPLC)</w:t>
      </w:r>
    </w:p>
    <w:p>
      <w:pPr>
        <w:pStyle w:val="ListParagraph"/>
        <w:numPr>
          <w:ilvl w:val="0"/>
          <w:numId w:val="2"/>
        </w:numPr>
        <w:spacing w:after="100" w:line="360"/>
      </w:pPr>
      <w:r>
        <w:rPr>
          <w:rFonts w:ascii="Arial" w:cs="Arial" w:eastAsia="Arial" w:hAnsi="Arial"/>
          <w:sz w:val="24"/>
          <w:szCs w:val="24"/>
        </w:rPr>
        <w:t xml:space="preserve">Synthesis complexity assessment (G-rich regions, potential secondary structure during synthesis)</w:t>
      </w:r>
    </w:p>
    <w:p>
      <w:pPr>
        <w:pStyle w:val="ListParagraph"/>
        <w:numPr>
          <w:ilvl w:val="0"/>
          <w:numId w:val="2"/>
        </w:numPr>
        <w:spacing w:after="100" w:line="360"/>
      </w:pPr>
      <w:r>
        <w:rPr>
          <w:rFonts w:ascii="Arial" w:cs="Arial" w:eastAsia="Arial" w:hAnsi="Arial"/>
          <w:sz w:val="24"/>
          <w:szCs w:val="24"/>
        </w:rPr>
        <w:t xml:space="preserve">Stability requirements (nuclease resistance in serum, cellular environment)</w:t>
      </w:r>
    </w:p>
    <w:p>
      <w:pPr>
        <w:pStyle w:val="ListParagraph"/>
        <w:numPr>
          <w:ilvl w:val="0"/>
          <w:numId w:val="2"/>
        </w:numPr>
        <w:spacing w:after="100" w:line="360"/>
      </w:pPr>
      <w:r>
        <w:rPr>
          <w:rFonts w:ascii="Arial" w:cs="Arial" w:eastAsia="Arial" w:hAnsi="Arial"/>
          <w:sz w:val="24"/>
          <w:szCs w:val="24"/>
        </w:rPr>
        <w:t xml:space="preserve">Validation timeline and resource constraints for EP recordings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ASO synthesis platform specifications (Akta Oligopilot, TriLink) with scalability assessment</w:t>
      </w:r>
    </w:p>
    <w:p>
      <w:pPr>
        <w:pStyle w:val="ListParagraph"/>
        <w:numPr>
          <w:ilvl w:val="0"/>
          <w:numId w:val="2"/>
        </w:numPr>
        <w:spacing w:after="100" w:line="360"/>
      </w:pPr>
      <w:r>
        <w:rPr>
          <w:rFonts w:ascii="Arial" w:cs="Arial" w:eastAsia="Arial" w:hAnsi="Arial"/>
          <w:sz w:val="24"/>
          <w:szCs w:val="24"/>
        </w:rPr>
        <w:t xml:space="preserve">HPLC/MS quality control method development (purity, mass accuracy, impurity profiling)</w:t>
      </w:r>
    </w:p>
    <w:p>
      <w:pPr>
        <w:pStyle w:val="ListParagraph"/>
        <w:numPr>
          <w:ilvl w:val="0"/>
          <w:numId w:val="2"/>
        </w:numPr>
        <w:spacing w:after="100" w:line="360"/>
      </w:pPr>
      <w:r>
        <w:rPr>
          <w:rFonts w:ascii="Arial" w:cs="Arial" w:eastAsia="Arial" w:hAnsi="Arial"/>
          <w:sz w:val="24"/>
          <w:szCs w:val="24"/>
        </w:rPr>
        <w:t xml:space="preserve">Nuclease resistance prediction (serum stability model, cellular degradation kinetics)</w:t>
      </w:r>
    </w:p>
    <w:p>
      <w:pPr>
        <w:pStyle w:val="ListParagraph"/>
        <w:numPr>
          <w:ilvl w:val="0"/>
          <w:numId w:val="2"/>
        </w:numPr>
        <w:spacing w:after="100" w:line="360"/>
      </w:pPr>
      <w:r>
        <w:rPr>
          <w:rFonts w:ascii="Arial" w:cs="Arial" w:eastAsia="Arial" w:hAnsi="Arial"/>
          <w:sz w:val="24"/>
          <w:szCs w:val="24"/>
        </w:rPr>
        <w:t xml:space="preserve">Transfection efficiency optimization (electroporation vs. lipofection for neurons)</w:t>
      </w:r>
    </w:p>
    <w:p>
      <w:pPr>
        <w:pStyle w:val="ListParagraph"/>
        <w:numPr>
          <w:ilvl w:val="0"/>
          <w:numId w:val="2"/>
        </w:numPr>
        <w:spacing w:after="100" w:line="360"/>
      </w:pPr>
      <w:r>
        <w:rPr>
          <w:rFonts w:ascii="Arial" w:cs="Arial" w:eastAsia="Arial" w:hAnsi="Arial"/>
          <w:sz w:val="24"/>
          <w:szCs w:val="24"/>
        </w:rPr>
        <w:t xml:space="preserve">EP recording protocol development (whole-cell patch clamp, action potential analysis)</w:t>
      </w:r>
    </w:p>
    <w:p>
      <w:pPr>
        <w:pStyle w:val="ListParagraph"/>
        <w:numPr>
          <w:ilvl w:val="0"/>
          <w:numId w:val="2"/>
        </w:numPr>
        <w:spacing w:after="100" w:line="360"/>
      </w:pPr>
      <w:r>
        <w:rPr>
          <w:rFonts w:ascii="Arial" w:cs="Arial" w:eastAsia="Arial" w:hAnsi="Arial"/>
          <w:sz w:val="24"/>
          <w:szCs w:val="24"/>
        </w:rPr>
        <w:t xml:space="preserve">Statistical power analysis for n-group comparisons (gapmer treatments vs. controls)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synthetic route for each gapmer: assess G-rich region synthesis difficulty and required modifications</w:t>
      </w:r>
    </w:p>
    <w:p>
      <w:pPr>
        <w:pStyle w:val="ListParagraph"/>
        <w:numPr>
          <w:ilvl w:val="0"/>
          <w:numId w:val="2"/>
        </w:numPr>
        <w:spacing w:after="100" w:line="360"/>
      </w:pPr>
      <w:r>
        <w:rPr>
          <w:rFonts w:ascii="Arial" w:cs="Arial" w:eastAsia="Arial" w:hAnsi="Arial"/>
          <w:sz w:val="24"/>
          <w:szCs w:val="24"/>
        </w:rPr>
        <w:t xml:space="preserve">Specify HPLC-MS method for purity analysis: gradient conditions, mass range, impurity thresholds</w:t>
      </w:r>
    </w:p>
    <w:p>
      <w:pPr>
        <w:pStyle w:val="ListParagraph"/>
        <w:numPr>
          <w:ilvl w:val="0"/>
          <w:numId w:val="2"/>
        </w:numPr>
        <w:spacing w:after="100" w:line="360"/>
      </w:pPr>
      <w:r>
        <w:rPr>
          <w:rFonts w:ascii="Arial" w:cs="Arial" w:eastAsia="Arial" w:hAnsi="Arial"/>
          <w:sz w:val="24"/>
          <w:szCs w:val="24"/>
        </w:rPr>
        <w:t xml:space="preserve">Predict serum stability (t1/2) for each gapmer based on 2'-MOE and phosphorothioate coverage</w:t>
      </w:r>
    </w:p>
    <w:p>
      <w:pPr>
        <w:pStyle w:val="ListParagraph"/>
        <w:numPr>
          <w:ilvl w:val="0"/>
          <w:numId w:val="2"/>
        </w:numPr>
        <w:spacing w:after="100" w:line="360"/>
      </w:pPr>
      <w:r>
        <w:rPr>
          <w:rFonts w:ascii="Arial" w:cs="Arial" w:eastAsia="Arial" w:hAnsi="Arial"/>
          <w:sz w:val="24"/>
          <w:szCs w:val="24"/>
        </w:rPr>
        <w:t xml:space="preserve">Design transfection protocol for cortical neurons: optimize electroporation parameters for ASO delivery</w:t>
      </w:r>
    </w:p>
    <w:p>
      <w:pPr>
        <w:pStyle w:val="ListParagraph"/>
        <w:numPr>
          <w:ilvl w:val="0"/>
          <w:numId w:val="2"/>
        </w:numPr>
        <w:spacing w:after="100" w:line="360"/>
      </w:pPr>
      <w:r>
        <w:rPr>
          <w:rFonts w:ascii="Arial" w:cs="Arial" w:eastAsia="Arial" w:hAnsi="Arial"/>
          <w:sz w:val="24"/>
          <w:szCs w:val="24"/>
        </w:rPr>
        <w:t xml:space="preserve">Plan EP recording schedule: baseline, post-transfection time course (6h, 24h, 48h, 72h, 1 week)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Synthesis specifications for each gapmer with oligonucleotide purification and QC checkpoints</w:t>
      </w:r>
    </w:p>
    <w:p>
      <w:pPr>
        <w:pStyle w:val="ListParagraph"/>
        <w:numPr>
          <w:ilvl w:val="0"/>
          <w:numId w:val="2"/>
        </w:numPr>
        <w:spacing w:after="100" w:line="360"/>
      </w:pPr>
      <w:r>
        <w:rPr>
          <w:rFonts w:ascii="Arial" w:cs="Arial" w:eastAsia="Arial" w:hAnsi="Arial"/>
          <w:sz w:val="24"/>
          <w:szCs w:val="24"/>
        </w:rPr>
        <w:t xml:space="preserve">HPLC method parameters (gradient, column, detection wavelength) and expected purity &gt;95% criteria</w:t>
      </w:r>
    </w:p>
    <w:p>
      <w:pPr>
        <w:pStyle w:val="ListParagraph"/>
        <w:numPr>
          <w:ilvl w:val="0"/>
          <w:numId w:val="2"/>
        </w:numPr>
        <w:spacing w:after="100" w:line="360"/>
      </w:pPr>
      <w:r>
        <w:rPr>
          <w:rFonts w:ascii="Arial" w:cs="Arial" w:eastAsia="Arial" w:hAnsi="Arial"/>
          <w:sz w:val="24"/>
          <w:szCs w:val="24"/>
        </w:rPr>
        <w:t xml:space="preserve">Mass spectrometry validation protocol: expected M/Z ratios and mass accuracy tolerance (±5 ppm)</w:t>
      </w:r>
    </w:p>
    <w:p>
      <w:pPr>
        <w:pStyle w:val="ListParagraph"/>
        <w:numPr>
          <w:ilvl w:val="0"/>
          <w:numId w:val="2"/>
        </w:numPr>
        <w:spacing w:after="100" w:line="360"/>
      </w:pPr>
      <w:r>
        <w:rPr>
          <w:rFonts w:ascii="Arial" w:cs="Arial" w:eastAsia="Arial" w:hAnsi="Arial"/>
          <w:sz w:val="24"/>
          <w:szCs w:val="24"/>
        </w:rPr>
        <w:t xml:space="preserve">Serum stability data prediction: estimated half-lives and recommendations for cell culture media</w:t>
      </w:r>
    </w:p>
    <w:p>
      <w:pPr>
        <w:pStyle w:val="ListParagraph"/>
        <w:numPr>
          <w:ilvl w:val="0"/>
          <w:numId w:val="2"/>
        </w:numPr>
        <w:spacing w:after="100" w:line="360"/>
      </w:pPr>
      <w:r>
        <w:rPr>
          <w:rFonts w:ascii="Arial" w:cs="Arial" w:eastAsia="Arial" w:hAnsi="Arial"/>
          <w:sz w:val="24"/>
          <w:szCs w:val="24"/>
        </w:rPr>
        <w:t xml:space="preserve">Transfection protocol optimization: electroporation voltage/pulse parameters with toxicity thresholds</w:t>
      </w:r>
    </w:p>
    <w:p>
      <w:pPr>
        <w:pStyle w:val="ListParagraph"/>
        <w:numPr>
          <w:ilvl w:val="0"/>
          <w:numId w:val="2"/>
        </w:numPr>
        <w:spacing w:after="100" w:line="360"/>
      </w:pPr>
      <w:r>
        <w:rPr>
          <w:rFonts w:ascii="Arial" w:cs="Arial" w:eastAsia="Arial" w:hAnsi="Arial"/>
          <w:sz w:val="24"/>
          <w:szCs w:val="24"/>
        </w:rPr>
        <w:t xml:space="preserve">Experimental validation plan: sample size calculation (ANOVA, n=4-6 replicates), EP readouts, qPCR/Western blot schedule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Synthesis specification sheet with oligonucleotide sequences and modification annotations; HPLC-MS method parameters and expected chromatograms; stability prediction table; transfection protocol workflow diagram; validation timeline Gantt chart</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NUPACK/RNAfold: RNA secondary structure prediction and thermodynamic analysis</w:t>
      </w:r>
    </w:p>
    <w:p>
      <w:pPr>
        <w:pStyle w:val="ListParagraph"/>
        <w:numPr>
          <w:ilvl w:val="0"/>
          <w:numId w:val="2"/>
        </w:numPr>
        <w:spacing w:after="100" w:line="360"/>
      </w:pPr>
      <w:r>
        <w:rPr>
          <w:rFonts w:ascii="Arial" w:cs="Arial" w:eastAsia="Arial" w:hAnsi="Arial"/>
          <w:sz w:val="24"/>
          <w:szCs w:val="24"/>
        </w:rPr>
        <w:t xml:space="preserve">Quiver Bioscience EP CRISPR Atlas: Integrated electrophysiology phenotype database (~18k gene perturbations, 500+ features per neuron)</w:t>
      </w:r>
    </w:p>
    <w:p>
      <w:pPr>
        <w:pStyle w:val="ListParagraph"/>
        <w:numPr>
          <w:ilvl w:val="0"/>
          <w:numId w:val="2"/>
        </w:numPr>
        <w:spacing w:after="100" w:line="360"/>
      </w:pPr>
      <w:r>
        <w:rPr>
          <w:rFonts w:ascii="Arial" w:cs="Arial" w:eastAsia="Arial" w:hAnsi="Arial"/>
          <w:sz w:val="24"/>
          <w:szCs w:val="24"/>
        </w:rPr>
        <w:t xml:space="preserve">RNase H binding site prediction: Thermodynamic-based duplex analysis and catalytic efficiency scoring</w:t>
      </w:r>
    </w:p>
    <w:p>
      <w:pPr>
        <w:pStyle w:val="ListParagraph"/>
        <w:numPr>
          <w:ilvl w:val="0"/>
          <w:numId w:val="2"/>
        </w:numPr>
        <w:spacing w:after="100" w:line="360"/>
      </w:pPr>
      <w:r>
        <w:rPr>
          <w:rFonts w:ascii="Arial" w:cs="Arial" w:eastAsia="Arial" w:hAnsi="Arial"/>
          <w:sz w:val="24"/>
          <w:szCs w:val="24"/>
        </w:rPr>
        <w:t xml:space="preserve">CpG pattern recognition &amp; immune motif detection: TLR3/TLR7/TLR8 activation risk assessment</w:t>
      </w:r>
    </w:p>
    <w:p>
      <w:pPr>
        <w:pStyle w:val="ListParagraph"/>
        <w:numPr>
          <w:ilvl w:val="0"/>
          <w:numId w:val="2"/>
        </w:numPr>
        <w:spacing w:after="100" w:line="360"/>
      </w:pPr>
      <w:r>
        <w:rPr>
          <w:rFonts w:ascii="Arial" w:cs="Arial" w:eastAsia="Arial" w:hAnsi="Arial"/>
          <w:sz w:val="24"/>
          <w:szCs w:val="24"/>
        </w:rPr>
        <w:t xml:space="preserve">TRANSAT/accessibility analysis tools: Splice variant-specific target site evaluation</w:t>
      </w:r>
    </w:p>
    <w:p>
      <w:pPr>
        <w:pStyle w:val="ListParagraph"/>
        <w:numPr>
          <w:ilvl w:val="0"/>
          <w:numId w:val="2"/>
        </w:numPr>
        <w:spacing w:after="100" w:line="360"/>
      </w:pPr>
      <w:r>
        <w:rPr>
          <w:rFonts w:ascii="Arial" w:cs="Arial" w:eastAsia="Arial" w:hAnsi="Arial"/>
          <w:sz w:val="24"/>
          <w:szCs w:val="24"/>
        </w:rPr>
        <w:t xml:space="preserve">Antisense Oligonucleotide Design Suite: Custom ASO sequence optimization with modification placement</w:t>
      </w:r>
    </w:p>
    <w:p>
      <w:pPr>
        <w:pStyle w:val="ListParagraph"/>
        <w:numPr>
          <w:ilvl w:val="0"/>
          <w:numId w:val="2"/>
        </w:numPr>
        <w:spacing w:after="100" w:line="360"/>
      </w:pPr>
      <w:r>
        <w:rPr>
          <w:rFonts w:ascii="Arial" w:cs="Arial" w:eastAsia="Arial" w:hAnsi="Arial"/>
          <w:sz w:val="24"/>
          <w:szCs w:val="24"/>
        </w:rPr>
        <w:t xml:space="preserve">Off-target prediction engines (OligoWalk, Exiqon): Selectivity assessment across human transcriptome</w:t>
      </w:r>
    </w:p>
    <w:p>
      <w:pPr>
        <w:pStyle w:val="ListParagraph"/>
        <w:numPr>
          <w:ilvl w:val="0"/>
          <w:numId w:val="2"/>
        </w:numPr>
        <w:spacing w:after="100" w:line="360"/>
      </w:pPr>
      <w:r>
        <w:rPr>
          <w:rFonts w:ascii="Arial" w:cs="Arial" w:eastAsia="Arial" w:hAnsi="Arial"/>
          <w:sz w:val="24"/>
          <w:szCs w:val="24"/>
        </w:rPr>
        <w:t xml:space="preserve">Cellular uptake prediction models: Phosphorothioate saturation and bioavailability scoring</w:t>
      </w:r>
    </w:p>
    <w:p>
      <w:pPr>
        <w:pStyle w:val="ListParagraph"/>
        <w:numPr>
          <w:ilvl w:val="0"/>
          <w:numId w:val="2"/>
        </w:numPr>
        <w:spacing w:after="100" w:line="360"/>
      </w:pPr>
      <w:r>
        <w:rPr>
          <w:rFonts w:ascii="Arial" w:cs="Arial" w:eastAsia="Arial" w:hAnsi="Arial"/>
          <w:sz w:val="24"/>
          <w:szCs w:val="24"/>
        </w:rPr>
        <w:t xml:space="preserve">Dose-response fitting &amp; kinetics modeling: EC50 determination, time-course simulation</w:t>
      </w:r>
    </w:p>
    <w:p>
      <w:pPr>
        <w:pStyle w:val="ListParagraph"/>
        <w:numPr>
          <w:ilvl w:val="0"/>
          <w:numId w:val="2"/>
        </w:numPr>
        <w:spacing w:after="100" w:line="360"/>
      </w:pPr>
      <w:r>
        <w:rPr>
          <w:rFonts w:ascii="Arial" w:cs="Arial" w:eastAsia="Arial" w:hAnsi="Arial"/>
          <w:sz w:val="24"/>
          <w:szCs w:val="24"/>
        </w:rPr>
        <w:t xml:space="preserve">Electrophysiology analysis (Igor Pro, Clampfit): Action potential and current kinetic extraction</w:t>
      </w:r>
    </w:p>
    <w:p>
      <w:pPr>
        <w:pStyle w:val="ListParagraph"/>
        <w:numPr>
          <w:ilvl w:val="0"/>
          <w:numId w:val="2"/>
        </w:numPr>
        <w:spacing w:after="100" w:line="360"/>
      </w:pPr>
      <w:r>
        <w:rPr>
          <w:rFonts w:ascii="Arial" w:cs="Arial" w:eastAsia="Arial" w:hAnsi="Arial"/>
          <w:sz w:val="24"/>
          <w:szCs w:val="24"/>
        </w:rPr>
        <w:t xml:space="preserve">Hodgkin-Huxley channel modeling: Biophysical simulation of ion channel phenotype changes</w:t>
      </w:r>
    </w:p>
    <w:p>
      <w:pPr>
        <w:pStyle w:val="ListParagraph"/>
        <w:numPr>
          <w:ilvl w:val="0"/>
          <w:numId w:val="2"/>
        </w:numPr>
        <w:spacing w:after="100" w:line="360"/>
      </w:pPr>
      <w:r>
        <w:rPr>
          <w:rFonts w:ascii="Arial" w:cs="Arial" w:eastAsia="Arial" w:hAnsi="Arial"/>
          <w:sz w:val="24"/>
          <w:szCs w:val="24"/>
        </w:rPr>
        <w:t xml:space="preserve">Minigene reporter design &amp; validation: Splicing assay construct optimization</w:t>
      </w:r>
    </w:p>
    <w:p>
      <w:pPr>
        <w:pStyle w:val="ListParagraph"/>
        <w:numPr>
          <w:ilvl w:val="0"/>
          <w:numId w:val="2"/>
        </w:numPr>
        <w:spacing w:after="100" w:line="360"/>
      </w:pPr>
      <w:r>
        <w:rPr>
          <w:rFonts w:ascii="Arial" w:cs="Arial" w:eastAsia="Arial" w:hAnsi="Arial"/>
          <w:sz w:val="24"/>
          <w:szCs w:val="24"/>
        </w:rPr>
        <w:t xml:space="preserve">Patient iPS-derived neuron differentiation: Disease model development and therapeutic validation</w:t>
      </w:r>
    </w:p>
    <w:p>
      <w:pPr>
        <w:pStyle w:val="ListParagraph"/>
        <w:numPr>
          <w:ilvl w:val="0"/>
          <w:numId w:val="2"/>
        </w:numPr>
        <w:spacing w:after="100" w:line="360"/>
      </w:pPr>
      <w:r>
        <w:rPr>
          <w:rFonts w:ascii="Arial" w:cs="Arial" w:eastAsia="Arial" w:hAnsi="Arial"/>
          <w:sz w:val="24"/>
          <w:szCs w:val="24"/>
        </w:rPr>
        <w:t xml:space="preserve">Whole-cell patch clamp system: Functional channel characterization and EP recording</w:t>
      </w:r>
    </w:p>
    <w:p>
      <w:pPr>
        <w:pStyle w:val="ListParagraph"/>
        <w:numPr>
          <w:ilvl w:val="0"/>
          <w:numId w:val="2"/>
        </w:numPr>
        <w:spacing w:after="100" w:line="360"/>
      </w:pPr>
      <w:r>
        <w:rPr>
          <w:rFonts w:ascii="Arial" w:cs="Arial" w:eastAsia="Arial" w:hAnsi="Arial"/>
          <w:sz w:val="24"/>
          <w:szCs w:val="24"/>
        </w:rPr>
        <w:t xml:space="preserve">Multi-electrode array (MEA): Network-level activity monitoring and seizure-like activity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2026-03-04T17:28:04.189Z</dcterms:created>
  <dcterms:modified xsi:type="dcterms:W3CDTF">2026-03-04T17:28:04.189Z</dcterms:modified>
</cp:coreProperties>
</file>

<file path=docProps/custom.xml><?xml version="1.0" encoding="utf-8"?>
<Properties xmlns="http://schemas.openxmlformats.org/officeDocument/2006/custom-properties" xmlns:vt="http://schemas.openxmlformats.org/officeDocument/2006/docPropsVTypes"/>
</file>