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MECP2 Duplication Partial Knockdown Design</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Design partial knockdown ASOs for MECP2 duplication syndrome targeting transcript regions that produce ~40% reduction while preserving physiological expression.</w:t>
      </w:r>
    </w:p>
    <w:p>
      <w:pPr>
        <w:spacing w:after="200" w:line="360"/>
      </w:pPr>
      <w:r>
        <w:rPr>
          <w:rFonts w:ascii="Arial" w:cs="Arial" w:eastAsia="Arial" w:hAnsi="Arial"/>
          <w:sz w:val="24"/>
          <w:szCs w:val="24"/>
        </w:rPr>
        <w:t xml:space="preserve">This Sapphire Pipeline workflow provides a comprehensive, multi-stage framework for designing antisense oligonucleotide (ASO) therapeutics targeting mecp2 duplication partial knockdown design. The pipeline integrates computational biology, biophysical modeling, and experimental validation protocols to enable precision-medicine approaches to gene regulation and cellular phenotype rescue in patient-derived neurons derived from Quiver Bioscience's electrophysiology (EP) CRISPR atlas.</w:t>
      </w:r>
    </w:p>
    <w:p>
      <w:pPr>
        <w:spacing w:after="200" w:line="360"/>
      </w:pPr>
      <w:r>
        <w:rPr>
          <w:rFonts w:ascii="Arial" w:cs="Arial" w:eastAsia="Arial" w:hAnsi="Arial"/>
          <w:sz w:val="24"/>
          <w:szCs w:val="24"/>
        </w:rPr>
        <w:t xml:space="preserve">Each stage builds upon prior results, from initial target characterization through synthesis and clinical translation. The workflow emphasizes mechanistic understanding of RNA regulation, computational prediction validation, and functional electrophysiological rescue as primary validation metrics. Quiver's integrated platform enables dose-response correlation between ASO-induced mRNA/protein changes and EP phenotypic recovery across the ~18,000 gene perturbations and 3,500+ compound treatments available in the atlas.</w:t>
      </w:r>
    </w:p>
    <w:p>
      <w:pPr>
        <w:pStyle w:val="Heading2"/>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This pipeline orchestrates the discovery and validation of therapeutic ASOs through six integrated stages. Stages 1-2 establish the molecular target landscape: identifying optimal sites on disease-relevant transcripts, characterizing secondary structure accessibility, and predicting RNase H or steric hindrance-based mechanisms. Stages 3-4 optimize ASO chemistry and validate specificity: designing modifications (2'-O-methyl, locked nucleic acids, phosphorothioate patterns) to maximize efficacy while minimizing off-target effects and innate immune activation. Stages 5-6 transition from computational models to experimental validation: utilizing splicing reporters, patient-derived neurons, and whole-cell electrophysiology to confirm mechanism and predict clinical outcomes.</w:t>
      </w:r>
    </w:p>
    <w:p>
      <w:pPr>
        <w:spacing w:after="200" w:line="360"/>
      </w:pPr>
      <w:r>
        <w:rPr>
          <w:rFonts w:ascii="Arial" w:cs="Arial" w:eastAsia="Arial" w:hAnsi="Arial"/>
          <w:sz w:val="24"/>
          <w:szCs w:val="24"/>
        </w:rPr>
        <w:t xml:space="preserve">The Quiver Bioscience platform uniquely enables quantitative phenotype-genotype correlation: ASO-induced knockdown/upregulation levels can be directly correlated with EP parameter recovery (action potential duration, resting potential, firing frequency, sodium/potassium current properties) using ~500 features per neuron across multiple neuronal types. This data-driven approach transforms ASO design from purely sequence-optimization toward outcome-optimization: identifying knockdown/upregulation levels that maximize therapeutic EP rescue with minimal toxicity.</w:t>
      </w:r>
    </w:p>
    <w:p>
      <w:pPr>
        <w:pStyle w:val="Heading2"/>
      </w:pPr>
      <w:r>
        <w:rPr>
          <w:rFonts w:ascii="Arial" w:cs="Arial" w:eastAsia="Arial" w:hAnsi="Arial"/>
          <w:b/>
          <w:bCs/>
          <w:sz w:val="28"/>
          <w:szCs w:val="28"/>
        </w:rPr>
        <w:t xml:space="preserve">Stage 1: MECP2 Duplication Transcript Characterization &amp; Safe Knockdown Window</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Characterize MECP2 transcript isoforms in human neurons, define the physiological expression range, establish knockdown safety boundaries to achieve ~40% reduction without Rett syndrome-like toxicity.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MECP2 reference sequences (NM_004992.3, NM_001110792.1, NM_001110793.1) with tissue-specific isoforms</w:t>
      </w:r>
    </w:p>
    <w:p>
      <w:pPr>
        <w:pStyle w:val="ListParagraph"/>
        <w:numPr>
          <w:ilvl w:val="0"/>
          <w:numId w:val="2"/>
        </w:numPr>
        <w:spacing w:after="100" w:line="360"/>
      </w:pPr>
      <w:r>
        <w:rPr>
          <w:rFonts w:ascii="Arial" w:cs="Arial" w:eastAsia="Arial" w:hAnsi="Arial"/>
          <w:sz w:val="24"/>
          <w:szCs w:val="24"/>
        </w:rPr>
        <w:t xml:space="preserve">MECP2 protein levels in healthy neurons vs. duplication syndrome patients (2-3 fold elevation)</w:t>
      </w:r>
    </w:p>
    <w:p>
      <w:pPr>
        <w:pStyle w:val="ListParagraph"/>
        <w:numPr>
          <w:ilvl w:val="0"/>
          <w:numId w:val="2"/>
        </w:numPr>
        <w:spacing w:after="100" w:line="360"/>
      </w:pPr>
      <w:r>
        <w:rPr>
          <w:rFonts w:ascii="Arial" w:cs="Arial" w:eastAsia="Arial" w:hAnsi="Arial"/>
          <w:sz w:val="24"/>
          <w:szCs w:val="24"/>
        </w:rPr>
        <w:t xml:space="preserve">Dose-response relationship: MECP2 expression level vs. neuronal toxicity (&gt;50% reduction = Rett phenotype)</w:t>
      </w:r>
    </w:p>
    <w:p>
      <w:pPr>
        <w:pStyle w:val="ListParagraph"/>
        <w:numPr>
          <w:ilvl w:val="0"/>
          <w:numId w:val="2"/>
        </w:numPr>
        <w:spacing w:after="100" w:line="360"/>
      </w:pPr>
      <w:r>
        <w:rPr>
          <w:rFonts w:ascii="Arial" w:cs="Arial" w:eastAsia="Arial" w:hAnsi="Arial"/>
          <w:sz w:val="24"/>
          <w:szCs w:val="24"/>
        </w:rPr>
        <w:t xml:space="preserve">Single-cell RNA-seq data: MECP2 mRNA abundance in cortical excitatory/inhibitory neurons</w:t>
      </w:r>
    </w:p>
    <w:p>
      <w:pPr>
        <w:pStyle w:val="ListParagraph"/>
        <w:numPr>
          <w:ilvl w:val="0"/>
          <w:numId w:val="2"/>
        </w:numPr>
        <w:spacing w:after="100" w:line="360"/>
      </w:pPr>
      <w:r>
        <w:rPr>
          <w:rFonts w:ascii="Arial" w:cs="Arial" w:eastAsia="Arial" w:hAnsi="Arial"/>
          <w:sz w:val="24"/>
          <w:szCs w:val="24"/>
        </w:rPr>
        <w:t xml:space="preserve">Published toxicity thresholds for MECP2 knockout models (seizure induction, motor symptoms at &gt;80% reduction)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MECP2 transcriptome annotation (UCSC RefSeq, Ensembl) with isoform-specific exon structures</w:t>
      </w:r>
    </w:p>
    <w:p>
      <w:pPr>
        <w:pStyle w:val="ListParagraph"/>
        <w:numPr>
          <w:ilvl w:val="0"/>
          <w:numId w:val="2"/>
        </w:numPr>
        <w:spacing w:after="100" w:line="360"/>
      </w:pPr>
      <w:r>
        <w:rPr>
          <w:rFonts w:ascii="Arial" w:cs="Arial" w:eastAsia="Arial" w:hAnsi="Arial"/>
          <w:sz w:val="24"/>
          <w:szCs w:val="24"/>
        </w:rPr>
        <w:t xml:space="preserve">Single-cell RNA-seq analysis (normalize MECP2 expression across neuronal subtypes)</w:t>
      </w:r>
    </w:p>
    <w:p>
      <w:pPr>
        <w:pStyle w:val="ListParagraph"/>
        <w:numPr>
          <w:ilvl w:val="0"/>
          <w:numId w:val="2"/>
        </w:numPr>
        <w:spacing w:after="100" w:line="360"/>
      </w:pPr>
      <w:r>
        <w:rPr>
          <w:rFonts w:ascii="Arial" w:cs="Arial" w:eastAsia="Arial" w:hAnsi="Arial"/>
          <w:sz w:val="24"/>
          <w:szCs w:val="24"/>
        </w:rPr>
        <w:t xml:space="preserve">Dose-response data mining (published MECP2 conditional knockout models)</w:t>
      </w:r>
    </w:p>
    <w:p>
      <w:pPr>
        <w:pStyle w:val="ListParagraph"/>
        <w:numPr>
          <w:ilvl w:val="0"/>
          <w:numId w:val="2"/>
        </w:numPr>
        <w:spacing w:after="100" w:line="360"/>
      </w:pPr>
      <w:r>
        <w:rPr>
          <w:rFonts w:ascii="Arial" w:cs="Arial" w:eastAsia="Arial" w:hAnsi="Arial"/>
          <w:sz w:val="24"/>
          <w:szCs w:val="24"/>
        </w:rPr>
        <w:t xml:space="preserve">mRNA abundance quantification tools (read counts normalization, copy number estimation)</w:t>
      </w:r>
    </w:p>
    <w:p>
      <w:pPr>
        <w:pStyle w:val="ListParagraph"/>
        <w:numPr>
          <w:ilvl w:val="0"/>
          <w:numId w:val="2"/>
        </w:numPr>
        <w:spacing w:after="100" w:line="360"/>
      </w:pPr>
      <w:r>
        <w:rPr>
          <w:rFonts w:ascii="Arial" w:cs="Arial" w:eastAsia="Arial" w:hAnsi="Arial"/>
          <w:sz w:val="24"/>
          <w:szCs w:val="24"/>
        </w:rPr>
        <w:t xml:space="preserve">Rett syndrome gene expression database (comparative transcriptomics in MECP2 KO models)</w:t>
      </w:r>
    </w:p>
    <w:p>
      <w:pPr>
        <w:pStyle w:val="ListParagraph"/>
        <w:numPr>
          <w:ilvl w:val="0"/>
          <w:numId w:val="2"/>
        </w:numPr>
        <w:spacing w:after="100" w:line="360"/>
      </w:pPr>
      <w:r>
        <w:rPr>
          <w:rFonts w:ascii="Arial" w:cs="Arial" w:eastAsia="Arial" w:hAnsi="Arial"/>
          <w:sz w:val="24"/>
          <w:szCs w:val="24"/>
        </w:rPr>
        <w:t xml:space="preserve">Safety window calculator (min/max MECP2 expression for neuron survival vs. disease reversal)</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Quantify baseline MECP2 expression in healthy cortical neurons (copies/cell, relative to housekeeping genes)</w:t>
      </w:r>
    </w:p>
    <w:p>
      <w:pPr>
        <w:pStyle w:val="ListParagraph"/>
        <w:numPr>
          <w:ilvl w:val="0"/>
          <w:numId w:val="2"/>
        </w:numPr>
        <w:spacing w:after="100" w:line="360"/>
      </w:pPr>
      <w:r>
        <w:rPr>
          <w:rFonts w:ascii="Arial" w:cs="Arial" w:eastAsia="Arial" w:hAnsi="Arial"/>
          <w:sz w:val="24"/>
          <w:szCs w:val="24"/>
        </w:rPr>
        <w:t xml:space="preserve">Calculate MECP2 overexpression level in duplication syndrome (fold-increase over WT)</w:t>
      </w:r>
    </w:p>
    <w:p>
      <w:pPr>
        <w:pStyle w:val="ListParagraph"/>
        <w:numPr>
          <w:ilvl w:val="0"/>
          <w:numId w:val="2"/>
        </w:numPr>
        <w:spacing w:after="100" w:line="360"/>
      </w:pPr>
      <w:r>
        <w:rPr>
          <w:rFonts w:ascii="Arial" w:cs="Arial" w:eastAsia="Arial" w:hAnsi="Arial"/>
          <w:sz w:val="24"/>
          <w:szCs w:val="24"/>
        </w:rPr>
        <w:t xml:space="preserve">Define knockdown safety boundaries: at what % reduction do Rett syndrome symptoms emerge? (literature review)</w:t>
      </w:r>
    </w:p>
    <w:p>
      <w:pPr>
        <w:pStyle w:val="ListParagraph"/>
        <w:numPr>
          <w:ilvl w:val="0"/>
          <w:numId w:val="2"/>
        </w:numPr>
        <w:spacing w:after="100" w:line="360"/>
      </w:pPr>
      <w:r>
        <w:rPr>
          <w:rFonts w:ascii="Arial" w:cs="Arial" w:eastAsia="Arial" w:hAnsi="Arial"/>
          <w:sz w:val="24"/>
          <w:szCs w:val="24"/>
        </w:rPr>
        <w:t xml:space="preserve">Identify expression level target: 40% reduction = reduce MECP2 from duplicated level (200% WT) to ~120% WT (safer margin)</w:t>
      </w:r>
    </w:p>
    <w:p>
      <w:pPr>
        <w:pStyle w:val="ListParagraph"/>
        <w:numPr>
          <w:ilvl w:val="0"/>
          <w:numId w:val="2"/>
        </w:numPr>
        <w:spacing w:after="100" w:line="360"/>
      </w:pPr>
      <w:r>
        <w:rPr>
          <w:rFonts w:ascii="Arial" w:cs="Arial" w:eastAsia="Arial" w:hAnsi="Arial"/>
          <w:sz w:val="24"/>
          <w:szCs w:val="24"/>
        </w:rPr>
        <w:t xml:space="preserve">Validate that 40% knockdown doesn't trigger MECP2-null toxicity while providing therapeutic benefit</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MECP2 isoform characterization: exon structures, UTR lengths, tissue-specific splice variants in neurons</w:t>
      </w:r>
    </w:p>
    <w:p>
      <w:pPr>
        <w:pStyle w:val="ListParagraph"/>
        <w:numPr>
          <w:ilvl w:val="0"/>
          <w:numId w:val="2"/>
        </w:numPr>
        <w:spacing w:after="100" w:line="360"/>
      </w:pPr>
      <w:r>
        <w:rPr>
          <w:rFonts w:ascii="Arial" w:cs="Arial" w:eastAsia="Arial" w:hAnsi="Arial"/>
          <w:sz w:val="24"/>
          <w:szCs w:val="24"/>
        </w:rPr>
        <w:t xml:space="preserve">Baseline expression quantification: MECP2 mRNA copies/cell in WT neurons and cell-type specificity (excitatory vs. inhibitory)</w:t>
      </w:r>
    </w:p>
    <w:p>
      <w:pPr>
        <w:pStyle w:val="ListParagraph"/>
        <w:numPr>
          <w:ilvl w:val="0"/>
          <w:numId w:val="2"/>
        </w:numPr>
        <w:spacing w:after="100" w:line="360"/>
      </w:pPr>
      <w:r>
        <w:rPr>
          <w:rFonts w:ascii="Arial" w:cs="Arial" w:eastAsia="Arial" w:hAnsi="Arial"/>
          <w:sz w:val="24"/>
          <w:szCs w:val="24"/>
        </w:rPr>
        <w:t xml:space="preserve">MECP2 duplication fold-change: quantified expression elevation in patient-derived neurons</w:t>
      </w:r>
    </w:p>
    <w:p>
      <w:pPr>
        <w:pStyle w:val="ListParagraph"/>
        <w:numPr>
          <w:ilvl w:val="0"/>
          <w:numId w:val="2"/>
        </w:numPr>
        <w:spacing w:after="100" w:line="360"/>
      </w:pPr>
      <w:r>
        <w:rPr>
          <w:rFonts w:ascii="Arial" w:cs="Arial" w:eastAsia="Arial" w:hAnsi="Arial"/>
          <w:sz w:val="24"/>
          <w:szCs w:val="24"/>
        </w:rPr>
        <w:t xml:space="preserve">Toxicity threshold assessment: literature-derived knockdown limits (&gt;80% = risk, 40-60% = likely safe zone)</w:t>
      </w:r>
    </w:p>
    <w:p>
      <w:pPr>
        <w:pStyle w:val="ListParagraph"/>
        <w:numPr>
          <w:ilvl w:val="0"/>
          <w:numId w:val="2"/>
        </w:numPr>
        <w:spacing w:after="100" w:line="360"/>
      </w:pPr>
      <w:r>
        <w:rPr>
          <w:rFonts w:ascii="Arial" w:cs="Arial" w:eastAsia="Arial" w:hAnsi="Arial"/>
          <w:sz w:val="24"/>
          <w:szCs w:val="24"/>
        </w:rPr>
        <w:t xml:space="preserve">Safe knockdown target confirmation: 40% reduction achieves therapeutic depletion of duplication burden without entering Rett zone</w:t>
      </w:r>
    </w:p>
    <w:p>
      <w:pPr>
        <w:pStyle w:val="ListParagraph"/>
        <w:numPr>
          <w:ilvl w:val="0"/>
          <w:numId w:val="2"/>
        </w:numPr>
        <w:spacing w:after="100" w:line="360"/>
      </w:pPr>
      <w:r>
        <w:rPr>
          <w:rFonts w:ascii="Arial" w:cs="Arial" w:eastAsia="Arial" w:hAnsi="Arial"/>
          <w:sz w:val="24"/>
          <w:szCs w:val="24"/>
        </w:rPr>
        <w:t xml:space="preserve">Expression level safety window: minimum and maximum MECP2 levels tolerated by different neuronal types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MECP2 isoform exon-intron diagram; expression quantification histogram (WT vs. duplication, copies/cell); toxicity dose-response curve with 40% knockdown target marked; isoform-specific expression pie chart</w:t>
      </w:r>
    </w:p>
    <w:p>
      <w:pPr>
        <w:pStyle w:val="Heading2"/>
      </w:pPr>
      <w:r>
        <w:rPr>
          <w:rFonts w:ascii="Arial" w:cs="Arial" w:eastAsia="Arial" w:hAnsi="Arial"/>
          <w:b/>
          <w:bCs/>
          <w:sz w:val="28"/>
          <w:szCs w:val="28"/>
        </w:rPr>
        <w:t xml:space="preserve">Stage 2: Partial Knockdown ASO Design &amp; Titration Strategy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ASO sequences that achieve ~40% knockdown efficiency, develop dose titration protocols to achieve target knockdown without overshooting toxicity, and optimize ASO chemistry for partial knockdown.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MECP2 mRNA target sites: exons with accessibility and RNase H cleavage potential</w:t>
      </w:r>
    </w:p>
    <w:p>
      <w:pPr>
        <w:pStyle w:val="ListParagraph"/>
        <w:numPr>
          <w:ilvl w:val="0"/>
          <w:numId w:val="2"/>
        </w:numPr>
        <w:spacing w:after="100" w:line="360"/>
      </w:pPr>
      <w:r>
        <w:rPr>
          <w:rFonts w:ascii="Arial" w:cs="Arial" w:eastAsia="Arial" w:hAnsi="Arial"/>
          <w:sz w:val="24"/>
          <w:szCs w:val="24"/>
        </w:rPr>
        <w:t xml:space="preserve">Knockdown kinetics data from similar partial knockdown ASO designs (dose-response curves, time-course)</w:t>
      </w:r>
    </w:p>
    <w:p>
      <w:pPr>
        <w:pStyle w:val="ListParagraph"/>
        <w:numPr>
          <w:ilvl w:val="0"/>
          <w:numId w:val="2"/>
        </w:numPr>
        <w:spacing w:after="100" w:line="360"/>
      </w:pPr>
      <w:r>
        <w:rPr>
          <w:rFonts w:ascii="Arial" w:cs="Arial" w:eastAsia="Arial" w:hAnsi="Arial"/>
          <w:sz w:val="24"/>
          <w:szCs w:val="24"/>
        </w:rPr>
        <w:t xml:space="preserve">ASO chemical modifications impact on RNase H recruitment and cleavage kinetics</w:t>
      </w:r>
    </w:p>
    <w:p>
      <w:pPr>
        <w:pStyle w:val="ListParagraph"/>
        <w:numPr>
          <w:ilvl w:val="0"/>
          <w:numId w:val="2"/>
        </w:numPr>
        <w:spacing w:after="100" w:line="360"/>
      </w:pPr>
      <w:r>
        <w:rPr>
          <w:rFonts w:ascii="Arial" w:cs="Arial" w:eastAsia="Arial" w:hAnsi="Arial"/>
          <w:sz w:val="24"/>
          <w:szCs w:val="24"/>
        </w:rPr>
        <w:t xml:space="preserve">Transfection efficiency and ASO cellular concentration achievable in neurons</w:t>
      </w:r>
    </w:p>
    <w:p>
      <w:pPr>
        <w:pStyle w:val="ListParagraph"/>
        <w:numPr>
          <w:ilvl w:val="0"/>
          <w:numId w:val="2"/>
        </w:numPr>
        <w:spacing w:after="100" w:line="360"/>
      </w:pPr>
      <w:r>
        <w:rPr>
          <w:rFonts w:ascii="Arial" w:cs="Arial" w:eastAsia="Arial" w:hAnsi="Arial"/>
          <w:sz w:val="24"/>
          <w:szCs w:val="24"/>
        </w:rPr>
        <w:t xml:space="preserve">Feedback inhibition mechanisms: does partial MECP2 knockdown trigger compensatory regulation?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MECP2 target site accessibility calculator (secondary structure, RNase H site prediction)</w:t>
      </w:r>
    </w:p>
    <w:p>
      <w:pPr>
        <w:pStyle w:val="ListParagraph"/>
        <w:numPr>
          <w:ilvl w:val="0"/>
          <w:numId w:val="2"/>
        </w:numPr>
        <w:spacing w:after="100" w:line="360"/>
      </w:pPr>
      <w:r>
        <w:rPr>
          <w:rFonts w:ascii="Arial" w:cs="Arial" w:eastAsia="Arial" w:hAnsi="Arial"/>
          <w:sz w:val="24"/>
          <w:szCs w:val="24"/>
        </w:rPr>
        <w:t xml:space="preserve">Dose-response curve fitting tool (logistic sigmoid regression, EC50 calculation)</w:t>
      </w:r>
    </w:p>
    <w:p>
      <w:pPr>
        <w:pStyle w:val="ListParagraph"/>
        <w:numPr>
          <w:ilvl w:val="0"/>
          <w:numId w:val="2"/>
        </w:numPr>
        <w:spacing w:after="100" w:line="360"/>
      </w:pPr>
      <w:r>
        <w:rPr>
          <w:rFonts w:ascii="Arial" w:cs="Arial" w:eastAsia="Arial" w:hAnsi="Arial"/>
          <w:sz w:val="24"/>
          <w:szCs w:val="24"/>
        </w:rPr>
        <w:t xml:space="preserve">RNase H cleavage efficiency predictor (substrate kinetics, turnover-limited vs. saturation)</w:t>
      </w:r>
    </w:p>
    <w:p>
      <w:pPr>
        <w:pStyle w:val="ListParagraph"/>
        <w:numPr>
          <w:ilvl w:val="0"/>
          <w:numId w:val="2"/>
        </w:numPr>
        <w:spacing w:after="100" w:line="360"/>
      </w:pPr>
      <w:r>
        <w:rPr>
          <w:rFonts w:ascii="Arial" w:cs="Arial" w:eastAsia="Arial" w:hAnsi="Arial"/>
          <w:sz w:val="24"/>
          <w:szCs w:val="24"/>
        </w:rPr>
        <w:t xml:space="preserve">Partial knockdown optimizer (target ASO dose and chemical modification for ~40% reduction)</w:t>
      </w:r>
    </w:p>
    <w:p>
      <w:pPr>
        <w:pStyle w:val="ListParagraph"/>
        <w:numPr>
          <w:ilvl w:val="0"/>
          <w:numId w:val="2"/>
        </w:numPr>
        <w:spacing w:after="100" w:line="360"/>
      </w:pPr>
      <w:r>
        <w:rPr>
          <w:rFonts w:ascii="Arial" w:cs="Arial" w:eastAsia="Arial" w:hAnsi="Arial"/>
          <w:sz w:val="24"/>
          <w:szCs w:val="24"/>
        </w:rPr>
        <w:t xml:space="preserve">Knockdown kinetics simulator (time to plateau, reversibility assessment)</w:t>
      </w:r>
    </w:p>
    <w:p>
      <w:pPr>
        <w:pStyle w:val="ListParagraph"/>
        <w:numPr>
          <w:ilvl w:val="0"/>
          <w:numId w:val="2"/>
        </w:numPr>
        <w:spacing w:after="100" w:line="360"/>
      </w:pPr>
      <w:r>
        <w:rPr>
          <w:rFonts w:ascii="Arial" w:cs="Arial" w:eastAsia="Arial" w:hAnsi="Arial"/>
          <w:sz w:val="24"/>
          <w:szCs w:val="24"/>
        </w:rPr>
        <w:t xml:space="preserve">Feedback regulation predictor (stress response, MECP2 auto-regulation pathway analysis)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Identify top 5 MECP2 target sites with optimal accessibility (ΔG &lt; -8 kcal/mol) and RNase H efficiency</w:t>
      </w:r>
    </w:p>
    <w:p>
      <w:pPr>
        <w:pStyle w:val="ListParagraph"/>
        <w:numPr>
          <w:ilvl w:val="0"/>
          <w:numId w:val="2"/>
        </w:numPr>
        <w:spacing w:after="100" w:line="360"/>
      </w:pPr>
      <w:r>
        <w:rPr>
          <w:rFonts w:ascii="Arial" w:cs="Arial" w:eastAsia="Arial" w:hAnsi="Arial"/>
          <w:sz w:val="24"/>
          <w:szCs w:val="24"/>
        </w:rPr>
        <w:t xml:space="preserve">For each target site, predict dose-response curve: knockdown % as function of ASO concentration (EC50 estimation)</w:t>
      </w:r>
    </w:p>
    <w:p>
      <w:pPr>
        <w:pStyle w:val="ListParagraph"/>
        <w:numPr>
          <w:ilvl w:val="0"/>
          <w:numId w:val="2"/>
        </w:numPr>
        <w:spacing w:after="100" w:line="360"/>
      </w:pPr>
      <w:r>
        <w:rPr>
          <w:rFonts w:ascii="Arial" w:cs="Arial" w:eastAsia="Arial" w:hAnsi="Arial"/>
          <w:sz w:val="24"/>
          <w:szCs w:val="24"/>
        </w:rPr>
        <w:t xml:space="preserve">Determine ASO chemical modification to achieve ~40% knockdown at low concentrations (avoid off-target RNase H effects)</w:t>
      </w:r>
    </w:p>
    <w:p>
      <w:pPr>
        <w:pStyle w:val="ListParagraph"/>
        <w:numPr>
          <w:ilvl w:val="0"/>
          <w:numId w:val="2"/>
        </w:numPr>
        <w:spacing w:after="100" w:line="360"/>
      </w:pPr>
      <w:r>
        <w:rPr>
          <w:rFonts w:ascii="Arial" w:cs="Arial" w:eastAsia="Arial" w:hAnsi="Arial"/>
          <w:sz w:val="24"/>
          <w:szCs w:val="24"/>
        </w:rPr>
        <w:t xml:space="preserve">Model time-course: predict knockdown kinetics (hours to days) and equilibrium duration (reversibility)</w:t>
      </w:r>
    </w:p>
    <w:p>
      <w:pPr>
        <w:pStyle w:val="ListParagraph"/>
        <w:numPr>
          <w:ilvl w:val="0"/>
          <w:numId w:val="2"/>
        </w:numPr>
        <w:spacing w:after="100" w:line="360"/>
      </w:pPr>
      <w:r>
        <w:rPr>
          <w:rFonts w:ascii="Arial" w:cs="Arial" w:eastAsia="Arial" w:hAnsi="Arial"/>
          <w:sz w:val="24"/>
          <w:szCs w:val="24"/>
        </w:rPr>
        <w:t xml:space="preserve">Design dose titration series: ASO concentrations bracketing EC40 target (e.g., 10, 30, 50, 100, 300 nM)</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List of 5 candidate target sites for partial knockdown with accessibility scores and RNase H efficiency rankings</w:t>
      </w:r>
    </w:p>
    <w:p>
      <w:pPr>
        <w:pStyle w:val="ListParagraph"/>
        <w:numPr>
          <w:ilvl w:val="0"/>
          <w:numId w:val="2"/>
        </w:numPr>
        <w:spacing w:after="100" w:line="360"/>
      </w:pPr>
      <w:r>
        <w:rPr>
          <w:rFonts w:ascii="Arial" w:cs="Arial" w:eastAsia="Arial" w:hAnsi="Arial"/>
          <w:sz w:val="24"/>
          <w:szCs w:val="24"/>
        </w:rPr>
        <w:t xml:space="preserve">Predicted dose-response curves for each target: EC50 values and 95% confidence intervals for knockdown %</w:t>
      </w:r>
    </w:p>
    <w:p>
      <w:pPr>
        <w:pStyle w:val="ListParagraph"/>
        <w:numPr>
          <w:ilvl w:val="0"/>
          <w:numId w:val="2"/>
        </w:numPr>
        <w:spacing w:after="100" w:line="360"/>
      </w:pPr>
      <w:r>
        <w:rPr>
          <w:rFonts w:ascii="Arial" w:cs="Arial" w:eastAsia="Arial" w:hAnsi="Arial"/>
          <w:sz w:val="24"/>
          <w:szCs w:val="24"/>
        </w:rPr>
        <w:t xml:space="preserve">Recommended ASO doses for achieving 35-45% knockdown range (with precision ±5%)</w:t>
      </w:r>
    </w:p>
    <w:p>
      <w:pPr>
        <w:pStyle w:val="ListParagraph"/>
        <w:numPr>
          <w:ilvl w:val="0"/>
          <w:numId w:val="2"/>
        </w:numPr>
        <w:spacing w:after="100" w:line="360"/>
      </w:pPr>
      <w:r>
        <w:rPr>
          <w:rFonts w:ascii="Arial" w:cs="Arial" w:eastAsia="Arial" w:hAnsi="Arial"/>
          <w:sz w:val="24"/>
          <w:szCs w:val="24"/>
        </w:rPr>
        <w:t xml:space="preserve">Chemical modification recommendations: phosphorothioate saturation, 2'-MOE coverage optimized for partial knockdown</w:t>
      </w:r>
    </w:p>
    <w:p>
      <w:pPr>
        <w:pStyle w:val="ListParagraph"/>
        <w:numPr>
          <w:ilvl w:val="0"/>
          <w:numId w:val="2"/>
        </w:numPr>
        <w:spacing w:after="100" w:line="360"/>
      </w:pPr>
      <w:r>
        <w:rPr>
          <w:rFonts w:ascii="Arial" w:cs="Arial" w:eastAsia="Arial" w:hAnsi="Arial"/>
          <w:sz w:val="24"/>
          <w:szCs w:val="24"/>
        </w:rPr>
        <w:t xml:space="preserve">Knockdown kinetics prediction: time to 50% maximal knockdown, plateau level, expected reversibility timeline</w:t>
      </w:r>
    </w:p>
    <w:p>
      <w:pPr>
        <w:pStyle w:val="ListParagraph"/>
        <w:numPr>
          <w:ilvl w:val="0"/>
          <w:numId w:val="2"/>
        </w:numPr>
        <w:spacing w:after="100" w:line="360"/>
      </w:pPr>
      <w:r>
        <w:rPr>
          <w:rFonts w:ascii="Arial" w:cs="Arial" w:eastAsia="Arial" w:hAnsi="Arial"/>
          <w:sz w:val="24"/>
          <w:szCs w:val="24"/>
        </w:rPr>
        <w:t xml:space="preserve">Titration protocol: 5-point dose series spanning EC40 with spacing optimized for parameter fitting</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Target site ranking table (accessibility, RNase H efficiency, predicted EC50); dose-response curve graphs with logistic fit (expected knockdown % vs. ASO concentration nM); time-course kinetics plots; chemical modification heatmap</w:t>
      </w:r>
    </w:p>
    <w:p>
      <w:pPr>
        <w:pStyle w:val="Heading2"/>
      </w:pPr>
      <w:r>
        <w:rPr>
          <w:rFonts w:ascii="Arial" w:cs="Arial" w:eastAsia="Arial" w:hAnsi="Arial"/>
          <w:b/>
          <w:bCs/>
          <w:sz w:val="28"/>
          <w:szCs w:val="28"/>
        </w:rPr>
        <w:t xml:space="preserve">Stage 3: Rett Syndrome Risk Assessment &amp; Over-Knockdown Toxicity Prevention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Quantify MECP2-null toxicity risk mechanisms, predict toxicity manifestations at different knockdown levels, and design safeguards to prevent accidental over-knockdown.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MECP2 knockout phenotypes from conditional mouse models (seizures, motor dysfunction, breathing abnormalities)</w:t>
      </w:r>
    </w:p>
    <w:p>
      <w:pPr>
        <w:pStyle w:val="ListParagraph"/>
        <w:numPr>
          <w:ilvl w:val="0"/>
          <w:numId w:val="2"/>
        </w:numPr>
        <w:spacing w:after="100" w:line="360"/>
      </w:pPr>
      <w:r>
        <w:rPr>
          <w:rFonts w:ascii="Arial" w:cs="Arial" w:eastAsia="Arial" w:hAnsi="Arial"/>
          <w:sz w:val="24"/>
          <w:szCs w:val="24"/>
        </w:rPr>
        <w:t xml:space="preserve">Gene expression profiling in MECP2 KO neurons (dysregulation pathways, excitatory/inhibitory imbalance)</w:t>
      </w:r>
    </w:p>
    <w:p>
      <w:pPr>
        <w:pStyle w:val="ListParagraph"/>
        <w:numPr>
          <w:ilvl w:val="0"/>
          <w:numId w:val="2"/>
        </w:numPr>
        <w:spacing w:after="100" w:line="360"/>
      </w:pPr>
      <w:r>
        <w:rPr>
          <w:rFonts w:ascii="Arial" w:cs="Arial" w:eastAsia="Arial" w:hAnsi="Arial"/>
          <w:sz w:val="24"/>
          <w:szCs w:val="24"/>
        </w:rPr>
        <w:t xml:space="preserve">MECP2 transcriptional targets and regulatory functions (CREB, DNMTs, histone modifications)</w:t>
      </w:r>
    </w:p>
    <w:p>
      <w:pPr>
        <w:pStyle w:val="ListParagraph"/>
        <w:numPr>
          <w:ilvl w:val="0"/>
          <w:numId w:val="2"/>
        </w:numPr>
        <w:spacing w:after="100" w:line="360"/>
      </w:pPr>
      <w:r>
        <w:rPr>
          <w:rFonts w:ascii="Arial" w:cs="Arial" w:eastAsia="Arial" w:hAnsi="Arial"/>
          <w:sz w:val="24"/>
          <w:szCs w:val="24"/>
        </w:rPr>
        <w:t xml:space="preserve">Genetic background effects: does neuronal subtype influence MECP2-null toxicity?</w:t>
      </w:r>
    </w:p>
    <w:p>
      <w:pPr>
        <w:pStyle w:val="ListParagraph"/>
        <w:numPr>
          <w:ilvl w:val="0"/>
          <w:numId w:val="2"/>
        </w:numPr>
        <w:spacing w:after="100" w:line="360"/>
      </w:pPr>
      <w:r>
        <w:rPr>
          <w:rFonts w:ascii="Arial" w:cs="Arial" w:eastAsia="Arial" w:hAnsi="Arial"/>
          <w:sz w:val="24"/>
          <w:szCs w:val="24"/>
        </w:rPr>
        <w:t xml:space="preserve">Timeline of MECP2-null symptom emergence (perinatal lethal at &gt;95% reduction, progressive motor decline at &gt;80%)</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MECP2 target gene database (ChIP-seq data, transcriptional regulatory relationships)</w:t>
      </w:r>
    </w:p>
    <w:p>
      <w:pPr>
        <w:pStyle w:val="ListParagraph"/>
        <w:numPr>
          <w:ilvl w:val="0"/>
          <w:numId w:val="2"/>
        </w:numPr>
        <w:spacing w:after="100" w:line="360"/>
      </w:pPr>
      <w:r>
        <w:rPr>
          <w:rFonts w:ascii="Arial" w:cs="Arial" w:eastAsia="Arial" w:hAnsi="Arial"/>
          <w:sz w:val="24"/>
          <w:szCs w:val="24"/>
        </w:rPr>
        <w:t xml:space="preserve">Toxicity phenotype mapping tool (knockout model data mining)</w:t>
      </w:r>
    </w:p>
    <w:p>
      <w:pPr>
        <w:pStyle w:val="ListParagraph"/>
        <w:numPr>
          <w:ilvl w:val="0"/>
          <w:numId w:val="2"/>
        </w:numPr>
        <w:spacing w:after="100" w:line="360"/>
      </w:pPr>
      <w:r>
        <w:rPr>
          <w:rFonts w:ascii="Arial" w:cs="Arial" w:eastAsia="Arial" w:hAnsi="Arial"/>
          <w:sz w:val="24"/>
          <w:szCs w:val="24"/>
        </w:rPr>
        <w:t xml:space="preserve">Gene expression pathway analysis (RNA-seq in MECP2 KO, dysregulation scoring)</w:t>
      </w:r>
    </w:p>
    <w:p>
      <w:pPr>
        <w:pStyle w:val="ListParagraph"/>
        <w:numPr>
          <w:ilvl w:val="0"/>
          <w:numId w:val="2"/>
        </w:numPr>
        <w:spacing w:after="100" w:line="360"/>
      </w:pPr>
      <w:r>
        <w:rPr>
          <w:rFonts w:ascii="Arial" w:cs="Arial" w:eastAsia="Arial" w:hAnsi="Arial"/>
          <w:sz w:val="24"/>
          <w:szCs w:val="24"/>
        </w:rPr>
        <w:t xml:space="preserve">Neuronal excitatory/inhibitory balance calculator (GABAergic vs. glutamatergic synapse effects)</w:t>
      </w:r>
    </w:p>
    <w:p>
      <w:pPr>
        <w:pStyle w:val="ListParagraph"/>
        <w:numPr>
          <w:ilvl w:val="0"/>
          <w:numId w:val="2"/>
        </w:numPr>
        <w:spacing w:after="100" w:line="360"/>
      </w:pPr>
      <w:r>
        <w:rPr>
          <w:rFonts w:ascii="Arial" w:cs="Arial" w:eastAsia="Arial" w:hAnsi="Arial"/>
          <w:sz w:val="24"/>
          <w:szCs w:val="24"/>
        </w:rPr>
        <w:t xml:space="preserve">Dose-toxicity correlation model (knockdown % vs. phenotype severity)</w:t>
      </w:r>
    </w:p>
    <w:p>
      <w:pPr>
        <w:pStyle w:val="ListParagraph"/>
        <w:numPr>
          <w:ilvl w:val="0"/>
          <w:numId w:val="2"/>
        </w:numPr>
        <w:spacing w:after="100" w:line="360"/>
      </w:pPr>
      <w:r>
        <w:rPr>
          <w:rFonts w:ascii="Arial" w:cs="Arial" w:eastAsia="Arial" w:hAnsi="Arial"/>
          <w:sz w:val="24"/>
          <w:szCs w:val="24"/>
        </w:rPr>
        <w:t xml:space="preserve">Safety threshold calculator (maximum tolerable MECP2 reduction with confidence bounds)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Compile MECP2 knockout symptom timeline: at what knockdown % do seizures emerge? Motor dysfunction? Lethality?</w:t>
      </w:r>
    </w:p>
    <w:p>
      <w:pPr>
        <w:pStyle w:val="ListParagraph"/>
        <w:numPr>
          <w:ilvl w:val="0"/>
          <w:numId w:val="2"/>
        </w:numPr>
        <w:spacing w:after="100" w:line="360"/>
      </w:pPr>
      <w:r>
        <w:rPr>
          <w:rFonts w:ascii="Arial" w:cs="Arial" w:eastAsia="Arial" w:hAnsi="Arial"/>
          <w:sz w:val="24"/>
          <w:szCs w:val="24"/>
        </w:rPr>
        <w:t xml:space="preserve">Map dysregulated genes in MECP2 KO neurons and identify convergent toxicity pathways</w:t>
      </w:r>
    </w:p>
    <w:p>
      <w:pPr>
        <w:pStyle w:val="ListParagraph"/>
        <w:numPr>
          <w:ilvl w:val="0"/>
          <w:numId w:val="2"/>
        </w:numPr>
        <w:spacing w:after="100" w:line="360"/>
      </w:pPr>
      <w:r>
        <w:rPr>
          <w:rFonts w:ascii="Arial" w:cs="Arial" w:eastAsia="Arial" w:hAnsi="Arial"/>
          <w:sz w:val="24"/>
          <w:szCs w:val="24"/>
        </w:rPr>
        <w:t xml:space="preserve">Assess excitatory/inhibitory imbalance risk: does MECP2 reduction alter glutamate/GABA signaling?</w:t>
      </w:r>
    </w:p>
    <w:p>
      <w:pPr>
        <w:pStyle w:val="ListParagraph"/>
        <w:numPr>
          <w:ilvl w:val="0"/>
          <w:numId w:val="2"/>
        </w:numPr>
        <w:spacing w:after="100" w:line="360"/>
      </w:pPr>
      <w:r>
        <w:rPr>
          <w:rFonts w:ascii="Arial" w:cs="Arial" w:eastAsia="Arial" w:hAnsi="Arial"/>
          <w:sz w:val="24"/>
          <w:szCs w:val="24"/>
        </w:rPr>
        <w:t xml:space="preserve">Predict toxicity manifestations at 40% knockdown vs. 60% vs. 80% (extrapolation from KO data)</w:t>
      </w:r>
    </w:p>
    <w:p>
      <w:pPr>
        <w:pStyle w:val="ListParagraph"/>
        <w:numPr>
          <w:ilvl w:val="0"/>
          <w:numId w:val="2"/>
        </w:numPr>
        <w:spacing w:after="100" w:line="360"/>
      </w:pPr>
      <w:r>
        <w:rPr>
          <w:rFonts w:ascii="Arial" w:cs="Arial" w:eastAsia="Arial" w:hAnsi="Arial"/>
          <w:sz w:val="24"/>
          <w:szCs w:val="24"/>
        </w:rPr>
        <w:t xml:space="preserve">Design safeguard: plan toxicity monitoring assays to detect over-knockdown early (EP recordings, spontaneous network activity)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MECP2-null toxicity phenotype summary: seizure threshold, motor dysfunction onset, lethal threshold</w:t>
      </w:r>
    </w:p>
    <w:p>
      <w:pPr>
        <w:pStyle w:val="ListParagraph"/>
        <w:numPr>
          <w:ilvl w:val="0"/>
          <w:numId w:val="2"/>
        </w:numPr>
        <w:spacing w:after="100" w:line="360"/>
      </w:pPr>
      <w:r>
        <w:rPr>
          <w:rFonts w:ascii="Arial" w:cs="Arial" w:eastAsia="Arial" w:hAnsi="Arial"/>
          <w:sz w:val="24"/>
          <w:szCs w:val="24"/>
        </w:rPr>
        <w:t xml:space="preserve">Gene expression dysregulation signature in MECP2 KO: top dysregulated genes and affected pathways</w:t>
      </w:r>
    </w:p>
    <w:p>
      <w:pPr>
        <w:pStyle w:val="ListParagraph"/>
        <w:numPr>
          <w:ilvl w:val="0"/>
          <w:numId w:val="2"/>
        </w:numPr>
        <w:spacing w:after="100" w:line="360"/>
      </w:pPr>
      <w:r>
        <w:rPr>
          <w:rFonts w:ascii="Arial" w:cs="Arial" w:eastAsia="Arial" w:hAnsi="Arial"/>
          <w:sz w:val="24"/>
          <w:szCs w:val="24"/>
        </w:rPr>
        <w:t xml:space="preserve">Excitatory/inhibitory balance predictions at 40%, 60%, 80% knockdown with GABAergic dysfunction risk</w:t>
      </w:r>
    </w:p>
    <w:p>
      <w:pPr>
        <w:pStyle w:val="ListParagraph"/>
        <w:numPr>
          <w:ilvl w:val="0"/>
          <w:numId w:val="2"/>
        </w:numPr>
        <w:spacing w:after="100" w:line="360"/>
      </w:pPr>
      <w:r>
        <w:rPr>
          <w:rFonts w:ascii="Arial" w:cs="Arial" w:eastAsia="Arial" w:hAnsi="Arial"/>
          <w:sz w:val="24"/>
          <w:szCs w:val="24"/>
        </w:rPr>
        <w:t xml:space="preserve">Dose-toxicity correlation curve: knockdown % vs. phenotype severity (seizure likelihood, motor impairment score)</w:t>
      </w:r>
    </w:p>
    <w:p>
      <w:pPr>
        <w:pStyle w:val="ListParagraph"/>
        <w:numPr>
          <w:ilvl w:val="0"/>
          <w:numId w:val="2"/>
        </w:numPr>
        <w:spacing w:after="100" w:line="360"/>
      </w:pPr>
      <w:r>
        <w:rPr>
          <w:rFonts w:ascii="Arial" w:cs="Arial" w:eastAsia="Arial" w:hAnsi="Arial"/>
          <w:sz w:val="24"/>
          <w:szCs w:val="24"/>
        </w:rPr>
        <w:t xml:space="preserve">Risk assessment for 40% target knockdown: predicted safety margin (expected &lt;5% seizure risk)</w:t>
      </w:r>
    </w:p>
    <w:p>
      <w:pPr>
        <w:pStyle w:val="ListParagraph"/>
        <w:numPr>
          <w:ilvl w:val="0"/>
          <w:numId w:val="2"/>
        </w:numPr>
        <w:spacing w:after="100" w:line="360"/>
      </w:pPr>
      <w:r>
        <w:rPr>
          <w:rFonts w:ascii="Arial" w:cs="Arial" w:eastAsia="Arial" w:hAnsi="Arial"/>
          <w:sz w:val="24"/>
          <w:szCs w:val="24"/>
        </w:rPr>
        <w:t xml:space="preserve">Early toxicity detection protocol: EP biomarkers (increased network burst frequency?), gene expression surveillance (qPCR panel of MECP2 targets)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MECP2 knockout phenotype timeline diagram (knockdown % vs. symptom emergence); gene expression dysregulation heatmap; excitatory/inhibitory balance predictions at different knockdown levels; dose-toxicity curve with 40% target marked; early warning biomarker selection table</w:t>
      </w:r>
    </w:p>
    <w:p>
      <w:pPr>
        <w:pStyle w:val="Heading2"/>
      </w:pPr>
      <w:r>
        <w:rPr>
          <w:rFonts w:ascii="Arial" w:cs="Arial" w:eastAsia="Arial" w:hAnsi="Arial"/>
          <w:b/>
          <w:bCs/>
          <w:sz w:val="28"/>
          <w:szCs w:val="28"/>
        </w:rPr>
        <w:t xml:space="preserve">Stage 4: Physiological Expression Preservation Validation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Develop quantitative assays to confirm MECP2 expression remains within physiological range after 40% knockdown, verify neuronal function preservation, and monitor for compensatory dysregulation.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MECP2 protein level quantification methods (Western blot, immunofluorescence, mass spectrometry)</w:t>
      </w:r>
    </w:p>
    <w:p>
      <w:pPr>
        <w:pStyle w:val="ListParagraph"/>
        <w:numPr>
          <w:ilvl w:val="0"/>
          <w:numId w:val="2"/>
        </w:numPr>
        <w:spacing w:after="100" w:line="360"/>
      </w:pPr>
      <w:r>
        <w:rPr>
          <w:rFonts w:ascii="Arial" w:cs="Arial" w:eastAsia="Arial" w:hAnsi="Arial"/>
          <w:sz w:val="24"/>
          <w:szCs w:val="24"/>
        </w:rPr>
        <w:t xml:space="preserve">Functional MECP2 activity assays (chromatin remodeling, transcriptional regulatory capacity)</w:t>
      </w:r>
    </w:p>
    <w:p>
      <w:pPr>
        <w:pStyle w:val="ListParagraph"/>
        <w:numPr>
          <w:ilvl w:val="0"/>
          <w:numId w:val="2"/>
        </w:numPr>
        <w:spacing w:after="100" w:line="360"/>
      </w:pPr>
      <w:r>
        <w:rPr>
          <w:rFonts w:ascii="Arial" w:cs="Arial" w:eastAsia="Arial" w:hAnsi="Arial"/>
          <w:sz w:val="24"/>
          <w:szCs w:val="24"/>
        </w:rPr>
        <w:t xml:space="preserve">Neuronal function readouts: excitability, network activity, synapse formation</w:t>
      </w:r>
    </w:p>
    <w:p>
      <w:pPr>
        <w:pStyle w:val="ListParagraph"/>
        <w:numPr>
          <w:ilvl w:val="0"/>
          <w:numId w:val="2"/>
        </w:numPr>
        <w:spacing w:after="100" w:line="360"/>
      </w:pPr>
      <w:r>
        <w:rPr>
          <w:rFonts w:ascii="Arial" w:cs="Arial" w:eastAsia="Arial" w:hAnsi="Arial"/>
          <w:sz w:val="24"/>
          <w:szCs w:val="24"/>
        </w:rPr>
        <w:t xml:space="preserve">MECP2-dependent transcriptional targets (qPCR panel for feedback regulation assessment)</w:t>
      </w:r>
    </w:p>
    <w:p>
      <w:pPr>
        <w:pStyle w:val="ListParagraph"/>
        <w:numPr>
          <w:ilvl w:val="0"/>
          <w:numId w:val="2"/>
        </w:numPr>
        <w:spacing w:after="100" w:line="360"/>
      </w:pPr>
      <w:r>
        <w:rPr>
          <w:rFonts w:ascii="Arial" w:cs="Arial" w:eastAsia="Arial" w:hAnsi="Arial"/>
          <w:sz w:val="24"/>
          <w:szCs w:val="24"/>
        </w:rPr>
        <w:t xml:space="preserve">Cell viability and apoptosis markers (MTT, LDH release, Annexin V staining)</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Quantitative Western blot analysis (densitometry, reference protein normalization)</w:t>
      </w:r>
    </w:p>
    <w:p>
      <w:pPr>
        <w:pStyle w:val="ListParagraph"/>
        <w:numPr>
          <w:ilvl w:val="0"/>
          <w:numId w:val="2"/>
        </w:numPr>
        <w:spacing w:after="100" w:line="360"/>
      </w:pPr>
      <w:r>
        <w:rPr>
          <w:rFonts w:ascii="Arial" w:cs="Arial" w:eastAsia="Arial" w:hAnsi="Arial"/>
          <w:sz w:val="24"/>
          <w:szCs w:val="24"/>
        </w:rPr>
        <w:t xml:space="preserve">Immunofluorescence image analysis (cell-by-cell MECP2 protein quantification)</w:t>
      </w:r>
    </w:p>
    <w:p>
      <w:pPr>
        <w:pStyle w:val="ListParagraph"/>
        <w:numPr>
          <w:ilvl w:val="0"/>
          <w:numId w:val="2"/>
        </w:numPr>
        <w:spacing w:after="100" w:line="360"/>
      </w:pPr>
      <w:r>
        <w:rPr>
          <w:rFonts w:ascii="Arial" w:cs="Arial" w:eastAsia="Arial" w:hAnsi="Arial"/>
          <w:sz w:val="24"/>
          <w:szCs w:val="24"/>
        </w:rPr>
        <w:t xml:space="preserve">MECP2 chromatin binding assay (ChIP-qPCR for functional activity assessment)</w:t>
      </w:r>
    </w:p>
    <w:p>
      <w:pPr>
        <w:pStyle w:val="ListParagraph"/>
        <w:numPr>
          <w:ilvl w:val="0"/>
          <w:numId w:val="2"/>
        </w:numPr>
        <w:spacing w:after="100" w:line="360"/>
      </w:pPr>
      <w:r>
        <w:rPr>
          <w:rFonts w:ascii="Arial" w:cs="Arial" w:eastAsia="Arial" w:hAnsi="Arial"/>
          <w:sz w:val="24"/>
          <w:szCs w:val="24"/>
        </w:rPr>
        <w:t xml:space="preserve">Electrophysiology platform (whole-cell recordings, network-level burst analysis)</w:t>
      </w:r>
    </w:p>
    <w:p>
      <w:pPr>
        <w:pStyle w:val="ListParagraph"/>
        <w:numPr>
          <w:ilvl w:val="0"/>
          <w:numId w:val="2"/>
        </w:numPr>
        <w:spacing w:after="100" w:line="360"/>
      </w:pPr>
      <w:r>
        <w:rPr>
          <w:rFonts w:ascii="Arial" w:cs="Arial" w:eastAsia="Arial" w:hAnsi="Arial"/>
          <w:sz w:val="24"/>
          <w:szCs w:val="24"/>
        </w:rPr>
        <w:t xml:space="preserve">qPCR gene expression panel (MECP2 targets: BDNF, SYN1, GAD67, VGLUT1)</w:t>
      </w:r>
    </w:p>
    <w:p>
      <w:pPr>
        <w:pStyle w:val="ListParagraph"/>
        <w:numPr>
          <w:ilvl w:val="0"/>
          <w:numId w:val="2"/>
        </w:numPr>
        <w:spacing w:after="100" w:line="360"/>
      </w:pPr>
      <w:r>
        <w:rPr>
          <w:rFonts w:ascii="Arial" w:cs="Arial" w:eastAsia="Arial" w:hAnsi="Arial"/>
          <w:sz w:val="24"/>
          <w:szCs w:val="24"/>
        </w:rPr>
        <w:t xml:space="preserve">Cell viability assessment suite (flow cytometry, morphology analysis, caspase activity)</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Design Western blot quantification: expected MECP2 protein levels at 40% knockdown (60% of WT in duplication neurons)</w:t>
      </w:r>
    </w:p>
    <w:p>
      <w:pPr>
        <w:pStyle w:val="ListParagraph"/>
        <w:numPr>
          <w:ilvl w:val="0"/>
          <w:numId w:val="2"/>
        </w:numPr>
        <w:spacing w:after="100" w:line="360"/>
      </w:pPr>
      <w:r>
        <w:rPr>
          <w:rFonts w:ascii="Arial" w:cs="Arial" w:eastAsia="Arial" w:hAnsi="Arial"/>
          <w:sz w:val="24"/>
          <w:szCs w:val="24"/>
        </w:rPr>
        <w:t xml:space="preserve">Plan immunofluorescence: validate cell-type specific knockdown (excitatory vs. inhibitory neurons)</w:t>
      </w:r>
    </w:p>
    <w:p>
      <w:pPr>
        <w:pStyle w:val="ListParagraph"/>
        <w:numPr>
          <w:ilvl w:val="0"/>
          <w:numId w:val="2"/>
        </w:numPr>
        <w:spacing w:after="100" w:line="360"/>
      </w:pPr>
      <w:r>
        <w:rPr>
          <w:rFonts w:ascii="Arial" w:cs="Arial" w:eastAsia="Arial" w:hAnsi="Arial"/>
          <w:sz w:val="24"/>
          <w:szCs w:val="24"/>
        </w:rPr>
        <w:t xml:space="preserve">Design functional assay: measure MECP2 chromatin binding capacity by ChIP-qPCR at endogenous targets</w:t>
      </w:r>
    </w:p>
    <w:p>
      <w:pPr>
        <w:pStyle w:val="ListParagraph"/>
        <w:numPr>
          <w:ilvl w:val="0"/>
          <w:numId w:val="2"/>
        </w:numPr>
        <w:spacing w:after="100" w:line="360"/>
      </w:pPr>
      <w:r>
        <w:rPr>
          <w:rFonts w:ascii="Arial" w:cs="Arial" w:eastAsia="Arial" w:hAnsi="Arial"/>
          <w:sz w:val="24"/>
          <w:szCs w:val="24"/>
        </w:rPr>
        <w:t xml:space="preserve">Select qPCR gene panel: MECP2 transcriptional targets (BDNF, SYN1, DLX5) to confirm regulatory capacity preservation</w:t>
      </w:r>
    </w:p>
    <w:p>
      <w:pPr>
        <w:pStyle w:val="ListParagraph"/>
        <w:numPr>
          <w:ilvl w:val="0"/>
          <w:numId w:val="2"/>
        </w:numPr>
        <w:spacing w:after="100" w:line="360"/>
      </w:pPr>
      <w:r>
        <w:rPr>
          <w:rFonts w:ascii="Arial" w:cs="Arial" w:eastAsia="Arial" w:hAnsi="Arial"/>
          <w:sz w:val="24"/>
          <w:szCs w:val="24"/>
        </w:rPr>
        <w:t xml:space="preserve">Schedule toxicity monitoring: cell viability assays at multiple timepoints (24h, 48h, 72h post-transfection)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Expected MECP2 protein level at 40% mRNA knockdown (quantified as % of untreated control)</w:t>
      </w:r>
    </w:p>
    <w:p>
      <w:pPr>
        <w:pStyle w:val="ListParagraph"/>
        <w:numPr>
          <w:ilvl w:val="0"/>
          <w:numId w:val="2"/>
        </w:numPr>
        <w:spacing w:after="100" w:line="360"/>
      </w:pPr>
      <w:r>
        <w:rPr>
          <w:rFonts w:ascii="Arial" w:cs="Arial" w:eastAsia="Arial" w:hAnsi="Arial"/>
          <w:sz w:val="24"/>
          <w:szCs w:val="24"/>
        </w:rPr>
        <w:t xml:space="preserve">Western blot protocol: gel specifications, antibody selection, densitometry analysis details</w:t>
      </w:r>
    </w:p>
    <w:p>
      <w:pPr>
        <w:pStyle w:val="ListParagraph"/>
        <w:numPr>
          <w:ilvl w:val="0"/>
          <w:numId w:val="2"/>
        </w:numPr>
        <w:spacing w:after="100" w:line="360"/>
      </w:pPr>
      <w:r>
        <w:rPr>
          <w:rFonts w:ascii="Arial" w:cs="Arial" w:eastAsia="Arial" w:hAnsi="Arial"/>
          <w:sz w:val="24"/>
          <w:szCs w:val="24"/>
        </w:rPr>
        <w:t xml:space="preserve">Immunofluorescence validation: predicted MECP2 intensity distribution, cell-type specificity</w:t>
      </w:r>
    </w:p>
    <w:p>
      <w:pPr>
        <w:pStyle w:val="ListParagraph"/>
        <w:numPr>
          <w:ilvl w:val="0"/>
          <w:numId w:val="2"/>
        </w:numPr>
        <w:spacing w:after="100" w:line="360"/>
      </w:pPr>
      <w:r>
        <w:rPr>
          <w:rFonts w:ascii="Arial" w:cs="Arial" w:eastAsia="Arial" w:hAnsi="Arial"/>
          <w:sz w:val="24"/>
          <w:szCs w:val="24"/>
        </w:rPr>
        <w:t xml:space="preserve">Chromatin binding functional assay: predicted fold-change in MECP2 ChIP signal at endogenous targets</w:t>
      </w:r>
    </w:p>
    <w:p>
      <w:pPr>
        <w:pStyle w:val="ListParagraph"/>
        <w:numPr>
          <w:ilvl w:val="0"/>
          <w:numId w:val="2"/>
        </w:numPr>
        <w:spacing w:after="100" w:line="360"/>
      </w:pPr>
      <w:r>
        <w:rPr>
          <w:rFonts w:ascii="Arial" w:cs="Arial" w:eastAsia="Arial" w:hAnsi="Arial"/>
          <w:sz w:val="24"/>
          <w:szCs w:val="24"/>
        </w:rPr>
        <w:t xml:space="preserve">qPCR gene expression panel results: expected fold-changes in MECP2 target genes at 40% knockdown (should be minimal change)</w:t>
      </w:r>
    </w:p>
    <w:p>
      <w:pPr>
        <w:pStyle w:val="ListParagraph"/>
        <w:numPr>
          <w:ilvl w:val="0"/>
          <w:numId w:val="2"/>
        </w:numPr>
        <w:spacing w:after="100" w:line="360"/>
      </w:pPr>
      <w:r>
        <w:rPr>
          <w:rFonts w:ascii="Arial" w:cs="Arial" w:eastAsia="Arial" w:hAnsi="Arial"/>
          <w:sz w:val="24"/>
          <w:szCs w:val="24"/>
        </w:rPr>
        <w:t xml:space="preserve">Cell viability assessment: expected % viable cells, apoptosis rate, morphology preservation at target ASO dose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Western blot quantification graph showing MECP2 protein levels across knockdown series (0-80%); immunofluorescence intensity histogram; ChIP-qPCR fold-change bar chart; qPCR target gene expression heatmap; viability and apoptosis rate comparison plot</w:t>
      </w:r>
    </w:p>
    <w:p>
      <w:pPr>
        <w:pStyle w:val="Heading2"/>
      </w:pPr>
      <w:r>
        <w:rPr>
          <w:rFonts w:ascii="Arial" w:cs="Arial" w:eastAsia="Arial" w:hAnsi="Arial"/>
          <w:b/>
          <w:bCs/>
          <w:sz w:val="28"/>
          <w:szCs w:val="28"/>
        </w:rPr>
        <w:t xml:space="preserve">Stage 5: Neuronal Function Preservation &amp; Activity Monitoring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Establish electrophysiological baselines in untreated neurons, design EP readouts sensitive to MECP2 over-knockdown toxicity, and monitor network activity to confirm functional preservation during 40% knockdown.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Baseline EP recordings in patient iPS-derived neurons with MECP2 duplication (action potentials, intrinsic excitability)</w:t>
      </w:r>
    </w:p>
    <w:p>
      <w:pPr>
        <w:pStyle w:val="ListParagraph"/>
        <w:numPr>
          <w:ilvl w:val="0"/>
          <w:numId w:val="2"/>
        </w:numPr>
        <w:spacing w:after="100" w:line="360"/>
      </w:pPr>
      <w:r>
        <w:rPr>
          <w:rFonts w:ascii="Arial" w:cs="Arial" w:eastAsia="Arial" w:hAnsi="Arial"/>
          <w:sz w:val="24"/>
          <w:szCs w:val="24"/>
        </w:rPr>
        <w:t xml:space="preserve">Network activity patterns in neuronal cultures (spontaneous burst frequency, synchronization)</w:t>
      </w:r>
    </w:p>
    <w:p>
      <w:pPr>
        <w:pStyle w:val="ListParagraph"/>
        <w:numPr>
          <w:ilvl w:val="0"/>
          <w:numId w:val="2"/>
        </w:numPr>
        <w:spacing w:after="100" w:line="360"/>
      </w:pPr>
      <w:r>
        <w:rPr>
          <w:rFonts w:ascii="Arial" w:cs="Arial" w:eastAsia="Arial" w:hAnsi="Arial"/>
          <w:sz w:val="24"/>
          <w:szCs w:val="24"/>
        </w:rPr>
        <w:t xml:space="preserve">MECP2-null EP phenotype (hyperexcitability, seizure-like activity, abnormal burst patterns)</w:t>
      </w:r>
    </w:p>
    <w:p>
      <w:pPr>
        <w:pStyle w:val="ListParagraph"/>
        <w:numPr>
          <w:ilvl w:val="0"/>
          <w:numId w:val="2"/>
        </w:numPr>
        <w:spacing w:after="100" w:line="360"/>
      </w:pPr>
      <w:r>
        <w:rPr>
          <w:rFonts w:ascii="Arial" w:cs="Arial" w:eastAsia="Arial" w:hAnsi="Arial"/>
          <w:sz w:val="24"/>
          <w:szCs w:val="24"/>
        </w:rPr>
        <w:t xml:space="preserve">Developmental stage considerations: do EP effects of MECP2 knockdown vary with neuronal maturity?</w:t>
      </w:r>
    </w:p>
    <w:p>
      <w:pPr>
        <w:pStyle w:val="ListParagraph"/>
        <w:numPr>
          <w:ilvl w:val="0"/>
          <w:numId w:val="2"/>
        </w:numPr>
        <w:spacing w:after="100" w:line="360"/>
      </w:pPr>
      <w:r>
        <w:rPr>
          <w:rFonts w:ascii="Arial" w:cs="Arial" w:eastAsia="Arial" w:hAnsi="Arial"/>
          <w:sz w:val="24"/>
          <w:szCs w:val="24"/>
        </w:rPr>
        <w:t xml:space="preserve">Pharmacological tools for seizure prediction (bicuculline, 4-AP sensitivity assessment)</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Whole-cell patch clamp system (intrinsic excitability assessment)</w:t>
      </w:r>
    </w:p>
    <w:p>
      <w:pPr>
        <w:pStyle w:val="ListParagraph"/>
        <w:numPr>
          <w:ilvl w:val="0"/>
          <w:numId w:val="2"/>
        </w:numPr>
        <w:spacing w:after="100" w:line="360"/>
      </w:pPr>
      <w:r>
        <w:rPr>
          <w:rFonts w:ascii="Arial" w:cs="Arial" w:eastAsia="Arial" w:hAnsi="Arial"/>
          <w:sz w:val="24"/>
          <w:szCs w:val="24"/>
        </w:rPr>
        <w:t xml:space="preserve">Multi-electrode array (MEA) for network-level activity monitoring (burst analysis, synchronization metrics)</w:t>
      </w:r>
    </w:p>
    <w:p>
      <w:pPr>
        <w:pStyle w:val="ListParagraph"/>
        <w:numPr>
          <w:ilvl w:val="0"/>
          <w:numId w:val="2"/>
        </w:numPr>
        <w:spacing w:after="100" w:line="360"/>
      </w:pPr>
      <w:r>
        <w:rPr>
          <w:rFonts w:ascii="Arial" w:cs="Arial" w:eastAsia="Arial" w:hAnsi="Arial"/>
          <w:sz w:val="24"/>
          <w:szCs w:val="24"/>
        </w:rPr>
        <w:t xml:space="preserve">Action potential waveform analysis software (AP threshold, duration, repolarization rate)</w:t>
      </w:r>
    </w:p>
    <w:p>
      <w:pPr>
        <w:pStyle w:val="ListParagraph"/>
        <w:numPr>
          <w:ilvl w:val="0"/>
          <w:numId w:val="2"/>
        </w:numPr>
        <w:spacing w:after="100" w:line="360"/>
      </w:pPr>
      <w:r>
        <w:rPr>
          <w:rFonts w:ascii="Arial" w:cs="Arial" w:eastAsia="Arial" w:hAnsi="Arial"/>
          <w:sz w:val="24"/>
          <w:szCs w:val="24"/>
        </w:rPr>
        <w:t xml:space="preserve">Seizure-like activity detection algorithm (burst frequency threshold, synchrony index)</w:t>
      </w:r>
    </w:p>
    <w:p>
      <w:pPr>
        <w:pStyle w:val="ListParagraph"/>
        <w:numPr>
          <w:ilvl w:val="0"/>
          <w:numId w:val="2"/>
        </w:numPr>
        <w:spacing w:after="100" w:line="360"/>
      </w:pPr>
      <w:r>
        <w:rPr>
          <w:rFonts w:ascii="Arial" w:cs="Arial" w:eastAsia="Arial" w:hAnsi="Arial"/>
          <w:sz w:val="24"/>
          <w:szCs w:val="24"/>
        </w:rPr>
        <w:t xml:space="preserve">Pharmacological seizure prediction assay (GABAergic blocker sensitivity)</w:t>
      </w:r>
    </w:p>
    <w:p>
      <w:pPr>
        <w:pStyle w:val="ListParagraph"/>
        <w:numPr>
          <w:ilvl w:val="0"/>
          <w:numId w:val="2"/>
        </w:numPr>
        <w:spacing w:after="100" w:line="360"/>
      </w:pPr>
      <w:r>
        <w:rPr>
          <w:rFonts w:ascii="Arial" w:cs="Arial" w:eastAsia="Arial" w:hAnsi="Arial"/>
          <w:sz w:val="24"/>
          <w:szCs w:val="24"/>
        </w:rPr>
        <w:t xml:space="preserve">Statistical comparison toolkit (ANOVA, population statistics across treatment groups)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Measure baseline excitability: resting potential, AP threshold, rheobase current in untreated patient neurons</w:t>
      </w:r>
    </w:p>
    <w:p>
      <w:pPr>
        <w:pStyle w:val="ListParagraph"/>
        <w:numPr>
          <w:ilvl w:val="0"/>
          <w:numId w:val="2"/>
        </w:numPr>
        <w:spacing w:after="100" w:line="360"/>
      </w:pPr>
      <w:r>
        <w:rPr>
          <w:rFonts w:ascii="Arial" w:cs="Arial" w:eastAsia="Arial" w:hAnsi="Arial"/>
          <w:sz w:val="24"/>
          <w:szCs w:val="24"/>
        </w:rPr>
        <w:t xml:space="preserve">Record network activity: spontaneous burst frequency, inter-burst interval, synchronization in duplication control neurons</w:t>
      </w:r>
    </w:p>
    <w:p>
      <w:pPr>
        <w:pStyle w:val="ListParagraph"/>
        <w:numPr>
          <w:ilvl w:val="0"/>
          <w:numId w:val="2"/>
        </w:numPr>
        <w:spacing w:after="100" w:line="360"/>
      </w:pPr>
      <w:r>
        <w:rPr>
          <w:rFonts w:ascii="Arial" w:cs="Arial" w:eastAsia="Arial" w:hAnsi="Arial"/>
          <w:sz w:val="24"/>
          <w:szCs w:val="24"/>
        </w:rPr>
        <w:t xml:space="preserve">Predict EP changes at 40% knockdown: should approach WT baseline (less hyperexcitable than duplication)</w:t>
      </w:r>
    </w:p>
    <w:p>
      <w:pPr>
        <w:pStyle w:val="ListParagraph"/>
        <w:numPr>
          <w:ilvl w:val="0"/>
          <w:numId w:val="2"/>
        </w:numPr>
        <w:spacing w:after="100" w:line="360"/>
      </w:pPr>
      <w:r>
        <w:rPr>
          <w:rFonts w:ascii="Arial" w:cs="Arial" w:eastAsia="Arial" w:hAnsi="Arial"/>
          <w:sz w:val="24"/>
          <w:szCs w:val="24"/>
        </w:rPr>
        <w:t xml:space="preserve">Design seizure-like activity detection: threshold burst frequency at which network becomes pathological</w:t>
      </w:r>
    </w:p>
    <w:p>
      <w:pPr>
        <w:pStyle w:val="ListParagraph"/>
        <w:numPr>
          <w:ilvl w:val="0"/>
          <w:numId w:val="2"/>
        </w:numPr>
        <w:spacing w:after="100" w:line="360"/>
      </w:pPr>
      <w:r>
        <w:rPr>
          <w:rFonts w:ascii="Arial" w:cs="Arial" w:eastAsia="Arial" w:hAnsi="Arial"/>
          <w:sz w:val="24"/>
          <w:szCs w:val="24"/>
        </w:rPr>
        <w:t xml:space="preserve">Plan pharmacological validation: apply bicuculline to assess GABAergic network status, confirm not seizure-prone</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Baseline EP characterization: intrinsic excitability parameters (resting potential, AP threshold, rheobase) in duplication neurons</w:t>
      </w:r>
    </w:p>
    <w:p>
      <w:pPr>
        <w:pStyle w:val="ListParagraph"/>
        <w:numPr>
          <w:ilvl w:val="0"/>
          <w:numId w:val="2"/>
        </w:numPr>
        <w:spacing w:after="100" w:line="360"/>
      </w:pPr>
      <w:r>
        <w:rPr>
          <w:rFonts w:ascii="Arial" w:cs="Arial" w:eastAsia="Arial" w:hAnsi="Arial"/>
          <w:sz w:val="24"/>
          <w:szCs w:val="24"/>
        </w:rPr>
        <w:t xml:space="preserve">Network activity baseline: spontaneous burst frequency, inter-burst interval, synchronization index in control cultures</w:t>
      </w:r>
    </w:p>
    <w:p>
      <w:pPr>
        <w:pStyle w:val="ListParagraph"/>
        <w:numPr>
          <w:ilvl w:val="0"/>
          <w:numId w:val="2"/>
        </w:numPr>
        <w:spacing w:after="100" w:line="360"/>
      </w:pPr>
      <w:r>
        <w:rPr>
          <w:rFonts w:ascii="Arial" w:cs="Arial" w:eastAsia="Arial" w:hAnsi="Arial"/>
          <w:sz w:val="24"/>
          <w:szCs w:val="24"/>
        </w:rPr>
        <w:t xml:space="preserve">Predicted EP changes at 40% knockdown: excitability metrics and burst patterns expected to normalize toward WT</w:t>
      </w:r>
    </w:p>
    <w:p>
      <w:pPr>
        <w:pStyle w:val="ListParagraph"/>
        <w:numPr>
          <w:ilvl w:val="0"/>
          <w:numId w:val="2"/>
        </w:numPr>
        <w:spacing w:after="100" w:line="360"/>
      </w:pPr>
      <w:r>
        <w:rPr>
          <w:rFonts w:ascii="Arial" w:cs="Arial" w:eastAsia="Arial" w:hAnsi="Arial"/>
          <w:sz w:val="24"/>
          <w:szCs w:val="24"/>
        </w:rPr>
        <w:t xml:space="preserve">Seizure-like activity thresholds: burst frequency cutoff above which network classified as pathological</w:t>
      </w:r>
    </w:p>
    <w:p>
      <w:pPr>
        <w:pStyle w:val="ListParagraph"/>
        <w:numPr>
          <w:ilvl w:val="0"/>
          <w:numId w:val="2"/>
        </w:numPr>
        <w:spacing w:after="100" w:line="360"/>
      </w:pPr>
      <w:r>
        <w:rPr>
          <w:rFonts w:ascii="Arial" w:cs="Arial" w:eastAsia="Arial" w:hAnsi="Arial"/>
          <w:sz w:val="24"/>
          <w:szCs w:val="24"/>
        </w:rPr>
        <w:t xml:space="preserve">Pharmacological responses: bicuculline sensitivity (predicted GABAergic tone at different knockdown levels)</w:t>
      </w:r>
    </w:p>
    <w:p>
      <w:pPr>
        <w:pStyle w:val="ListParagraph"/>
        <w:numPr>
          <w:ilvl w:val="0"/>
          <w:numId w:val="2"/>
        </w:numPr>
        <w:spacing w:after="100" w:line="360"/>
      </w:pPr>
      <w:r>
        <w:rPr>
          <w:rFonts w:ascii="Arial" w:cs="Arial" w:eastAsia="Arial" w:hAnsi="Arial"/>
          <w:sz w:val="24"/>
          <w:szCs w:val="24"/>
        </w:rPr>
        <w:t xml:space="preserve">Monitoring protocol: MEA recording schedule (baseline, post-transfection timepoints), analysis metrics, alarm thresholds for toxicity detection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Intrinsic excitability comparison plot (duplication vs. WT baseline); network burst frequency histogram; MEA raster plot examples (baseline vs. 40% knockdown); seizure-like activity detection threshold diagram; pharmacological response curve (bicuculline-induced burst rate change)</w:t>
      </w:r>
    </w:p>
    <w:p>
      <w:pPr>
        <w:pStyle w:val="Heading2"/>
      </w:pPr>
      <w:r>
        <w:rPr>
          <w:rFonts w:ascii="Arial" w:cs="Arial" w:eastAsia="Arial" w:hAnsi="Arial"/>
          <w:b/>
          <w:bCs/>
          <w:sz w:val="28"/>
          <w:szCs w:val="28"/>
        </w:rPr>
        <w:t xml:space="preserve">Stage 6: ASO Synthesis, Neuron Delivery, &amp; Clinical Outcome Prediction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Define clinical-grade ASO synthesis specifications, optimize delivery to patient iPS-derived neurons, predict long-term therapeutic outcomes with partial knockdown, and plan translational pathway.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Final optimized partial knockdown ASO sequence with full chemical modification specifications</w:t>
      </w:r>
    </w:p>
    <w:p>
      <w:pPr>
        <w:pStyle w:val="ListParagraph"/>
        <w:numPr>
          <w:ilvl w:val="0"/>
          <w:numId w:val="2"/>
        </w:numPr>
        <w:spacing w:after="100" w:line="360"/>
      </w:pPr>
      <w:r>
        <w:rPr>
          <w:rFonts w:ascii="Arial" w:cs="Arial" w:eastAsia="Arial" w:hAnsi="Arial"/>
          <w:sz w:val="24"/>
          <w:szCs w:val="24"/>
        </w:rPr>
        <w:t xml:space="preserve">Patient iPS-derived neuron differentiation protocols (MECP2 duplication line, disease model validation)</w:t>
      </w:r>
    </w:p>
    <w:p>
      <w:pPr>
        <w:pStyle w:val="ListParagraph"/>
        <w:numPr>
          <w:ilvl w:val="0"/>
          <w:numId w:val="2"/>
        </w:numPr>
        <w:spacing w:after="100" w:line="360"/>
      </w:pPr>
      <w:r>
        <w:rPr>
          <w:rFonts w:ascii="Arial" w:cs="Arial" w:eastAsia="Arial" w:hAnsi="Arial"/>
          <w:sz w:val="24"/>
          <w:szCs w:val="24"/>
        </w:rPr>
        <w:t xml:space="preserve">Systemic delivery considerations: BBB permeability, CNS biodistribution (future in vivo translation)</w:t>
      </w:r>
    </w:p>
    <w:p>
      <w:pPr>
        <w:pStyle w:val="ListParagraph"/>
        <w:numPr>
          <w:ilvl w:val="0"/>
          <w:numId w:val="2"/>
        </w:numPr>
        <w:spacing w:after="100" w:line="360"/>
      </w:pPr>
      <w:r>
        <w:rPr>
          <w:rFonts w:ascii="Arial" w:cs="Arial" w:eastAsia="Arial" w:hAnsi="Arial"/>
          <w:sz w:val="24"/>
          <w:szCs w:val="24"/>
        </w:rPr>
        <w:t xml:space="preserve">Toxicology data from similar partial knockdown ASO programs (immune activation, hepatotoxicity)</w:t>
      </w:r>
    </w:p>
    <w:p>
      <w:pPr>
        <w:pStyle w:val="ListParagraph"/>
        <w:numPr>
          <w:ilvl w:val="0"/>
          <w:numId w:val="2"/>
        </w:numPr>
        <w:spacing w:after="100" w:line="360"/>
      </w:pPr>
      <w:r>
        <w:rPr>
          <w:rFonts w:ascii="Arial" w:cs="Arial" w:eastAsia="Arial" w:hAnsi="Arial"/>
          <w:sz w:val="24"/>
          <w:szCs w:val="24"/>
        </w:rPr>
        <w:t xml:space="preserve">Clinical efficacy predictions: seizure reduction likelihood, motor function improvement probability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GLP-grade ASO synthesis platform (TriLink Pharmaceuticals, Akta Oligopilot) with IND specifications</w:t>
      </w:r>
    </w:p>
    <w:p>
      <w:pPr>
        <w:pStyle w:val="ListParagraph"/>
        <w:numPr>
          <w:ilvl w:val="0"/>
          <w:numId w:val="2"/>
        </w:numPr>
        <w:spacing w:after="100" w:line="360"/>
      </w:pPr>
      <w:r>
        <w:rPr>
          <w:rFonts w:ascii="Arial" w:cs="Arial" w:eastAsia="Arial" w:hAnsi="Arial"/>
          <w:sz w:val="24"/>
          <w:szCs w:val="24"/>
        </w:rPr>
        <w:t xml:space="preserve">Purity and safety characterization (HPLC-MS, endotoxin, sterility, mycoplasma testing)</w:t>
      </w:r>
    </w:p>
    <w:p>
      <w:pPr>
        <w:pStyle w:val="ListParagraph"/>
        <w:numPr>
          <w:ilvl w:val="0"/>
          <w:numId w:val="2"/>
        </w:numPr>
        <w:spacing w:after="100" w:line="360"/>
      </w:pPr>
      <w:r>
        <w:rPr>
          <w:rFonts w:ascii="Arial" w:cs="Arial" w:eastAsia="Arial" w:hAnsi="Arial"/>
          <w:sz w:val="24"/>
          <w:szCs w:val="24"/>
        </w:rPr>
        <w:t xml:space="preserve">Biodistribution modeling (CNS penetration prediction if in vivo dosing considered)</w:t>
      </w:r>
    </w:p>
    <w:p>
      <w:pPr>
        <w:pStyle w:val="ListParagraph"/>
        <w:numPr>
          <w:ilvl w:val="0"/>
          <w:numId w:val="2"/>
        </w:numPr>
        <w:spacing w:after="100" w:line="360"/>
      </w:pPr>
      <w:r>
        <w:rPr>
          <w:rFonts w:ascii="Arial" w:cs="Arial" w:eastAsia="Arial" w:hAnsi="Arial"/>
          <w:sz w:val="24"/>
          <w:szCs w:val="24"/>
        </w:rPr>
        <w:t xml:space="preserve">Patient iPSC differentiation protocol optimization (neuronal purity &gt;90%, MECP2 expression validation)</w:t>
      </w:r>
    </w:p>
    <w:p>
      <w:pPr>
        <w:pStyle w:val="ListParagraph"/>
        <w:numPr>
          <w:ilvl w:val="0"/>
          <w:numId w:val="2"/>
        </w:numPr>
        <w:spacing w:after="100" w:line="360"/>
      </w:pPr>
      <w:r>
        <w:rPr>
          <w:rFonts w:ascii="Arial" w:cs="Arial" w:eastAsia="Arial" w:hAnsi="Arial"/>
          <w:sz w:val="24"/>
          <w:szCs w:val="24"/>
        </w:rPr>
        <w:t xml:space="preserve">Efficacy modeling tool (seizure prediction from EP biomarkers, clinical outcome probability estimation)</w:t>
      </w:r>
    </w:p>
    <w:p>
      <w:pPr>
        <w:pStyle w:val="ListParagraph"/>
        <w:numPr>
          <w:ilvl w:val="0"/>
          <w:numId w:val="2"/>
        </w:numPr>
        <w:spacing w:after="100" w:line="360"/>
      </w:pPr>
      <w:r>
        <w:rPr>
          <w:rFonts w:ascii="Arial" w:cs="Arial" w:eastAsia="Arial" w:hAnsi="Arial"/>
          <w:sz w:val="24"/>
          <w:szCs w:val="24"/>
        </w:rPr>
        <w:t xml:space="preserve">Regulatory pathway advisor (IND-enabling studies, clinical trial design planning)</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Design GMP-grade synthesis route: assess modification complexity, expected yield, cGMP compliance</w:t>
      </w:r>
    </w:p>
    <w:p>
      <w:pPr>
        <w:pStyle w:val="ListParagraph"/>
        <w:numPr>
          <w:ilvl w:val="0"/>
          <w:numId w:val="2"/>
        </w:numPr>
        <w:spacing w:after="100" w:line="360"/>
      </w:pPr>
      <w:r>
        <w:rPr>
          <w:rFonts w:ascii="Arial" w:cs="Arial" w:eastAsia="Arial" w:hAnsi="Arial"/>
          <w:sz w:val="24"/>
          <w:szCs w:val="24"/>
        </w:rPr>
        <w:t xml:space="preserve">Specify transfection protocol for patient neurons: safety limits, optimal dose, timepoint for maximum knockdown</w:t>
      </w:r>
    </w:p>
    <w:p>
      <w:pPr>
        <w:pStyle w:val="ListParagraph"/>
        <w:numPr>
          <w:ilvl w:val="0"/>
          <w:numId w:val="2"/>
        </w:numPr>
        <w:spacing w:after="100" w:line="360"/>
      </w:pPr>
      <w:r>
        <w:rPr>
          <w:rFonts w:ascii="Arial" w:cs="Arial" w:eastAsia="Arial" w:hAnsi="Arial"/>
          <w:sz w:val="24"/>
          <w:szCs w:val="24"/>
        </w:rPr>
        <w:t xml:space="preserve">Plan toxicology studies: immune activation (TLR3/TLR7/TLR8), hepatocyte safety if in vivo planned</w:t>
      </w:r>
    </w:p>
    <w:p>
      <w:pPr>
        <w:pStyle w:val="ListParagraph"/>
        <w:numPr>
          <w:ilvl w:val="0"/>
          <w:numId w:val="2"/>
        </w:numPr>
        <w:spacing w:after="100" w:line="360"/>
      </w:pPr>
      <w:r>
        <w:rPr>
          <w:rFonts w:ascii="Arial" w:cs="Arial" w:eastAsia="Arial" w:hAnsi="Arial"/>
          <w:sz w:val="24"/>
          <w:szCs w:val="24"/>
        </w:rPr>
        <w:t xml:space="preserve">Estimate clinical efficacy: if 40% MECP2 reduction reverses hyperexcitability, predict seizure reduction %</w:t>
      </w:r>
    </w:p>
    <w:p>
      <w:pPr>
        <w:pStyle w:val="ListParagraph"/>
        <w:numPr>
          <w:ilvl w:val="0"/>
          <w:numId w:val="2"/>
        </w:numPr>
        <w:spacing w:after="100" w:line="360"/>
      </w:pPr>
      <w:r>
        <w:rPr>
          <w:rFonts w:ascii="Arial" w:cs="Arial" w:eastAsia="Arial" w:hAnsi="Arial"/>
          <w:sz w:val="24"/>
          <w:szCs w:val="24"/>
        </w:rPr>
        <w:t xml:space="preserve">Develop regulatory strategy: Phase 1 patient selection criteria, primary efficacy endpoint (seizure frequency, EEG normalization)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GMP synthesis specifications: oligonucleotide sequence, chemical modifications, purification method, expected GMP yield</w:t>
      </w:r>
    </w:p>
    <w:p>
      <w:pPr>
        <w:pStyle w:val="ListParagraph"/>
        <w:numPr>
          <w:ilvl w:val="0"/>
          <w:numId w:val="2"/>
        </w:numPr>
        <w:spacing w:after="100" w:line="360"/>
      </w:pPr>
      <w:r>
        <w:rPr>
          <w:rFonts w:ascii="Arial" w:cs="Arial" w:eastAsia="Arial" w:hAnsi="Arial"/>
          <w:sz w:val="24"/>
          <w:szCs w:val="24"/>
        </w:rPr>
        <w:t xml:space="preserve">Quality control specifications: purity &gt;98%, endotoxin &lt;100 EU/mg, sterility, mycoplasma-free certification</w:t>
      </w:r>
    </w:p>
    <w:p>
      <w:pPr>
        <w:pStyle w:val="ListParagraph"/>
        <w:numPr>
          <w:ilvl w:val="0"/>
          <w:numId w:val="2"/>
        </w:numPr>
        <w:spacing w:after="100" w:line="360"/>
      </w:pPr>
      <w:r>
        <w:rPr>
          <w:rFonts w:ascii="Arial" w:cs="Arial" w:eastAsia="Arial" w:hAnsi="Arial"/>
          <w:sz w:val="24"/>
          <w:szCs w:val="24"/>
        </w:rPr>
        <w:t xml:space="preserve">Patient iPS-derived neuron differentiation protocol: timeline (4-6 weeks), neuronal marker validation (MAP2, VGLUTs, GAD67)</w:t>
      </w:r>
    </w:p>
    <w:p>
      <w:pPr>
        <w:pStyle w:val="ListParagraph"/>
        <w:numPr>
          <w:ilvl w:val="0"/>
          <w:numId w:val="2"/>
        </w:numPr>
        <w:spacing w:after="100" w:line="360"/>
      </w:pPr>
      <w:r>
        <w:rPr>
          <w:rFonts w:ascii="Arial" w:cs="Arial" w:eastAsia="Arial" w:hAnsi="Arial"/>
          <w:sz w:val="24"/>
          <w:szCs w:val="24"/>
        </w:rPr>
        <w:t xml:space="preserve">Transfection optimization: recommended ASO dose (clinical-grade), timepoint for peak knockdown, safety window</w:t>
      </w:r>
    </w:p>
    <w:p>
      <w:pPr>
        <w:pStyle w:val="ListParagraph"/>
        <w:numPr>
          <w:ilvl w:val="0"/>
          <w:numId w:val="2"/>
        </w:numPr>
        <w:spacing w:after="100" w:line="360"/>
      </w:pPr>
      <w:r>
        <w:rPr>
          <w:rFonts w:ascii="Arial" w:cs="Arial" w:eastAsia="Arial" w:hAnsi="Arial"/>
          <w:sz w:val="24"/>
          <w:szCs w:val="24"/>
        </w:rPr>
        <w:t xml:space="preserve">Toxicology prediction: predicted immune activation (IL-6, TNF-α), predicted clinical tolerability at target dose</w:t>
      </w:r>
    </w:p>
    <w:p>
      <w:pPr>
        <w:pStyle w:val="ListParagraph"/>
        <w:numPr>
          <w:ilvl w:val="0"/>
          <w:numId w:val="2"/>
        </w:numPr>
        <w:spacing w:after="100" w:line="360"/>
      </w:pPr>
      <w:r>
        <w:rPr>
          <w:rFonts w:ascii="Arial" w:cs="Arial" w:eastAsia="Arial" w:hAnsi="Arial"/>
          <w:sz w:val="24"/>
          <w:szCs w:val="24"/>
        </w:rPr>
        <w:t xml:space="preserve">Clinical outcome probability model: predicted seizure reduction likelihood (%), motor function improvement potential, patient selection criteria for Phase 1</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Synthesis specifications sheet with oligonucleotide structure and modification map; GMP manufacturing flow diagram; patient iPS differentiation timeline; transfection dose-response for clinical-grade ASO; clinical efficacy probability forest plot; Phase 1 trial design template</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NUPACK/RNAfold: RNA secondary structure prediction and thermodynamic analysis</w:t>
      </w:r>
    </w:p>
    <w:p>
      <w:pPr>
        <w:pStyle w:val="ListParagraph"/>
        <w:numPr>
          <w:ilvl w:val="0"/>
          <w:numId w:val="2"/>
        </w:numPr>
        <w:spacing w:after="100" w:line="360"/>
      </w:pPr>
      <w:r>
        <w:rPr>
          <w:rFonts w:ascii="Arial" w:cs="Arial" w:eastAsia="Arial" w:hAnsi="Arial"/>
          <w:sz w:val="24"/>
          <w:szCs w:val="24"/>
        </w:rPr>
        <w:t xml:space="preserve">Quiver Bioscience EP CRISPR Atlas: Integrated electrophysiology phenotype database (~18k gene perturbations, 500+ features per neuron)</w:t>
      </w:r>
    </w:p>
    <w:p>
      <w:pPr>
        <w:pStyle w:val="ListParagraph"/>
        <w:numPr>
          <w:ilvl w:val="0"/>
          <w:numId w:val="2"/>
        </w:numPr>
        <w:spacing w:after="100" w:line="360"/>
      </w:pPr>
      <w:r>
        <w:rPr>
          <w:rFonts w:ascii="Arial" w:cs="Arial" w:eastAsia="Arial" w:hAnsi="Arial"/>
          <w:sz w:val="24"/>
          <w:szCs w:val="24"/>
        </w:rPr>
        <w:t xml:space="preserve">RNase H binding site prediction: Thermodynamic-based duplex analysis and catalytic efficiency scoring</w:t>
      </w:r>
    </w:p>
    <w:p>
      <w:pPr>
        <w:pStyle w:val="ListParagraph"/>
        <w:numPr>
          <w:ilvl w:val="0"/>
          <w:numId w:val="2"/>
        </w:numPr>
        <w:spacing w:after="100" w:line="360"/>
      </w:pPr>
      <w:r>
        <w:rPr>
          <w:rFonts w:ascii="Arial" w:cs="Arial" w:eastAsia="Arial" w:hAnsi="Arial"/>
          <w:sz w:val="24"/>
          <w:szCs w:val="24"/>
        </w:rPr>
        <w:t xml:space="preserve">CpG pattern recognition &amp; immune motif detection: TLR3/TLR7/TLR8 activation risk assessment</w:t>
      </w:r>
    </w:p>
    <w:p>
      <w:pPr>
        <w:pStyle w:val="ListParagraph"/>
        <w:numPr>
          <w:ilvl w:val="0"/>
          <w:numId w:val="2"/>
        </w:numPr>
        <w:spacing w:after="100" w:line="360"/>
      </w:pPr>
      <w:r>
        <w:rPr>
          <w:rFonts w:ascii="Arial" w:cs="Arial" w:eastAsia="Arial" w:hAnsi="Arial"/>
          <w:sz w:val="24"/>
          <w:szCs w:val="24"/>
        </w:rPr>
        <w:t xml:space="preserve">TRANSAT/accessibility analysis tools: Splice variant-specific target site evaluation</w:t>
      </w:r>
    </w:p>
    <w:p>
      <w:pPr>
        <w:pStyle w:val="ListParagraph"/>
        <w:numPr>
          <w:ilvl w:val="0"/>
          <w:numId w:val="2"/>
        </w:numPr>
        <w:spacing w:after="100" w:line="360"/>
      </w:pPr>
      <w:r>
        <w:rPr>
          <w:rFonts w:ascii="Arial" w:cs="Arial" w:eastAsia="Arial" w:hAnsi="Arial"/>
          <w:sz w:val="24"/>
          <w:szCs w:val="24"/>
        </w:rPr>
        <w:t xml:space="preserve">Antisense Oligonucleotide Design Suite: Custom ASO sequence optimization with modification placement</w:t>
      </w:r>
    </w:p>
    <w:p>
      <w:pPr>
        <w:pStyle w:val="ListParagraph"/>
        <w:numPr>
          <w:ilvl w:val="0"/>
          <w:numId w:val="2"/>
        </w:numPr>
        <w:spacing w:after="100" w:line="360"/>
      </w:pPr>
      <w:r>
        <w:rPr>
          <w:rFonts w:ascii="Arial" w:cs="Arial" w:eastAsia="Arial" w:hAnsi="Arial"/>
          <w:sz w:val="24"/>
          <w:szCs w:val="24"/>
        </w:rPr>
        <w:t xml:space="preserve">Off-target prediction engines (OligoWalk, Exiqon): Selectivity assessment across human transcriptome</w:t>
      </w:r>
    </w:p>
    <w:p>
      <w:pPr>
        <w:pStyle w:val="ListParagraph"/>
        <w:numPr>
          <w:ilvl w:val="0"/>
          <w:numId w:val="2"/>
        </w:numPr>
        <w:spacing w:after="100" w:line="360"/>
      </w:pPr>
      <w:r>
        <w:rPr>
          <w:rFonts w:ascii="Arial" w:cs="Arial" w:eastAsia="Arial" w:hAnsi="Arial"/>
          <w:sz w:val="24"/>
          <w:szCs w:val="24"/>
        </w:rPr>
        <w:t xml:space="preserve">Cellular uptake prediction models: Phosphorothioate saturation and bioavailability scoring</w:t>
      </w:r>
    </w:p>
    <w:p>
      <w:pPr>
        <w:pStyle w:val="ListParagraph"/>
        <w:numPr>
          <w:ilvl w:val="0"/>
          <w:numId w:val="2"/>
        </w:numPr>
        <w:spacing w:after="100" w:line="360"/>
      </w:pPr>
      <w:r>
        <w:rPr>
          <w:rFonts w:ascii="Arial" w:cs="Arial" w:eastAsia="Arial" w:hAnsi="Arial"/>
          <w:sz w:val="24"/>
          <w:szCs w:val="24"/>
        </w:rPr>
        <w:t xml:space="preserve">Dose-response fitting &amp; kinetics modeling: EC50 determination, time-course simulation</w:t>
      </w:r>
    </w:p>
    <w:p>
      <w:pPr>
        <w:pStyle w:val="ListParagraph"/>
        <w:numPr>
          <w:ilvl w:val="0"/>
          <w:numId w:val="2"/>
        </w:numPr>
        <w:spacing w:after="100" w:line="360"/>
      </w:pPr>
      <w:r>
        <w:rPr>
          <w:rFonts w:ascii="Arial" w:cs="Arial" w:eastAsia="Arial" w:hAnsi="Arial"/>
          <w:sz w:val="24"/>
          <w:szCs w:val="24"/>
        </w:rPr>
        <w:t xml:space="preserve">Electrophysiology analysis (Igor Pro, Clampfit): Action potential and current kinetic extraction</w:t>
      </w:r>
    </w:p>
    <w:p>
      <w:pPr>
        <w:pStyle w:val="ListParagraph"/>
        <w:numPr>
          <w:ilvl w:val="0"/>
          <w:numId w:val="2"/>
        </w:numPr>
        <w:spacing w:after="100" w:line="360"/>
      </w:pPr>
      <w:r>
        <w:rPr>
          <w:rFonts w:ascii="Arial" w:cs="Arial" w:eastAsia="Arial" w:hAnsi="Arial"/>
          <w:sz w:val="24"/>
          <w:szCs w:val="24"/>
        </w:rPr>
        <w:t xml:space="preserve">Hodgkin-Huxley channel modeling: Biophysical simulation of ion channel phenotype changes</w:t>
      </w:r>
    </w:p>
    <w:p>
      <w:pPr>
        <w:pStyle w:val="ListParagraph"/>
        <w:numPr>
          <w:ilvl w:val="0"/>
          <w:numId w:val="2"/>
        </w:numPr>
        <w:spacing w:after="100" w:line="360"/>
      </w:pPr>
      <w:r>
        <w:rPr>
          <w:rFonts w:ascii="Arial" w:cs="Arial" w:eastAsia="Arial" w:hAnsi="Arial"/>
          <w:sz w:val="24"/>
          <w:szCs w:val="24"/>
        </w:rPr>
        <w:t xml:space="preserve">Minigene reporter design &amp; validation: Splicing assay construct optimization</w:t>
      </w:r>
    </w:p>
    <w:p>
      <w:pPr>
        <w:pStyle w:val="ListParagraph"/>
        <w:numPr>
          <w:ilvl w:val="0"/>
          <w:numId w:val="2"/>
        </w:numPr>
        <w:spacing w:after="100" w:line="360"/>
      </w:pPr>
      <w:r>
        <w:rPr>
          <w:rFonts w:ascii="Arial" w:cs="Arial" w:eastAsia="Arial" w:hAnsi="Arial"/>
          <w:sz w:val="24"/>
          <w:szCs w:val="24"/>
        </w:rPr>
        <w:t xml:space="preserve">Patient iPS-derived neuron differentiation: Disease model development and therapeutic validation</w:t>
      </w:r>
    </w:p>
    <w:p>
      <w:pPr>
        <w:pStyle w:val="ListParagraph"/>
        <w:numPr>
          <w:ilvl w:val="0"/>
          <w:numId w:val="2"/>
        </w:numPr>
        <w:spacing w:after="100" w:line="360"/>
      </w:pPr>
      <w:r>
        <w:rPr>
          <w:rFonts w:ascii="Arial" w:cs="Arial" w:eastAsia="Arial" w:hAnsi="Arial"/>
          <w:sz w:val="24"/>
          <w:szCs w:val="24"/>
        </w:rPr>
        <w:t xml:space="preserve">Whole-cell patch clamp system: Functional channel characterization and EP recording</w:t>
      </w:r>
    </w:p>
    <w:p>
      <w:pPr>
        <w:pStyle w:val="ListParagraph"/>
        <w:numPr>
          <w:ilvl w:val="0"/>
          <w:numId w:val="2"/>
        </w:numPr>
        <w:spacing w:after="100" w:line="360"/>
      </w:pPr>
      <w:r>
        <w:rPr>
          <w:rFonts w:ascii="Arial" w:cs="Arial" w:eastAsia="Arial" w:hAnsi="Arial"/>
          <w:sz w:val="24"/>
          <w:szCs w:val="24"/>
        </w:rPr>
        <w:t xml:space="preserve">Multi-electrode array (MEA): Network-level activity monitoring and seizure-like activity detection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2026-03-04T17:28:04.269Z</dcterms:created>
  <dcterms:modified xsi:type="dcterms:W3CDTF">2026-03-04T17:28:04.269Z</dcterms:modified>
</cp:coreProperties>
</file>

<file path=docProps/custom.xml><?xml version="1.0" encoding="utf-8"?>
<Properties xmlns="http://schemas.openxmlformats.org/officeDocument/2006/custom-properties" xmlns:vt="http://schemas.openxmlformats.org/officeDocument/2006/docPropsVTypes"/>
</file>