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mTOR CNS-Optimized ASO Design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CNS-optimized ASO sequences targeting mTOR that reduce pathway hyperactivation but avoid full pathway suppression toxicity.</w:t>
      </w:r>
    </w:p>
    <w:p>
      <w:pPr>
        <w:spacing w:after="200" w:line="360"/>
      </w:pPr>
      <w:r>
        <w:rPr>
          <w:rFonts w:ascii="Arial" w:cs="Arial" w:eastAsia="Arial" w:hAnsi="Arial"/>
          <w:sz w:val="24"/>
          <w:szCs w:val="24"/>
        </w:rPr>
        <w:t xml:space="preserve">This pipeline orchestrates the design of antisense oligonucleotide (ASO) sequences targeting mTOR with specific focus on achieving partial pathway suppression in the central nervous system (CNS). Unlike systemic mTOR inhibitors such as rapamycin, which cause severe immunosuppression and growth retardation, CNS-targeted ASOs enable selective neural pathway modulation while preserving systemic mTOR signaling. The challenge is achieving dose-dependent mTOR reduction that ameliorates hyperactivation phenotypes without triggering the toxicity associated with complete pathway blockade.</w:t>
      </w:r>
    </w:p>
    <w:p>
      <w:pPr>
        <w:spacing w:after="200" w:line="360"/>
      </w:pPr>
      <w:r>
        <w:rPr>
          <w:rFonts w:ascii="Arial" w:cs="Arial" w:eastAsia="Arial" w:hAnsi="Arial"/>
          <w:sz w:val="24"/>
          <w:szCs w:val="24"/>
        </w:rPr>
        <w:t xml:space="preserve">The Sapphire platform integrates electrophysiology (EP) phenotyping data from ~18,000 gene perturbations and ~3,500 compound perturbations across 500+ neural features to predict optimal ASO designs. By coupling sequence-level chemistry optimization with mTORC1 vs mTORC2 selectivity modeling, transcript isoform targeting, and EP-based dose-response titration, this pipeline generates ASO candidates that preserve growth signaling and autophagy while reducing excessive mTOR activity.</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integrates sequence-level design with comprehensive phenotypic modeling to identify optimal ASO candidates. Each stage builds on prior results, progressively filtering candidates through increasingly stringent selectivity, efficacy, and safety criteria. The modular architecture allows for iterative refinement and incorporation of new experimental data at each validation stage.</w:t>
      </w:r>
    </w:p>
    <w:p>
      <w:pPr>
        <w:spacing w:after="200" w:line="360"/>
      </w:pPr>
      <w:r>
        <w:rPr>
          <w:rFonts w:ascii="Arial" w:cs="Arial" w:eastAsia="Arial" w:hAnsi="Arial"/>
          <w:sz w:val="24"/>
          <w:szCs w:val="24"/>
        </w:rPr>
        <w:t xml:space="preserve">The Sapphire platform's ~500 electrophysiology features, ~18,000 gene perturbation experiments, and ~3,500 compound perturbation records provide detailed phenotypic ground truth for predicting how ASO-induced transcript knockdown translates to cellular and circuit-level effects. Integration of transcriptomic safety models, computational structure prediction, and mechanistic pathway simulations enables rational design of highly selective, efficacious, and safe ASO therapeutics.</w:t>
      </w:r>
    </w:p>
    <w:p>
      <w:pPr>
        <w:pStyle w:val="Heading2"/>
        <w:spacing w:after="200" w:before="200"/>
      </w:pPr>
      <w:r>
        <w:rPr>
          <w:rFonts w:ascii="Arial" w:cs="Arial" w:eastAsia="Arial" w:hAnsi="Arial"/>
          <w:b/>
          <w:bCs/>
          <w:sz w:val="28"/>
          <w:szCs w:val="28"/>
        </w:rPr>
        <w:t xml:space="preserve">Stage 1: mTOR Target Selection &amp; Isoform Specificity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prioritize mTOR isoforms and transcript variants optimal for CNS partial suppression, avoiding isoforms critical for systemic homeostasis.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mTOR gene annotation (RefSeq, Ensembl isoforms; focus on CNS-prevalent transcripts)</w:t>
      </w:r>
    </w:p>
    <w:p>
      <w:pPr>
        <w:pStyle w:val="ListParagraph"/>
        <w:numPr>
          <w:ilvl w:val="0"/>
          <w:numId w:val="2"/>
        </w:numPr>
        <w:spacing w:after="100" w:line="360"/>
      </w:pPr>
      <w:r>
        <w:rPr>
          <w:rFonts w:ascii="Arial" w:cs="Arial" w:eastAsia="Arial" w:hAnsi="Arial"/>
          <w:sz w:val="24"/>
          <w:szCs w:val="24"/>
        </w:rPr>
        <w:t xml:space="preserve">mTORC1 vs mTORC2 component mapping (PRAS40, Raptor, Rictor selectivity profiles)</w:t>
      </w:r>
    </w:p>
    <w:p>
      <w:pPr>
        <w:pStyle w:val="ListParagraph"/>
        <w:numPr>
          <w:ilvl w:val="0"/>
          <w:numId w:val="2"/>
        </w:numPr>
        <w:spacing w:after="100" w:line="360"/>
      </w:pPr>
      <w:r>
        <w:rPr>
          <w:rFonts w:ascii="Arial" w:cs="Arial" w:eastAsia="Arial" w:hAnsi="Arial"/>
          <w:sz w:val="24"/>
          <w:szCs w:val="24"/>
        </w:rPr>
        <w:t xml:space="preserve">EP phenotype database: neural growth, synaptogenesis, autophagy flux signatures</w:t>
      </w:r>
    </w:p>
    <w:p>
      <w:pPr>
        <w:pStyle w:val="ListParagraph"/>
        <w:numPr>
          <w:ilvl w:val="0"/>
          <w:numId w:val="2"/>
        </w:numPr>
        <w:spacing w:after="100" w:line="360"/>
      </w:pPr>
      <w:r>
        <w:rPr>
          <w:rFonts w:ascii="Arial" w:cs="Arial" w:eastAsia="Arial" w:hAnsi="Arial"/>
          <w:sz w:val="24"/>
          <w:szCs w:val="24"/>
        </w:rPr>
        <w:t xml:space="preserve">Transcript abundance data from mouse/human CNS tissue (hippocampus, cortex, cerebellum)</w:t>
      </w:r>
    </w:p>
    <w:p>
      <w:pPr>
        <w:pStyle w:val="ListParagraph"/>
        <w:numPr>
          <w:ilvl w:val="0"/>
          <w:numId w:val="2"/>
        </w:numPr>
        <w:spacing w:after="100" w:line="360"/>
      </w:pPr>
      <w:r>
        <w:rPr>
          <w:rFonts w:ascii="Arial" w:cs="Arial" w:eastAsia="Arial" w:hAnsi="Arial"/>
          <w:sz w:val="24"/>
          <w:szCs w:val="24"/>
        </w:rPr>
        <w:t xml:space="preserve">Rapamycin immunosuppression &amp; toxicity literature corpus (GeneRIF, DisGeNET)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 Genome Browser (isoform structure &amp; CpG islands)</w:t>
      </w:r>
    </w:p>
    <w:p>
      <w:pPr>
        <w:pStyle w:val="ListParagraph"/>
        <w:numPr>
          <w:ilvl w:val="0"/>
          <w:numId w:val="2"/>
        </w:numPr>
        <w:spacing w:after="100" w:line="360"/>
      </w:pPr>
      <w:r>
        <w:rPr>
          <w:rFonts w:ascii="Arial" w:cs="Arial" w:eastAsia="Arial" w:hAnsi="Arial"/>
          <w:sz w:val="24"/>
          <w:szCs w:val="24"/>
        </w:rPr>
        <w:t xml:space="preserve">Ensembl REST API (transcript annotation, conservation scores)</w:t>
      </w:r>
    </w:p>
    <w:p>
      <w:pPr>
        <w:pStyle w:val="ListParagraph"/>
        <w:numPr>
          <w:ilvl w:val="0"/>
          <w:numId w:val="2"/>
        </w:numPr>
        <w:spacing w:after="100" w:line="360"/>
      </w:pPr>
      <w:r>
        <w:rPr>
          <w:rFonts w:ascii="Arial" w:cs="Arial" w:eastAsia="Arial" w:hAnsi="Arial"/>
          <w:sz w:val="24"/>
          <w:szCs w:val="24"/>
        </w:rPr>
        <w:t xml:space="preserve">Rfam RNA structure database (secondary structure prediction)</w:t>
      </w:r>
    </w:p>
    <w:p>
      <w:pPr>
        <w:pStyle w:val="ListParagraph"/>
        <w:numPr>
          <w:ilvl w:val="0"/>
          <w:numId w:val="2"/>
        </w:numPr>
        <w:spacing w:after="100" w:line="360"/>
      </w:pPr>
      <w:r>
        <w:rPr>
          <w:rFonts w:ascii="Arial" w:cs="Arial" w:eastAsia="Arial" w:hAnsi="Arial"/>
          <w:sz w:val="24"/>
          <w:szCs w:val="24"/>
        </w:rPr>
        <w:t xml:space="preserve">mTOR pathway databases (KEGG, Reactome, BioGRID interactions)</w:t>
      </w:r>
    </w:p>
    <w:p>
      <w:pPr>
        <w:pStyle w:val="ListParagraph"/>
        <w:numPr>
          <w:ilvl w:val="0"/>
          <w:numId w:val="2"/>
        </w:numPr>
        <w:spacing w:after="100" w:line="360"/>
      </w:pPr>
      <w:r>
        <w:rPr>
          <w:rFonts w:ascii="Arial" w:cs="Arial" w:eastAsia="Arial" w:hAnsi="Arial"/>
          <w:sz w:val="24"/>
          <w:szCs w:val="24"/>
        </w:rPr>
        <w:t xml:space="preserve">AlphaFold2 structure prediction (mTORC1/2 complex conformations)</w:t>
      </w:r>
    </w:p>
    <w:p>
      <w:pPr>
        <w:pStyle w:val="ListParagraph"/>
        <w:numPr>
          <w:ilvl w:val="0"/>
          <w:numId w:val="2"/>
        </w:numPr>
        <w:spacing w:after="100" w:line="360"/>
      </w:pPr>
      <w:r>
        <w:rPr>
          <w:rFonts w:ascii="Arial" w:cs="Arial" w:eastAsia="Arial" w:hAnsi="Arial"/>
          <w:sz w:val="24"/>
          <w:szCs w:val="24"/>
        </w:rPr>
        <w:t xml:space="preserve">Sapphire EP atlas indexing (mTOR perturbation phenotypes: n=342 experiments)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mTOR transcripts are preferentially expressed in human hippocampus and cortex vs liver/kidney?</w:t>
      </w:r>
    </w:p>
    <w:p>
      <w:pPr>
        <w:pStyle w:val="ListParagraph"/>
        <w:numPr>
          <w:ilvl w:val="0"/>
          <w:numId w:val="2"/>
        </w:numPr>
        <w:spacing w:after="100" w:line="360"/>
      </w:pPr>
      <w:r>
        <w:rPr>
          <w:rFonts w:ascii="Arial" w:cs="Arial" w:eastAsia="Arial" w:hAnsi="Arial"/>
          <w:sz w:val="24"/>
          <w:szCs w:val="24"/>
        </w:rPr>
        <w:t xml:space="preserve">How do mTORC1-selective vs mTORC2-selective perturbations differ in EP signatures (synaptic plasticity, spontaneous firing)?</w:t>
      </w:r>
    </w:p>
    <w:p>
      <w:pPr>
        <w:pStyle w:val="ListParagraph"/>
        <w:numPr>
          <w:ilvl w:val="0"/>
          <w:numId w:val="2"/>
        </w:numPr>
        <w:spacing w:after="100" w:line="360"/>
      </w:pPr>
      <w:r>
        <w:rPr>
          <w:rFonts w:ascii="Arial" w:cs="Arial" w:eastAsia="Arial" w:hAnsi="Arial"/>
          <w:sz w:val="24"/>
          <w:szCs w:val="24"/>
        </w:rPr>
        <w:t xml:space="preserve">What transcript exons encode regions unique to mTORC1 scaffolding vs mTORC2 assembly?</w:t>
      </w:r>
    </w:p>
    <w:p>
      <w:pPr>
        <w:pStyle w:val="ListParagraph"/>
        <w:numPr>
          <w:ilvl w:val="0"/>
          <w:numId w:val="2"/>
        </w:numPr>
        <w:spacing w:after="100" w:line="360"/>
      </w:pPr>
      <w:r>
        <w:rPr>
          <w:rFonts w:ascii="Arial" w:cs="Arial" w:eastAsia="Arial" w:hAnsi="Arial"/>
          <w:sz w:val="24"/>
          <w:szCs w:val="24"/>
        </w:rPr>
        <w:t xml:space="preserve">Which mTOR isoforms have the lowest predicted off-target binding to homologous kinases (FRAP, PRKAB1)?</w:t>
      </w:r>
    </w:p>
    <w:p>
      <w:pPr>
        <w:pStyle w:val="ListParagraph"/>
        <w:numPr>
          <w:ilvl w:val="0"/>
          <w:numId w:val="2"/>
        </w:numPr>
        <w:spacing w:after="100" w:line="360"/>
      </w:pPr>
      <w:r>
        <w:rPr>
          <w:rFonts w:ascii="Arial" w:cs="Arial" w:eastAsia="Arial" w:hAnsi="Arial"/>
          <w:sz w:val="24"/>
          <w:szCs w:val="24"/>
        </w:rPr>
        <w:t xml:space="preserve">Can transcript-level targeting exploit CNS-specific polyadenylation or splicing variants?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8-12 mTOR transcript targets (isoform IDs, exon coordinates, CNS abundance ratios)</w:t>
      </w:r>
    </w:p>
    <w:p>
      <w:pPr>
        <w:pStyle w:val="ListParagraph"/>
        <w:numPr>
          <w:ilvl w:val="0"/>
          <w:numId w:val="2"/>
        </w:numPr>
        <w:spacing w:after="100" w:line="360"/>
      </w:pPr>
      <w:r>
        <w:rPr>
          <w:rFonts w:ascii="Arial" w:cs="Arial" w:eastAsia="Arial" w:hAnsi="Arial"/>
          <w:sz w:val="24"/>
          <w:szCs w:val="24"/>
        </w:rPr>
        <w:t xml:space="preserve">mTORC1 vs mTORC2 selectivity matrix (component targeting impact scores from EP data)</w:t>
      </w:r>
    </w:p>
    <w:p>
      <w:pPr>
        <w:pStyle w:val="ListParagraph"/>
        <w:numPr>
          <w:ilvl w:val="0"/>
          <w:numId w:val="2"/>
        </w:numPr>
        <w:spacing w:after="100" w:line="360"/>
      </w:pPr>
      <w:r>
        <w:rPr>
          <w:rFonts w:ascii="Arial" w:cs="Arial" w:eastAsia="Arial" w:hAnsi="Arial"/>
          <w:sz w:val="24"/>
          <w:szCs w:val="24"/>
        </w:rPr>
        <w:t xml:space="preserve">Secondary structure predictions for top 5 target regions (optimal 20-25 nt accessibility windows)</w:t>
      </w:r>
    </w:p>
    <w:p>
      <w:pPr>
        <w:pStyle w:val="ListParagraph"/>
        <w:numPr>
          <w:ilvl w:val="0"/>
          <w:numId w:val="2"/>
        </w:numPr>
        <w:spacing w:after="100" w:line="360"/>
      </w:pPr>
      <w:r>
        <w:rPr>
          <w:rFonts w:ascii="Arial" w:cs="Arial" w:eastAsia="Arial" w:hAnsi="Arial"/>
          <w:sz w:val="24"/>
          <w:szCs w:val="24"/>
        </w:rPr>
        <w:t xml:space="preserve">Off-target homology assessment (percent identity to mTOR paralogs and kinase superfamily)</w:t>
      </w:r>
    </w:p>
    <w:p>
      <w:pPr>
        <w:pStyle w:val="ListParagraph"/>
        <w:numPr>
          <w:ilvl w:val="0"/>
          <w:numId w:val="2"/>
        </w:numPr>
        <w:spacing w:after="100" w:line="360"/>
      </w:pPr>
      <w:r>
        <w:rPr>
          <w:rFonts w:ascii="Arial" w:cs="Arial" w:eastAsia="Arial" w:hAnsi="Arial"/>
          <w:sz w:val="24"/>
          <w:szCs w:val="24"/>
        </w:rPr>
        <w:t xml:space="preserve">EP phenotype rescue predictions for each isoform target (autophagy, growth, synaptic function)</w:t>
      </w:r>
    </w:p>
    <w:p>
      <w:pPr>
        <w:pStyle w:val="ListParagraph"/>
        <w:numPr>
          <w:ilvl w:val="0"/>
          <w:numId w:val="2"/>
        </w:numPr>
        <w:spacing w:after="100" w:line="360"/>
      </w:pPr>
      <w:r>
        <w:rPr>
          <w:rFonts w:ascii="Arial" w:cs="Arial" w:eastAsia="Arial" w:hAnsi="Arial"/>
          <w:sz w:val="24"/>
          <w:szCs w:val="24"/>
        </w:rPr>
        <w:t xml:space="preserve">CNS tissue-specific expression heat map (RNA-seq TPM values: hippocampus, cortex, cerebellum, spinal cord)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Tab-delimited isoform ranking table (transcript ID | exon # | CNS expression ratio | selectivity score | EP phenotype impact) with secondary structure diagrams in supplementary PDF</w:t>
      </w:r>
    </w:p>
    <w:p>
      <w:pPr>
        <w:pStyle w:val="Heading2"/>
        <w:spacing w:after="200" w:before="200"/>
      </w:pPr>
      <w:r>
        <w:rPr>
          <w:rFonts w:ascii="Arial" w:cs="Arial" w:eastAsia="Arial" w:hAnsi="Arial"/>
          <w:b/>
          <w:bCs/>
          <w:sz w:val="28"/>
          <w:szCs w:val="28"/>
        </w:rPr>
        <w:t xml:space="preserve">Stage 2: ASO Sequence Design &amp; Chemistry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15-20 candidate ASO sequences targeting selected mTOR transcripts with optimized chemical modifications for CNS delivery, stability, and mTORC1/2 selectivity.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 mTOR target transcripts &amp; exon coordinates from Stage 1</w:t>
      </w:r>
    </w:p>
    <w:p>
      <w:pPr>
        <w:pStyle w:val="ListParagraph"/>
        <w:numPr>
          <w:ilvl w:val="0"/>
          <w:numId w:val="2"/>
        </w:numPr>
        <w:spacing w:after="100" w:line="360"/>
      </w:pPr>
      <w:r>
        <w:rPr>
          <w:rFonts w:ascii="Arial" w:cs="Arial" w:eastAsia="Arial" w:hAnsi="Arial"/>
          <w:sz w:val="24"/>
          <w:szCs w:val="24"/>
        </w:rPr>
        <w:t xml:space="preserve">Accessibility windows: optimal 20-25 nt sequences from secondary structure analysis</w:t>
      </w:r>
    </w:p>
    <w:p>
      <w:pPr>
        <w:pStyle w:val="ListParagraph"/>
        <w:numPr>
          <w:ilvl w:val="0"/>
          <w:numId w:val="2"/>
        </w:numPr>
        <w:spacing w:after="100" w:line="360"/>
      </w:pPr>
      <w:r>
        <w:rPr>
          <w:rFonts w:ascii="Arial" w:cs="Arial" w:eastAsia="Arial" w:hAnsi="Arial"/>
          <w:sz w:val="24"/>
          <w:szCs w:val="24"/>
        </w:rPr>
        <w:t xml:space="preserve">ASO design rules (GC-content 40-60%, homopolymer avoidance, SNP masking for humanization)</w:t>
      </w:r>
    </w:p>
    <w:p>
      <w:pPr>
        <w:pStyle w:val="ListParagraph"/>
        <w:numPr>
          <w:ilvl w:val="0"/>
          <w:numId w:val="2"/>
        </w:numPr>
        <w:spacing w:after="100" w:line="360"/>
      </w:pPr>
      <w:r>
        <w:rPr>
          <w:rFonts w:ascii="Arial" w:cs="Arial" w:eastAsia="Arial" w:hAnsi="Arial"/>
          <w:sz w:val="24"/>
          <w:szCs w:val="24"/>
        </w:rPr>
        <w:t xml:space="preserve">Chemical modification library: 2'MOE, cEt, PS backbone, Gap-mer patterns for CNS</w:t>
      </w:r>
    </w:p>
    <w:p>
      <w:pPr>
        <w:pStyle w:val="ListParagraph"/>
        <w:numPr>
          <w:ilvl w:val="0"/>
          <w:numId w:val="2"/>
        </w:numPr>
        <w:spacing w:after="100" w:line="360"/>
      </w:pPr>
      <w:r>
        <w:rPr>
          <w:rFonts w:ascii="Arial" w:cs="Arial" w:eastAsia="Arial" w:hAnsi="Arial"/>
          <w:sz w:val="24"/>
          <w:szCs w:val="24"/>
        </w:rPr>
        <w:t xml:space="preserve">mTORC1 vs mTORC2 selectivity constraints (avoid exons unique to mTORC2 catalytic variants)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OligoCalc (Tm calculation, secondary structure in ASO context)</w:t>
      </w:r>
    </w:p>
    <w:p>
      <w:pPr>
        <w:pStyle w:val="ListParagraph"/>
        <w:numPr>
          <w:ilvl w:val="0"/>
          <w:numId w:val="2"/>
        </w:numPr>
        <w:spacing w:after="100" w:line="360"/>
      </w:pPr>
      <w:r>
        <w:rPr>
          <w:rFonts w:ascii="Arial" w:cs="Arial" w:eastAsia="Arial" w:hAnsi="Arial"/>
          <w:sz w:val="24"/>
          <w:szCs w:val="24"/>
        </w:rPr>
        <w:t xml:space="preserve">GENEIOUS Pro (sequence design, off-target screening against human transcriptome)</w:t>
      </w:r>
    </w:p>
    <w:p>
      <w:pPr>
        <w:pStyle w:val="ListParagraph"/>
        <w:numPr>
          <w:ilvl w:val="0"/>
          <w:numId w:val="2"/>
        </w:numPr>
        <w:spacing w:after="100" w:line="360"/>
      </w:pPr>
      <w:r>
        <w:rPr>
          <w:rFonts w:ascii="Arial" w:cs="Arial" w:eastAsia="Arial" w:hAnsi="Arial"/>
          <w:sz w:val="24"/>
          <w:szCs w:val="24"/>
        </w:rPr>
        <w:t xml:space="preserve">ChemGPS NP (ADMET properties for CNS-modified ASOs)</w:t>
      </w:r>
    </w:p>
    <w:p>
      <w:pPr>
        <w:pStyle w:val="ListParagraph"/>
        <w:numPr>
          <w:ilvl w:val="0"/>
          <w:numId w:val="2"/>
        </w:numPr>
        <w:spacing w:after="100" w:line="360"/>
      </w:pPr>
      <w:r>
        <w:rPr>
          <w:rFonts w:ascii="Arial" w:cs="Arial" w:eastAsia="Arial" w:hAnsi="Arial"/>
          <w:sz w:val="24"/>
          <w:szCs w:val="24"/>
        </w:rPr>
        <w:t xml:space="preserve">Beacon Designer (primer/ASO design with chemical modification templates)</w:t>
      </w:r>
    </w:p>
    <w:p>
      <w:pPr>
        <w:pStyle w:val="ListParagraph"/>
        <w:numPr>
          <w:ilvl w:val="0"/>
          <w:numId w:val="2"/>
        </w:numPr>
        <w:spacing w:after="100" w:line="360"/>
      </w:pPr>
      <w:r>
        <w:rPr>
          <w:rFonts w:ascii="Arial" w:cs="Arial" w:eastAsia="Arial" w:hAnsi="Arial"/>
          <w:sz w:val="24"/>
          <w:szCs w:val="24"/>
        </w:rPr>
        <w:t xml:space="preserve">Custom Sapphire ASO-Chem module (mTOR transcript targeting + modification optimization)</w:t>
      </w:r>
    </w:p>
    <w:p>
      <w:pPr>
        <w:pStyle w:val="ListParagraph"/>
        <w:numPr>
          <w:ilvl w:val="0"/>
          <w:numId w:val="2"/>
        </w:numPr>
        <w:spacing w:after="100" w:line="360"/>
      </w:pPr>
      <w:r>
        <w:rPr>
          <w:rFonts w:ascii="Arial" w:cs="Arial" w:eastAsia="Arial" w:hAnsi="Arial"/>
          <w:sz w:val="24"/>
          <w:szCs w:val="24"/>
        </w:rPr>
        <w:t xml:space="preserve">RNAfold &amp; mfold (ASO-target duplex thermodynamics: binding free energy ΔG)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5 ASO sequences targeting exon 15 (mTORC1-unique scaffolding region) with PS backbone + 2'MOE wings</w:t>
      </w:r>
    </w:p>
    <w:p>
      <w:pPr>
        <w:pStyle w:val="ListParagraph"/>
        <w:numPr>
          <w:ilvl w:val="0"/>
          <w:numId w:val="2"/>
        </w:numPr>
        <w:spacing w:after="100" w:line="360"/>
      </w:pPr>
      <w:r>
        <w:rPr>
          <w:rFonts w:ascii="Arial" w:cs="Arial" w:eastAsia="Arial" w:hAnsi="Arial"/>
          <w:sz w:val="24"/>
          <w:szCs w:val="24"/>
        </w:rPr>
        <w:t xml:space="preserve">What is the optimal Gap-mer architecture (Gap length, MOE wing lengths) for CNS penetration vs liver off-target?</w:t>
      </w:r>
    </w:p>
    <w:p>
      <w:pPr>
        <w:pStyle w:val="ListParagraph"/>
        <w:numPr>
          <w:ilvl w:val="0"/>
          <w:numId w:val="2"/>
        </w:numPr>
        <w:spacing w:after="100" w:line="360"/>
      </w:pPr>
      <w:r>
        <w:rPr>
          <w:rFonts w:ascii="Arial" w:cs="Arial" w:eastAsia="Arial" w:hAnsi="Arial"/>
          <w:sz w:val="24"/>
          <w:szCs w:val="24"/>
        </w:rPr>
        <w:t xml:space="preserve">Generate 3 SNP-discriminating ASOs to avoid targeting conserved non-pathogenic mTOR variants</w:t>
      </w:r>
    </w:p>
    <w:p>
      <w:pPr>
        <w:pStyle w:val="ListParagraph"/>
        <w:numPr>
          <w:ilvl w:val="0"/>
          <w:numId w:val="2"/>
        </w:numPr>
        <w:spacing w:after="100" w:line="360"/>
      </w:pPr>
      <w:r>
        <w:rPr>
          <w:rFonts w:ascii="Arial" w:cs="Arial" w:eastAsia="Arial" w:hAnsi="Arial"/>
          <w:sz w:val="24"/>
          <w:szCs w:val="24"/>
        </w:rPr>
        <w:t xml:space="preserve">Predict Tm and stability in CSF (pH 7.4, 37°C) for top 10 candidate ASOs with different chemical backbones</w:t>
      </w:r>
    </w:p>
    <w:p>
      <w:pPr>
        <w:pStyle w:val="ListParagraph"/>
        <w:numPr>
          <w:ilvl w:val="0"/>
          <w:numId w:val="2"/>
        </w:numPr>
        <w:spacing w:after="100" w:line="360"/>
      </w:pPr>
      <w:r>
        <w:rPr>
          <w:rFonts w:ascii="Arial" w:cs="Arial" w:eastAsia="Arial" w:hAnsi="Arial"/>
          <w:sz w:val="24"/>
          <w:szCs w:val="24"/>
        </w:rPr>
        <w:t xml:space="preserve">Which ASO sequences minimize predicted interaction with liver microRNAs (hepatocyte-specific 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20 ranked ASO candidate sequences (sequence | Tm | GC% | homopolymer flags | off-target count)</w:t>
      </w:r>
    </w:p>
    <w:p>
      <w:pPr>
        <w:pStyle w:val="ListParagraph"/>
        <w:numPr>
          <w:ilvl w:val="0"/>
          <w:numId w:val="2"/>
        </w:numPr>
        <w:spacing w:after="100" w:line="360"/>
      </w:pPr>
      <w:r>
        <w:rPr>
          <w:rFonts w:ascii="Arial" w:cs="Arial" w:eastAsia="Arial" w:hAnsi="Arial"/>
          <w:sz w:val="24"/>
          <w:szCs w:val="24"/>
        </w:rPr>
        <w:t xml:space="preserve">Chemical modification profiles (PS backbone length, 2'MOE/cEt positions, Gap-mer architecture)</w:t>
      </w:r>
    </w:p>
    <w:p>
      <w:pPr>
        <w:pStyle w:val="ListParagraph"/>
        <w:numPr>
          <w:ilvl w:val="0"/>
          <w:numId w:val="2"/>
        </w:numPr>
        <w:spacing w:after="100" w:line="360"/>
      </w:pPr>
      <w:r>
        <w:rPr>
          <w:rFonts w:ascii="Arial" w:cs="Arial" w:eastAsia="Arial" w:hAnsi="Arial"/>
          <w:sz w:val="24"/>
          <w:szCs w:val="24"/>
        </w:rPr>
        <w:t xml:space="preserve">Predicted CNS vs liver selectivity ratios (CSF penetration score from ChemGPS; hepatocyte off-target burden)</w:t>
      </w:r>
    </w:p>
    <w:p>
      <w:pPr>
        <w:pStyle w:val="ListParagraph"/>
        <w:numPr>
          <w:ilvl w:val="0"/>
          <w:numId w:val="2"/>
        </w:numPr>
        <w:spacing w:after="100" w:line="360"/>
      </w:pPr>
      <w:r>
        <w:rPr>
          <w:rFonts w:ascii="Arial" w:cs="Arial" w:eastAsia="Arial" w:hAnsi="Arial"/>
          <w:sz w:val="24"/>
          <w:szCs w:val="24"/>
        </w:rPr>
        <w:t xml:space="preserve">ASO-target duplex ΔG values (thermodynamic stability ranking)</w:t>
      </w:r>
    </w:p>
    <w:p>
      <w:pPr>
        <w:pStyle w:val="ListParagraph"/>
        <w:numPr>
          <w:ilvl w:val="0"/>
          <w:numId w:val="2"/>
        </w:numPr>
        <w:spacing w:after="100" w:line="360"/>
      </w:pPr>
      <w:r>
        <w:rPr>
          <w:rFonts w:ascii="Arial" w:cs="Arial" w:eastAsia="Arial" w:hAnsi="Arial"/>
          <w:sz w:val="24"/>
          <w:szCs w:val="24"/>
        </w:rPr>
        <w:t xml:space="preserve">SNP masking validation (confirmation of avoidance of known non-pathogenic mTOR variants)</w:t>
      </w:r>
    </w:p>
    <w:p>
      <w:pPr>
        <w:pStyle w:val="ListParagraph"/>
        <w:numPr>
          <w:ilvl w:val="0"/>
          <w:numId w:val="2"/>
        </w:numPr>
        <w:spacing w:after="100" w:line="360"/>
      </w:pPr>
      <w:r>
        <w:rPr>
          <w:rFonts w:ascii="Arial" w:cs="Arial" w:eastAsia="Arial" w:hAnsi="Arial"/>
          <w:sz w:val="24"/>
          <w:szCs w:val="24"/>
        </w:rPr>
        <w:t xml:space="preserve">Preliminary ADMET properties (logP, topological PSA, predicted CNS drug-likeness score)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spreadsheet (columns: ASO ID | Sequence | Tm | Chemistry | Selectivity Score | Predicted Efficacy Tier) with detailed chemical modification schematic diagrams</w:t>
      </w:r>
    </w:p>
    <w:p>
      <w:pPr>
        <w:pStyle w:val="Heading2"/>
        <w:spacing w:after="200" w:before="200"/>
      </w:pPr>
      <w:r>
        <w:rPr>
          <w:rFonts w:ascii="Arial" w:cs="Arial" w:eastAsia="Arial" w:hAnsi="Arial"/>
          <w:b/>
          <w:bCs/>
          <w:sz w:val="28"/>
          <w:szCs w:val="28"/>
        </w:rPr>
        <w:t xml:space="preserve">Stage 3: Off-Target Binding &amp; Pathway Selectivity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assess predicted off-target binding for all 20 ASO candidates against the human transcriptome to ensure mTOR selectivity and avoid unintended pathway perturbations.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20 ASO candidate sequences from Stage 2</w:t>
      </w:r>
    </w:p>
    <w:p>
      <w:pPr>
        <w:pStyle w:val="ListParagraph"/>
        <w:numPr>
          <w:ilvl w:val="0"/>
          <w:numId w:val="2"/>
        </w:numPr>
        <w:spacing w:after="100" w:line="360"/>
      </w:pPr>
      <w:r>
        <w:rPr>
          <w:rFonts w:ascii="Arial" w:cs="Arial" w:eastAsia="Arial" w:hAnsi="Arial"/>
          <w:sz w:val="24"/>
          <w:szCs w:val="24"/>
        </w:rPr>
        <w:t xml:space="preserve">Human RefSeq transcriptome (NCBI; ~20,000 genes, transcript isoforms)</w:t>
      </w:r>
    </w:p>
    <w:p>
      <w:pPr>
        <w:pStyle w:val="ListParagraph"/>
        <w:numPr>
          <w:ilvl w:val="0"/>
          <w:numId w:val="2"/>
        </w:numPr>
        <w:spacing w:after="100" w:line="360"/>
      </w:pPr>
      <w:r>
        <w:rPr>
          <w:rFonts w:ascii="Arial" w:cs="Arial" w:eastAsia="Arial" w:hAnsi="Arial"/>
          <w:sz w:val="24"/>
          <w:szCs w:val="24"/>
        </w:rPr>
        <w:t xml:space="preserve">Kinase superfamily sequences (homologous to mTOR: FRAP, PRKAB1, PRKAG2, etc.)</w:t>
      </w:r>
    </w:p>
    <w:p>
      <w:pPr>
        <w:pStyle w:val="ListParagraph"/>
        <w:numPr>
          <w:ilvl w:val="0"/>
          <w:numId w:val="2"/>
        </w:numPr>
        <w:spacing w:after="100" w:line="360"/>
      </w:pPr>
      <w:r>
        <w:rPr>
          <w:rFonts w:ascii="Arial" w:cs="Arial" w:eastAsia="Arial" w:hAnsi="Arial"/>
          <w:sz w:val="24"/>
          <w:szCs w:val="24"/>
        </w:rPr>
        <w:t xml:space="preserve">CNS-critical genes: synaptic plasticity pathways (CAMKII, GRIN, AMPA receptors); growth pathways (MAPK cascade)</w:t>
      </w:r>
    </w:p>
    <w:p>
      <w:pPr>
        <w:pStyle w:val="ListParagraph"/>
        <w:numPr>
          <w:ilvl w:val="0"/>
          <w:numId w:val="2"/>
        </w:numPr>
        <w:spacing w:after="100" w:line="360"/>
      </w:pPr>
      <w:r>
        <w:rPr>
          <w:rFonts w:ascii="Arial" w:cs="Arial" w:eastAsia="Arial" w:hAnsi="Arial"/>
          <w:sz w:val="24"/>
          <w:szCs w:val="24"/>
        </w:rPr>
        <w:t xml:space="preserve">Sapphire EP database of known off-target liabilities (genes where knockdown causes adverse EP phenotypes)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OFFtarget tool (GENIE, Sfold off-target identification; mismatch tolerance ≤2)</w:t>
      </w:r>
    </w:p>
    <w:p>
      <w:pPr>
        <w:pStyle w:val="ListParagraph"/>
        <w:numPr>
          <w:ilvl w:val="0"/>
          <w:numId w:val="2"/>
        </w:numPr>
        <w:spacing w:after="100" w:line="360"/>
      </w:pPr>
      <w:r>
        <w:rPr>
          <w:rFonts w:ascii="Arial" w:cs="Arial" w:eastAsia="Arial" w:hAnsi="Arial"/>
          <w:sz w:val="24"/>
          <w:szCs w:val="24"/>
        </w:rPr>
        <w:t xml:space="preserve">BLAST+ (high-sensitivity local alignment against transcriptome; e-value &lt;1e-5)</w:t>
      </w:r>
    </w:p>
    <w:p>
      <w:pPr>
        <w:pStyle w:val="ListParagraph"/>
        <w:numPr>
          <w:ilvl w:val="0"/>
          <w:numId w:val="2"/>
        </w:numPr>
        <w:spacing w:after="100" w:line="360"/>
      </w:pPr>
      <w:r>
        <w:rPr>
          <w:rFonts w:ascii="Arial" w:cs="Arial" w:eastAsia="Arial" w:hAnsi="Arial"/>
          <w:sz w:val="24"/>
          <w:szCs w:val="24"/>
        </w:rPr>
        <w:t xml:space="preserve">RNAhybrid (ASO-target thermodynamic scoring; binding free energy prediction)</w:t>
      </w:r>
    </w:p>
    <w:p>
      <w:pPr>
        <w:pStyle w:val="ListParagraph"/>
        <w:numPr>
          <w:ilvl w:val="0"/>
          <w:numId w:val="2"/>
        </w:numPr>
        <w:spacing w:after="100" w:line="360"/>
      </w:pPr>
      <w:r>
        <w:rPr>
          <w:rFonts w:ascii="Arial" w:cs="Arial" w:eastAsia="Arial" w:hAnsi="Arial"/>
          <w:sz w:val="24"/>
          <w:szCs w:val="24"/>
        </w:rPr>
        <w:t xml:space="preserve">SNPnexus (SNP mapping to off-target sequences; assess polymorphism impact)</w:t>
      </w:r>
    </w:p>
    <w:p>
      <w:pPr>
        <w:pStyle w:val="ListParagraph"/>
        <w:numPr>
          <w:ilvl w:val="0"/>
          <w:numId w:val="2"/>
        </w:numPr>
        <w:spacing w:after="100" w:line="360"/>
      </w:pPr>
      <w:r>
        <w:rPr>
          <w:rFonts w:ascii="Arial" w:cs="Arial" w:eastAsia="Arial" w:hAnsi="Arial"/>
          <w:sz w:val="24"/>
          <w:szCs w:val="24"/>
        </w:rPr>
        <w:t xml:space="preserve">Reactome pathway analysis (off-target genes mapped to functional modules)</w:t>
      </w:r>
    </w:p>
    <w:p>
      <w:pPr>
        <w:pStyle w:val="ListParagraph"/>
        <w:numPr>
          <w:ilvl w:val="0"/>
          <w:numId w:val="2"/>
        </w:numPr>
        <w:spacing w:after="100" w:line="360"/>
      </w:pPr>
      <w:r>
        <w:rPr>
          <w:rFonts w:ascii="Arial" w:cs="Arial" w:eastAsia="Arial" w:hAnsi="Arial"/>
          <w:sz w:val="24"/>
          <w:szCs w:val="24"/>
        </w:rPr>
        <w:t xml:space="preserve">Sapphire Off-Target EP Consequence module (predict phenotypic impact of off-target hits)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predicted off-target sites in the human transcriptome with ≥85% sequence similarity to each ASO</w:t>
      </w:r>
    </w:p>
    <w:p>
      <w:pPr>
        <w:pStyle w:val="ListParagraph"/>
        <w:numPr>
          <w:ilvl w:val="0"/>
          <w:numId w:val="2"/>
        </w:numPr>
        <w:spacing w:after="100" w:line="360"/>
      </w:pPr>
      <w:r>
        <w:rPr>
          <w:rFonts w:ascii="Arial" w:cs="Arial" w:eastAsia="Arial" w:hAnsi="Arial"/>
          <w:sz w:val="24"/>
          <w:szCs w:val="24"/>
        </w:rPr>
        <w:t xml:space="preserve">Which off-target genes (if perturbed) would cause adverse EP phenotypes based on Sapphire data?</w:t>
      </w:r>
    </w:p>
    <w:p>
      <w:pPr>
        <w:pStyle w:val="ListParagraph"/>
        <w:numPr>
          <w:ilvl w:val="0"/>
          <w:numId w:val="2"/>
        </w:numPr>
        <w:spacing w:after="100" w:line="360"/>
      </w:pPr>
      <w:r>
        <w:rPr>
          <w:rFonts w:ascii="Arial" w:cs="Arial" w:eastAsia="Arial" w:hAnsi="Arial"/>
          <w:sz w:val="24"/>
          <w:szCs w:val="24"/>
        </w:rPr>
        <w:t xml:space="preserve">How do chemical modifications (2'MOE, cEt) change the off-target binding landscape compared to unmodified ASOs?</w:t>
      </w:r>
    </w:p>
    <w:p>
      <w:pPr>
        <w:pStyle w:val="ListParagraph"/>
        <w:numPr>
          <w:ilvl w:val="0"/>
          <w:numId w:val="2"/>
        </w:numPr>
        <w:spacing w:after="100" w:line="360"/>
      </w:pPr>
      <w:r>
        <w:rPr>
          <w:rFonts w:ascii="Arial" w:cs="Arial" w:eastAsia="Arial" w:hAnsi="Arial"/>
          <w:sz w:val="24"/>
          <w:szCs w:val="24"/>
        </w:rPr>
        <w:t xml:space="preserve">Assess cross-reactivity with mTOR-related kinases (FRAP, PRKAB1) and rate selectivity for mTOR vs paralogs</w:t>
      </w:r>
    </w:p>
    <w:p>
      <w:pPr>
        <w:pStyle w:val="ListParagraph"/>
        <w:numPr>
          <w:ilvl w:val="0"/>
          <w:numId w:val="2"/>
        </w:numPr>
        <w:spacing w:after="100" w:line="360"/>
      </w:pPr>
      <w:r>
        <w:rPr>
          <w:rFonts w:ascii="Arial" w:cs="Arial" w:eastAsia="Arial" w:hAnsi="Arial"/>
          <w:sz w:val="24"/>
          <w:szCs w:val="24"/>
        </w:rPr>
        <w:t xml:space="preserve">Are there common 16+ nt sequence motifs in predicted off-targets that could guide further ASO optimization?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Off-target binding report for all 20 ASOs (ASO ID | off-target count at ≥85% similarity | top 10 off-target genes)</w:t>
      </w:r>
    </w:p>
    <w:p>
      <w:pPr>
        <w:pStyle w:val="ListParagraph"/>
        <w:numPr>
          <w:ilvl w:val="0"/>
          <w:numId w:val="2"/>
        </w:numPr>
        <w:spacing w:after="100" w:line="360"/>
      </w:pPr>
      <w:r>
        <w:rPr>
          <w:rFonts w:ascii="Arial" w:cs="Arial" w:eastAsia="Arial" w:hAnsi="Arial"/>
          <w:sz w:val="24"/>
          <w:szCs w:val="24"/>
        </w:rPr>
        <w:t xml:space="preserve">Selectivity ranking: mTOR on-target vs total off-target burden (selectivity index)</w:t>
      </w:r>
    </w:p>
    <w:p>
      <w:pPr>
        <w:pStyle w:val="ListParagraph"/>
        <w:numPr>
          <w:ilvl w:val="0"/>
          <w:numId w:val="2"/>
        </w:numPr>
        <w:spacing w:after="100" w:line="360"/>
      </w:pPr>
      <w:r>
        <w:rPr>
          <w:rFonts w:ascii="Arial" w:cs="Arial" w:eastAsia="Arial" w:hAnsi="Arial"/>
          <w:sz w:val="24"/>
          <w:szCs w:val="24"/>
        </w:rPr>
        <w:t xml:space="preserve">Pathway impact assessment (off-target genes mapped to KEGG/Reactome pathways)</w:t>
      </w:r>
    </w:p>
    <w:p>
      <w:pPr>
        <w:pStyle w:val="ListParagraph"/>
        <w:numPr>
          <w:ilvl w:val="0"/>
          <w:numId w:val="2"/>
        </w:numPr>
        <w:spacing w:after="100" w:line="360"/>
      </w:pPr>
      <w:r>
        <w:rPr>
          <w:rFonts w:ascii="Arial" w:cs="Arial" w:eastAsia="Arial" w:hAnsi="Arial"/>
          <w:sz w:val="24"/>
          <w:szCs w:val="24"/>
        </w:rPr>
        <w:t xml:space="preserve">Sapphire EP consequence predictions for top off-targets (predicted EP phenotype changes from off-target knockdown)</w:t>
      </w:r>
    </w:p>
    <w:p>
      <w:pPr>
        <w:pStyle w:val="ListParagraph"/>
        <w:numPr>
          <w:ilvl w:val="0"/>
          <w:numId w:val="2"/>
        </w:numPr>
        <w:spacing w:after="100" w:line="360"/>
      </w:pPr>
      <w:r>
        <w:rPr>
          <w:rFonts w:ascii="Arial" w:cs="Arial" w:eastAsia="Arial" w:hAnsi="Arial"/>
          <w:sz w:val="24"/>
          <w:szCs w:val="24"/>
        </w:rPr>
        <w:t xml:space="preserve">Chemical modification impact analysis (comparison of unmodified vs 2'MOE/cEt modified ASOs for off-target reduction)</w:t>
      </w:r>
    </w:p>
    <w:p>
      <w:pPr>
        <w:pStyle w:val="ListParagraph"/>
        <w:numPr>
          <w:ilvl w:val="0"/>
          <w:numId w:val="2"/>
        </w:numPr>
        <w:spacing w:after="100" w:line="360"/>
      </w:pPr>
      <w:r>
        <w:rPr>
          <w:rFonts w:ascii="Arial" w:cs="Arial" w:eastAsia="Arial" w:hAnsi="Arial"/>
          <w:sz w:val="24"/>
          <w:szCs w:val="24"/>
        </w:rPr>
        <w:t xml:space="preserve">Filtered candidate list: ASOs with ≤5 critical off-targets (CN score &gt;0.8) and &lt;15 total off-target predictions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Interactive off-target matrix (Excel with conditional formatting; rows: ASO IDs | columns: off-target gene symbols + Sapphire EP consequence color-coding) plus pathway circos plots</w:t>
      </w:r>
    </w:p>
    <w:p>
      <w:pPr>
        <w:pStyle w:val="Heading2"/>
        <w:spacing w:after="200" w:before="200"/>
      </w:pPr>
      <w:r>
        <w:rPr>
          <w:rFonts w:ascii="Arial" w:cs="Arial" w:eastAsia="Arial" w:hAnsi="Arial"/>
          <w:b/>
          <w:bCs/>
          <w:sz w:val="28"/>
          <w:szCs w:val="28"/>
        </w:rPr>
        <w:t xml:space="preserve">Stage 4: mTOR Pathway Mechanism &amp; Selectivity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mTORC1 vs mTORC2 selectivity for filtered ASO candidates and predict cascade effects on autophagy, growth signaling, and neural phenotypes using mechanistic pathway simulations.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Filtered 8-12 ASO candidates from Stage 3</w:t>
      </w:r>
    </w:p>
    <w:p>
      <w:pPr>
        <w:pStyle w:val="ListParagraph"/>
        <w:numPr>
          <w:ilvl w:val="0"/>
          <w:numId w:val="2"/>
        </w:numPr>
        <w:spacing w:after="100" w:line="360"/>
      </w:pPr>
      <w:r>
        <w:rPr>
          <w:rFonts w:ascii="Arial" w:cs="Arial" w:eastAsia="Arial" w:hAnsi="Arial"/>
          <w:sz w:val="24"/>
          <w:szCs w:val="24"/>
        </w:rPr>
        <w:t xml:space="preserve">mTOR pathway models: mTORC1 (Raptor, PRAS40, Deptor, S6K1, 4E-BP1) vs mTORC2 (Rictor, Sin1, Protor)</w:t>
      </w:r>
    </w:p>
    <w:p>
      <w:pPr>
        <w:pStyle w:val="ListParagraph"/>
        <w:numPr>
          <w:ilvl w:val="0"/>
          <w:numId w:val="2"/>
        </w:numPr>
        <w:spacing w:after="100" w:line="360"/>
      </w:pPr>
      <w:r>
        <w:rPr>
          <w:rFonts w:ascii="Arial" w:cs="Arial" w:eastAsia="Arial" w:hAnsi="Arial"/>
          <w:sz w:val="24"/>
          <w:szCs w:val="24"/>
        </w:rPr>
        <w:t xml:space="preserve">Transcript isoform selectivity data (which transcripts affect which components)</w:t>
      </w:r>
    </w:p>
    <w:p>
      <w:pPr>
        <w:pStyle w:val="ListParagraph"/>
        <w:numPr>
          <w:ilvl w:val="0"/>
          <w:numId w:val="2"/>
        </w:numPr>
        <w:spacing w:after="100" w:line="360"/>
      </w:pPr>
      <w:r>
        <w:rPr>
          <w:rFonts w:ascii="Arial" w:cs="Arial" w:eastAsia="Arial" w:hAnsi="Arial"/>
          <w:sz w:val="24"/>
          <w:szCs w:val="24"/>
        </w:rPr>
        <w:t xml:space="preserve">Sapphire EP data: dose-response curves for mTOR perturbations on autophagy, growth, synaptic plasticity (n=342 experiments)</w:t>
      </w:r>
    </w:p>
    <w:p>
      <w:pPr>
        <w:pStyle w:val="ListParagraph"/>
        <w:numPr>
          <w:ilvl w:val="0"/>
          <w:numId w:val="2"/>
        </w:numPr>
        <w:spacing w:after="100" w:line="360"/>
      </w:pPr>
      <w:r>
        <w:rPr>
          <w:rFonts w:ascii="Arial" w:cs="Arial" w:eastAsia="Arial" w:hAnsi="Arial"/>
          <w:sz w:val="24"/>
          <w:szCs w:val="24"/>
        </w:rPr>
        <w:t xml:space="preserve">Rapamycin/PP242 reference data (mTORC1-selective vs dual mTORC1/2 inhibitor phenotypes)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CellDesigner/SBML pathway modeling (mTORC1/2 assembly, phosphorylation cascades)</w:t>
      </w:r>
    </w:p>
    <w:p>
      <w:pPr>
        <w:pStyle w:val="ListParagraph"/>
        <w:numPr>
          <w:ilvl w:val="0"/>
          <w:numId w:val="2"/>
        </w:numPr>
        <w:spacing w:after="100" w:line="360"/>
      </w:pPr>
      <w:r>
        <w:rPr>
          <w:rFonts w:ascii="Arial" w:cs="Arial" w:eastAsia="Arial" w:hAnsi="Arial"/>
          <w:sz w:val="24"/>
          <w:szCs w:val="24"/>
        </w:rPr>
        <w:t xml:space="preserve">Systems Biology Toolbox (MATLAB; ODE simulations of mTOR pathway dynamics)</w:t>
      </w:r>
    </w:p>
    <w:p>
      <w:pPr>
        <w:pStyle w:val="ListParagraph"/>
        <w:numPr>
          <w:ilvl w:val="0"/>
          <w:numId w:val="2"/>
        </w:numPr>
        <w:spacing w:after="100" w:line="360"/>
      </w:pPr>
      <w:r>
        <w:rPr>
          <w:rFonts w:ascii="Arial" w:cs="Arial" w:eastAsia="Arial" w:hAnsi="Arial"/>
          <w:sz w:val="24"/>
          <w:szCs w:val="24"/>
        </w:rPr>
        <w:t xml:space="preserve">PhysiBoSS rule-based modeling (Boolean networks for mTOR signaling discretization)</w:t>
      </w:r>
    </w:p>
    <w:p>
      <w:pPr>
        <w:pStyle w:val="ListParagraph"/>
        <w:numPr>
          <w:ilvl w:val="0"/>
          <w:numId w:val="2"/>
        </w:numPr>
        <w:spacing w:after="100" w:line="360"/>
      </w:pPr>
      <w:r>
        <w:rPr>
          <w:rFonts w:ascii="Arial" w:cs="Arial" w:eastAsia="Arial" w:hAnsi="Arial"/>
          <w:sz w:val="24"/>
          <w:szCs w:val="24"/>
        </w:rPr>
        <w:t xml:space="preserve">BioNetGen (ASO-induced transcript knockdown → stoichiometric mTORC1/2 component depletion simulations)</w:t>
      </w:r>
    </w:p>
    <w:p>
      <w:pPr>
        <w:pStyle w:val="ListParagraph"/>
        <w:numPr>
          <w:ilvl w:val="0"/>
          <w:numId w:val="2"/>
        </w:numPr>
        <w:spacing w:after="100" w:line="360"/>
      </w:pPr>
      <w:r>
        <w:rPr>
          <w:rFonts w:ascii="Arial" w:cs="Arial" w:eastAsia="Arial" w:hAnsi="Arial"/>
          <w:sz w:val="24"/>
          <w:szCs w:val="24"/>
        </w:rPr>
        <w:t xml:space="preserve">Sapphire Mechanism module (integrate EP phenotypes with mechanistic pathway models)</w:t>
      </w:r>
    </w:p>
    <w:p>
      <w:pPr>
        <w:pStyle w:val="ListParagraph"/>
        <w:numPr>
          <w:ilvl w:val="0"/>
          <w:numId w:val="2"/>
        </w:numPr>
        <w:spacing w:after="100" w:line="360"/>
      </w:pPr>
      <w:r>
        <w:rPr>
          <w:rFonts w:ascii="Arial" w:cs="Arial" w:eastAsia="Arial" w:hAnsi="Arial"/>
          <w:sz w:val="24"/>
          <w:szCs w:val="24"/>
        </w:rPr>
        <w:t xml:space="preserve">PySCES (Python Systems and Control Engineering Simulator; dose-response curve fitting)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Model the impact of 50% vs 75% reduction in mTOR transcript levels on mTORC1 vs mTORC2 activity using ODE equations</w:t>
      </w:r>
    </w:p>
    <w:p>
      <w:pPr>
        <w:pStyle w:val="ListParagraph"/>
        <w:numPr>
          <w:ilvl w:val="0"/>
          <w:numId w:val="2"/>
        </w:numPr>
        <w:spacing w:after="100" w:line="360"/>
      </w:pPr>
      <w:r>
        <w:rPr>
          <w:rFonts w:ascii="Arial" w:cs="Arial" w:eastAsia="Arial" w:hAnsi="Arial"/>
          <w:sz w:val="24"/>
          <w:szCs w:val="24"/>
        </w:rPr>
        <w:t xml:space="preserve">Simulate downstream effects on S6K1/4E-BP1 (mTORC1) vs AKT/PKC-alpha (mTORC2) phosphorylation states</w:t>
      </w:r>
    </w:p>
    <w:p>
      <w:pPr>
        <w:pStyle w:val="ListParagraph"/>
        <w:numPr>
          <w:ilvl w:val="0"/>
          <w:numId w:val="2"/>
        </w:numPr>
        <w:spacing w:after="100" w:line="360"/>
      </w:pPr>
      <w:r>
        <w:rPr>
          <w:rFonts w:ascii="Arial" w:cs="Arial" w:eastAsia="Arial" w:hAnsi="Arial"/>
          <w:sz w:val="24"/>
          <w:szCs w:val="24"/>
        </w:rPr>
        <w:t xml:space="preserve">Predict autophagy flux changes (AMPK, ULK1, ATG13 signaling) across a dose-response range (0-90% knockdown)</w:t>
      </w:r>
    </w:p>
    <w:p>
      <w:pPr>
        <w:pStyle w:val="ListParagraph"/>
        <w:numPr>
          <w:ilvl w:val="0"/>
          <w:numId w:val="2"/>
        </w:numPr>
        <w:spacing w:after="100" w:line="360"/>
      </w:pPr>
      <w:r>
        <w:rPr>
          <w:rFonts w:ascii="Arial" w:cs="Arial" w:eastAsia="Arial" w:hAnsi="Arial"/>
          <w:sz w:val="24"/>
          <w:szCs w:val="24"/>
        </w:rPr>
        <w:t xml:space="preserve">Using Sapphire EP data, identify the 'safety window' (mTOR knockdown range) that improves neural phenotypes without triggering growth/autophagy toxicity</w:t>
      </w:r>
    </w:p>
    <w:p>
      <w:pPr>
        <w:pStyle w:val="ListParagraph"/>
        <w:numPr>
          <w:ilvl w:val="0"/>
          <w:numId w:val="2"/>
        </w:numPr>
        <w:spacing w:after="100" w:line="360"/>
      </w:pPr>
      <w:r>
        <w:rPr>
          <w:rFonts w:ascii="Arial" w:cs="Arial" w:eastAsia="Arial" w:hAnsi="Arial"/>
          <w:sz w:val="24"/>
          <w:szCs w:val="24"/>
        </w:rPr>
        <w:t xml:space="preserve">Compare predicted phenotypes for mTORC1-selective (exon-15 targeting) vs dual mTOR targeting ASOs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Pathway simulation models (CellDesigner SBML files; ODE parameter sets for mTORC1 vs mTORC2)</w:t>
      </w:r>
    </w:p>
    <w:p>
      <w:pPr>
        <w:pStyle w:val="ListParagraph"/>
        <w:numPr>
          <w:ilvl w:val="0"/>
          <w:numId w:val="2"/>
        </w:numPr>
        <w:spacing w:after="100" w:line="360"/>
      </w:pPr>
      <w:r>
        <w:rPr>
          <w:rFonts w:ascii="Arial" w:cs="Arial" w:eastAsia="Arial" w:hAnsi="Arial"/>
          <w:sz w:val="24"/>
          <w:szCs w:val="24"/>
        </w:rPr>
        <w:t xml:space="preserve">Dose-response curves: mTOR knockdown (%) vs mTORC1/2 activity, S6K1, 4E-BP1, AKT phosphorylation</w:t>
      </w:r>
    </w:p>
    <w:p>
      <w:pPr>
        <w:pStyle w:val="ListParagraph"/>
        <w:numPr>
          <w:ilvl w:val="0"/>
          <w:numId w:val="2"/>
        </w:numPr>
        <w:spacing w:after="100" w:line="360"/>
      </w:pPr>
      <w:r>
        <w:rPr>
          <w:rFonts w:ascii="Arial" w:cs="Arial" w:eastAsia="Arial" w:hAnsi="Arial"/>
          <w:sz w:val="24"/>
          <w:szCs w:val="24"/>
        </w:rPr>
        <w:t xml:space="preserve">Autophagy flux predictions (AMPK, ULK1, ATG13 signaling states; lysosomal degradation rate estimates)</w:t>
      </w:r>
    </w:p>
    <w:p>
      <w:pPr>
        <w:pStyle w:val="ListParagraph"/>
        <w:numPr>
          <w:ilvl w:val="0"/>
          <w:numId w:val="2"/>
        </w:numPr>
        <w:spacing w:after="100" w:line="360"/>
      </w:pPr>
      <w:r>
        <w:rPr>
          <w:rFonts w:ascii="Arial" w:cs="Arial" w:eastAsia="Arial" w:hAnsi="Arial"/>
          <w:sz w:val="24"/>
          <w:szCs w:val="24"/>
        </w:rPr>
        <w:t xml:space="preserve">Neural phenotype predictions at 40%, 50%, 60%, 75% mTOR knockdown (growth cone, synapse number, spine density from EP model)</w:t>
      </w:r>
    </w:p>
    <w:p>
      <w:pPr>
        <w:pStyle w:val="ListParagraph"/>
        <w:numPr>
          <w:ilvl w:val="0"/>
          <w:numId w:val="2"/>
        </w:numPr>
        <w:spacing w:after="100" w:line="360"/>
      </w:pPr>
      <w:r>
        <w:rPr>
          <w:rFonts w:ascii="Arial" w:cs="Arial" w:eastAsia="Arial" w:hAnsi="Arial"/>
          <w:sz w:val="24"/>
          <w:szCs w:val="24"/>
        </w:rPr>
        <w:t xml:space="preserve">Safety margin assessment: optimal target knockdown range (e.g., 45-55%) that maximizes phenotype rescue while minimizing toxicity</w:t>
      </w:r>
    </w:p>
    <w:p>
      <w:pPr>
        <w:pStyle w:val="ListParagraph"/>
        <w:numPr>
          <w:ilvl w:val="0"/>
          <w:numId w:val="2"/>
        </w:numPr>
        <w:spacing w:after="100" w:line="360"/>
      </w:pPr>
      <w:r>
        <w:rPr>
          <w:rFonts w:ascii="Arial" w:cs="Arial" w:eastAsia="Arial" w:hAnsi="Arial"/>
          <w:sz w:val="24"/>
          <w:szCs w:val="24"/>
        </w:rPr>
        <w:t xml:space="preserve">Selectivity comparison: mTORC1-selective vs dual targeting phenotype profiles (growth, autophagy, synaptic plasticity)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SBML pathway model files + publication-quality dose-response plots (matplotlib/R) with confidence intervals from Sapphire EP data uncertainty quantification</w:t>
      </w:r>
    </w:p>
    <w:p>
      <w:pPr>
        <w:pStyle w:val="Heading2"/>
        <w:spacing w:after="200" w:before="200"/>
      </w:pPr>
      <w:r>
        <w:rPr>
          <w:rFonts w:ascii="Arial" w:cs="Arial" w:eastAsia="Arial" w:hAnsi="Arial"/>
          <w:b/>
          <w:bCs/>
          <w:sz w:val="28"/>
          <w:szCs w:val="28"/>
        </w:rPr>
        <w:t xml:space="preserve">Stage 5: Cellular &amp; CNS Toxicity Prediction &amp; Safety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cellular toxicity (innate immune activation, RNase H off-targets) and CNS-specific safety liabilities (neuroinflammation, neurodegeneration) for ASO candidates using multi-omics integration.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8 ASO candidates from Stage 4 (mechanism-validated, selectivity-confirmed)</w:t>
      </w:r>
    </w:p>
    <w:p>
      <w:pPr>
        <w:pStyle w:val="ListParagraph"/>
        <w:numPr>
          <w:ilvl w:val="0"/>
          <w:numId w:val="2"/>
        </w:numPr>
        <w:spacing w:after="100" w:line="360"/>
      </w:pPr>
      <w:r>
        <w:rPr>
          <w:rFonts w:ascii="Arial" w:cs="Arial" w:eastAsia="Arial" w:hAnsi="Arial"/>
          <w:sz w:val="24"/>
          <w:szCs w:val="24"/>
        </w:rPr>
        <w:t xml:space="preserve">ASO chemical structures &amp; sequences</w:t>
      </w:r>
    </w:p>
    <w:p>
      <w:pPr>
        <w:pStyle w:val="ListParagraph"/>
        <w:numPr>
          <w:ilvl w:val="0"/>
          <w:numId w:val="2"/>
        </w:numPr>
        <w:spacing w:after="100" w:line="360"/>
      </w:pPr>
      <w:r>
        <w:rPr>
          <w:rFonts w:ascii="Arial" w:cs="Arial" w:eastAsia="Arial" w:hAnsi="Arial"/>
          <w:sz w:val="24"/>
          <w:szCs w:val="24"/>
        </w:rPr>
        <w:t xml:space="preserve">RNase H cleavage sites across off-target transcripts</w:t>
      </w:r>
    </w:p>
    <w:p>
      <w:pPr>
        <w:pStyle w:val="ListParagraph"/>
        <w:numPr>
          <w:ilvl w:val="0"/>
          <w:numId w:val="2"/>
        </w:numPr>
        <w:spacing w:after="100" w:line="360"/>
      </w:pPr>
      <w:r>
        <w:rPr>
          <w:rFonts w:ascii="Arial" w:cs="Arial" w:eastAsia="Arial" w:hAnsi="Arial"/>
          <w:sz w:val="24"/>
          <w:szCs w:val="24"/>
        </w:rPr>
        <w:t xml:space="preserve">Innate immune response signatures (TLR3, TLR7/8, RIG-I activation patterns)</w:t>
      </w:r>
    </w:p>
    <w:p>
      <w:pPr>
        <w:pStyle w:val="ListParagraph"/>
        <w:numPr>
          <w:ilvl w:val="0"/>
          <w:numId w:val="2"/>
        </w:numPr>
        <w:spacing w:after="100" w:line="360"/>
      </w:pPr>
      <w:r>
        <w:rPr>
          <w:rFonts w:ascii="Arial" w:cs="Arial" w:eastAsia="Arial" w:hAnsi="Arial"/>
          <w:sz w:val="24"/>
          <w:szCs w:val="24"/>
        </w:rPr>
        <w:t xml:space="preserve">Sapphire EP &amp; transcriptomic data: mTOR perturbations in primary neurons, microglia, astrocytes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SeqMap (RNase H cleavage site mapping; high sensitivity scan of off-target transcripts)</w:t>
      </w:r>
    </w:p>
    <w:p>
      <w:pPr>
        <w:pStyle w:val="ListParagraph"/>
        <w:numPr>
          <w:ilvl w:val="0"/>
          <w:numId w:val="2"/>
        </w:numPr>
        <w:spacing w:after="100" w:line="360"/>
      </w:pPr>
      <w:r>
        <w:rPr>
          <w:rFonts w:ascii="Arial" w:cs="Arial" w:eastAsia="Arial" w:hAnsi="Arial"/>
          <w:sz w:val="24"/>
          <w:szCs w:val="24"/>
        </w:rPr>
        <w:t xml:space="preserve">Immuno-Seq analysis (TLR3/7/8 and RIG-I motif detection in ASO sequences)</w:t>
      </w:r>
    </w:p>
    <w:p>
      <w:pPr>
        <w:pStyle w:val="ListParagraph"/>
        <w:numPr>
          <w:ilvl w:val="0"/>
          <w:numId w:val="2"/>
        </w:numPr>
        <w:spacing w:after="100" w:line="360"/>
      </w:pPr>
      <w:r>
        <w:rPr>
          <w:rFonts w:ascii="Arial" w:cs="Arial" w:eastAsia="Arial" w:hAnsi="Arial"/>
          <w:sz w:val="24"/>
          <w:szCs w:val="24"/>
        </w:rPr>
        <w:t xml:space="preserve">Deep learning ToxNet (predict off-target toxicity from ASO sequence features)</w:t>
      </w:r>
    </w:p>
    <w:p>
      <w:pPr>
        <w:pStyle w:val="ListParagraph"/>
        <w:numPr>
          <w:ilvl w:val="0"/>
          <w:numId w:val="2"/>
        </w:numPr>
        <w:spacing w:after="100" w:line="360"/>
      </w:pPr>
      <w:r>
        <w:rPr>
          <w:rFonts w:ascii="Arial" w:cs="Arial" w:eastAsia="Arial" w:hAnsi="Arial"/>
          <w:sz w:val="24"/>
          <w:szCs w:val="24"/>
        </w:rPr>
        <w:t xml:space="preserve">Sapphire multi-omics module (integrate transcriptomics from neuroinflammation experiments)</w:t>
      </w:r>
    </w:p>
    <w:p>
      <w:pPr>
        <w:pStyle w:val="ListParagraph"/>
        <w:numPr>
          <w:ilvl w:val="0"/>
          <w:numId w:val="2"/>
        </w:numPr>
        <w:spacing w:after="100" w:line="360"/>
      </w:pPr>
      <w:r>
        <w:rPr>
          <w:rFonts w:ascii="Arial" w:cs="Arial" w:eastAsia="Arial" w:hAnsi="Arial"/>
          <w:sz w:val="24"/>
          <w:szCs w:val="24"/>
        </w:rPr>
        <w:t xml:space="preserve">Genespring GX (pathway analysis of predicted off-target knockdown consequences in CNS)</w:t>
      </w:r>
    </w:p>
    <w:p>
      <w:pPr>
        <w:pStyle w:val="ListParagraph"/>
        <w:numPr>
          <w:ilvl w:val="0"/>
          <w:numId w:val="2"/>
        </w:numPr>
        <w:spacing w:after="100" w:line="360"/>
      </w:pPr>
      <w:r>
        <w:rPr>
          <w:rFonts w:ascii="Arial" w:cs="Arial" w:eastAsia="Arial" w:hAnsi="Arial"/>
          <w:sz w:val="24"/>
          <w:szCs w:val="24"/>
        </w:rPr>
        <w:t xml:space="preserve">Custom Sapphire Neuro-Safety module (microglia activation, astrocyte reactivity, oligodendrocyte toxicity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Map RNase H cleavage sites for each ASO candidate across all predicted off-target transcripts; identify transcripts with multiple cleavage sites</w:t>
      </w:r>
    </w:p>
    <w:p>
      <w:pPr>
        <w:pStyle w:val="ListParagraph"/>
        <w:numPr>
          <w:ilvl w:val="0"/>
          <w:numId w:val="2"/>
        </w:numPr>
        <w:spacing w:after="100" w:line="360"/>
      </w:pPr>
      <w:r>
        <w:rPr>
          <w:rFonts w:ascii="Arial" w:cs="Arial" w:eastAsia="Arial" w:hAnsi="Arial"/>
          <w:sz w:val="24"/>
          <w:szCs w:val="24"/>
        </w:rPr>
        <w:t xml:space="preserve">Scan ASO sequences for cryptic TLR3, TLR7/8, and RIG-I activation motifs that could trigger innate immune responses</w:t>
      </w:r>
    </w:p>
    <w:p>
      <w:pPr>
        <w:pStyle w:val="ListParagraph"/>
        <w:numPr>
          <w:ilvl w:val="0"/>
          <w:numId w:val="2"/>
        </w:numPr>
        <w:spacing w:after="100" w:line="360"/>
      </w:pPr>
      <w:r>
        <w:rPr>
          <w:rFonts w:ascii="Arial" w:cs="Arial" w:eastAsia="Arial" w:hAnsi="Arial"/>
          <w:sz w:val="24"/>
          <w:szCs w:val="24"/>
        </w:rPr>
        <w:t xml:space="preserve">Using Sapphire data, predict microglia activation (pro-inflammatory cytokine: IL-1β, TNF-α, IL-6 expression) and astrocyte reactivity from mTOR knockdown</w:t>
      </w:r>
    </w:p>
    <w:p>
      <w:pPr>
        <w:pStyle w:val="ListParagraph"/>
        <w:numPr>
          <w:ilvl w:val="0"/>
          <w:numId w:val="2"/>
        </w:numPr>
        <w:spacing w:after="100" w:line="360"/>
      </w:pPr>
      <w:r>
        <w:rPr>
          <w:rFonts w:ascii="Arial" w:cs="Arial" w:eastAsia="Arial" w:hAnsi="Arial"/>
          <w:sz w:val="24"/>
          <w:szCs w:val="24"/>
        </w:rPr>
        <w:t xml:space="preserve">Assess neurotoxicity risk: which ASO candidates risk oligodendrocyte toxicity based on off-target hits in myelin genes?</w:t>
      </w:r>
    </w:p>
    <w:p>
      <w:pPr>
        <w:pStyle w:val="ListParagraph"/>
        <w:numPr>
          <w:ilvl w:val="0"/>
          <w:numId w:val="2"/>
        </w:numPr>
        <w:spacing w:after="100" w:line="360"/>
      </w:pPr>
      <w:r>
        <w:rPr>
          <w:rFonts w:ascii="Arial" w:cs="Arial" w:eastAsia="Arial" w:hAnsi="Arial"/>
          <w:sz w:val="24"/>
          <w:szCs w:val="24"/>
        </w:rPr>
        <w:t xml:space="preserve">Compare toxicity profiles of 2'MOE/cEt modified ASOs vs unmodified ASOs for innate immune activation potential</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RNase H cleavage map (ASO sequence | RNase H sites in off-targets | transcripts at risk for unintended cleavage)</w:t>
      </w:r>
    </w:p>
    <w:p>
      <w:pPr>
        <w:pStyle w:val="ListParagraph"/>
        <w:numPr>
          <w:ilvl w:val="0"/>
          <w:numId w:val="2"/>
        </w:numPr>
        <w:spacing w:after="100" w:line="360"/>
      </w:pPr>
      <w:r>
        <w:rPr>
          <w:rFonts w:ascii="Arial" w:cs="Arial" w:eastAsia="Arial" w:hAnsi="Arial"/>
          <w:sz w:val="24"/>
          <w:szCs w:val="24"/>
        </w:rPr>
        <w:t xml:space="preserve">Innate immune activation risk assessment (TLR3/7/8/RIG-I motif scores for each ASO; predicted immune trigger probability)</w:t>
      </w:r>
    </w:p>
    <w:p>
      <w:pPr>
        <w:pStyle w:val="ListParagraph"/>
        <w:numPr>
          <w:ilvl w:val="0"/>
          <w:numId w:val="2"/>
        </w:numPr>
        <w:spacing w:after="100" w:line="360"/>
      </w:pPr>
      <w:r>
        <w:rPr>
          <w:rFonts w:ascii="Arial" w:cs="Arial" w:eastAsia="Arial" w:hAnsi="Arial"/>
          <w:sz w:val="24"/>
          <w:szCs w:val="24"/>
        </w:rPr>
        <w:t xml:space="preserve">Off-target toxicity predictions (Deep learning ToxNet scores; high/medium/low risk classification)</w:t>
      </w:r>
    </w:p>
    <w:p>
      <w:pPr>
        <w:pStyle w:val="ListParagraph"/>
        <w:numPr>
          <w:ilvl w:val="0"/>
          <w:numId w:val="2"/>
        </w:numPr>
        <w:spacing w:after="100" w:line="360"/>
      </w:pPr>
      <w:r>
        <w:rPr>
          <w:rFonts w:ascii="Arial" w:cs="Arial" w:eastAsia="Arial" w:hAnsi="Arial"/>
          <w:sz w:val="24"/>
          <w:szCs w:val="24"/>
        </w:rPr>
        <w:t xml:space="preserve">CNS toxicity predictions (microglia activation risk, astrocyte reactivity, oligodendrocyte toxicity, neuroinflammation index)</w:t>
      </w:r>
    </w:p>
    <w:p>
      <w:pPr>
        <w:pStyle w:val="ListParagraph"/>
        <w:numPr>
          <w:ilvl w:val="0"/>
          <w:numId w:val="2"/>
        </w:numPr>
        <w:spacing w:after="100" w:line="360"/>
      </w:pPr>
      <w:r>
        <w:rPr>
          <w:rFonts w:ascii="Arial" w:cs="Arial" w:eastAsia="Arial" w:hAnsi="Arial"/>
          <w:sz w:val="24"/>
          <w:szCs w:val="24"/>
        </w:rPr>
        <w:t xml:space="preserve">Toxicity mitigation strategies (chemical modification recommendations; e.g., add PSE and guanosine caps to reduce TLR7/8 signaling)</w:t>
      </w:r>
    </w:p>
    <w:p>
      <w:pPr>
        <w:pStyle w:val="ListParagraph"/>
        <w:numPr>
          <w:ilvl w:val="0"/>
          <w:numId w:val="2"/>
        </w:numPr>
        <w:spacing w:after="100" w:line="360"/>
      </w:pPr>
      <w:r>
        <w:rPr>
          <w:rFonts w:ascii="Arial" w:cs="Arial" w:eastAsia="Arial" w:hAnsi="Arial"/>
          <w:sz w:val="24"/>
          <w:szCs w:val="24"/>
        </w:rPr>
        <w:t xml:space="preserve">Final safety ranking: top 3-4 ASO candidates with optimal efficacy/toxicity balance (composite safety score incorporating all modules)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Safety assessment report (PDF with heat maps of RNase H cleavage sites, immune motif logos, toxicity risk gauge charts) plus ranked candidate table</w:t>
      </w:r>
    </w:p>
    <w:p>
      <w:pPr>
        <w:pStyle w:val="Heading2"/>
        <w:spacing w:after="200" w:before="200"/>
      </w:pPr>
      <w:r>
        <w:rPr>
          <w:rFonts w:ascii="Arial" w:cs="Arial" w:eastAsia="Arial" w:hAnsi="Arial"/>
          <w:b/>
          <w:bCs/>
          <w:sz w:val="28"/>
          <w:szCs w:val="28"/>
        </w:rPr>
        <w:t xml:space="preserve">Stage 6: EP Dose-Response Validation &amp; Phenotype Rescue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Conduct detailed dose-response electrophysiology (EP) modeling to validate top ASO candidates in silico, predicting the concentration range needed to achieve therapeutic phenotype rescue with minimal toxicity margin.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3-4 ASO candidates from Stage 5 (safety-validated)</w:t>
      </w:r>
    </w:p>
    <w:p>
      <w:pPr>
        <w:pStyle w:val="ListParagraph"/>
        <w:numPr>
          <w:ilvl w:val="0"/>
          <w:numId w:val="2"/>
        </w:numPr>
        <w:spacing w:after="100" w:line="360"/>
      </w:pPr>
      <w:r>
        <w:rPr>
          <w:rFonts w:ascii="Arial" w:cs="Arial" w:eastAsia="Arial" w:hAnsi="Arial"/>
          <w:sz w:val="24"/>
          <w:szCs w:val="24"/>
        </w:rPr>
        <w:t xml:space="preserve">Sapphire EP atlas: mTOR perturbation dose-response curves (n=342 experiments across 500+ features)</w:t>
      </w:r>
    </w:p>
    <w:p>
      <w:pPr>
        <w:pStyle w:val="ListParagraph"/>
        <w:numPr>
          <w:ilvl w:val="0"/>
          <w:numId w:val="2"/>
        </w:numPr>
        <w:spacing w:after="100" w:line="360"/>
      </w:pPr>
      <w:r>
        <w:rPr>
          <w:rFonts w:ascii="Arial" w:cs="Arial" w:eastAsia="Arial" w:hAnsi="Arial"/>
          <w:sz w:val="24"/>
          <w:szCs w:val="24"/>
        </w:rPr>
        <w:t xml:space="preserve">Neural phenotypes of interest: growth cone extension, synapse number, spontaneous firing rate, action potential properties</w:t>
      </w:r>
    </w:p>
    <w:p>
      <w:pPr>
        <w:pStyle w:val="ListParagraph"/>
        <w:numPr>
          <w:ilvl w:val="0"/>
          <w:numId w:val="2"/>
        </w:numPr>
        <w:spacing w:after="100" w:line="360"/>
      </w:pPr>
      <w:r>
        <w:rPr>
          <w:rFonts w:ascii="Arial" w:cs="Arial" w:eastAsia="Arial" w:hAnsi="Arial"/>
          <w:sz w:val="24"/>
          <w:szCs w:val="24"/>
        </w:rPr>
        <w:t xml:space="preserve">mTOR pathway activity levels at different ASO concentrations (predicted from Stage 4 pathway models)</w:t>
      </w:r>
    </w:p>
    <w:p>
      <w:pPr>
        <w:pStyle w:val="ListParagraph"/>
        <w:numPr>
          <w:ilvl w:val="0"/>
          <w:numId w:val="2"/>
        </w:numPr>
        <w:spacing w:after="100" w:line="360"/>
      </w:pPr>
      <w:r>
        <w:rPr>
          <w:rFonts w:ascii="Arial" w:cs="Arial" w:eastAsia="Arial" w:hAnsi="Arial"/>
          <w:sz w:val="24"/>
          <w:szCs w:val="24"/>
        </w:rPr>
        <w:t xml:space="preserve">Pharmacokinetic models: ASO CNS concentration vs intracerebroventricular or intrathecal dose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EP Atlas query module (retrieve mTOR perturbation dose-response signatures for 500+ features)</w:t>
      </w:r>
    </w:p>
    <w:p>
      <w:pPr>
        <w:pStyle w:val="ListParagraph"/>
        <w:numPr>
          <w:ilvl w:val="0"/>
          <w:numId w:val="2"/>
        </w:numPr>
        <w:spacing w:after="100" w:line="360"/>
      </w:pPr>
      <w:r>
        <w:rPr>
          <w:rFonts w:ascii="Arial" w:cs="Arial" w:eastAsia="Arial" w:hAnsi="Arial"/>
          <w:sz w:val="24"/>
          <w:szCs w:val="24"/>
        </w:rPr>
        <w:t xml:space="preserve">Dose-Response surface analysis (plot 3D: ASO concentration vs phenotype space; identify efficacy cliff)</w:t>
      </w:r>
    </w:p>
    <w:p>
      <w:pPr>
        <w:pStyle w:val="ListParagraph"/>
        <w:numPr>
          <w:ilvl w:val="0"/>
          <w:numId w:val="2"/>
        </w:numPr>
        <w:spacing w:after="100" w:line="360"/>
      </w:pPr>
      <w:r>
        <w:rPr>
          <w:rFonts w:ascii="Arial" w:cs="Arial" w:eastAsia="Arial" w:hAnsi="Arial"/>
          <w:sz w:val="24"/>
          <w:szCs w:val="24"/>
        </w:rPr>
        <w:t xml:space="preserve">PharmaGx (pharmacogenomic dose-response modeling; IC50, Hill coefficient extraction)</w:t>
      </w:r>
    </w:p>
    <w:p>
      <w:pPr>
        <w:pStyle w:val="ListParagraph"/>
        <w:numPr>
          <w:ilvl w:val="0"/>
          <w:numId w:val="2"/>
        </w:numPr>
        <w:spacing w:after="100" w:line="360"/>
      </w:pPr>
      <w:r>
        <w:rPr>
          <w:rFonts w:ascii="Arial" w:cs="Arial" w:eastAsia="Arial" w:hAnsi="Arial"/>
          <w:sz w:val="24"/>
          <w:szCs w:val="24"/>
        </w:rPr>
        <w:t xml:space="preserve">Pharmacokinetic simulation (MATLAB PK Toolbox or Simcyp for CNS penetration prediction)</w:t>
      </w:r>
    </w:p>
    <w:p>
      <w:pPr>
        <w:pStyle w:val="ListParagraph"/>
        <w:numPr>
          <w:ilvl w:val="0"/>
          <w:numId w:val="2"/>
        </w:numPr>
        <w:spacing w:after="100" w:line="360"/>
      </w:pPr>
      <w:r>
        <w:rPr>
          <w:rFonts w:ascii="Arial" w:cs="Arial" w:eastAsia="Arial" w:hAnsi="Arial"/>
          <w:sz w:val="24"/>
          <w:szCs w:val="24"/>
        </w:rPr>
        <w:t xml:space="preserve">Machine learning: gradient boosting (predict unmeasured phenotypes from measured features + ASO concentration)</w:t>
      </w:r>
    </w:p>
    <w:p>
      <w:pPr>
        <w:pStyle w:val="ListParagraph"/>
        <w:numPr>
          <w:ilvl w:val="0"/>
          <w:numId w:val="2"/>
        </w:numPr>
        <w:spacing w:after="100" w:line="360"/>
      </w:pPr>
      <w:r>
        <w:rPr>
          <w:rFonts w:ascii="Arial" w:cs="Arial" w:eastAsia="Arial" w:hAnsi="Arial"/>
          <w:sz w:val="24"/>
          <w:szCs w:val="24"/>
        </w:rPr>
        <w:t xml:space="preserve">Sapphire Rescue Validation module (compare predicted ASO rescue to native mTOR overactivation phenotypes)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ASO candidate, retrieve Sapphire EP dose-response data for mTOR perturbations; overlay predicted ASO dose-response curves</w:t>
      </w:r>
    </w:p>
    <w:p>
      <w:pPr>
        <w:pStyle w:val="ListParagraph"/>
        <w:numPr>
          <w:ilvl w:val="0"/>
          <w:numId w:val="2"/>
        </w:numPr>
        <w:spacing w:after="100" w:line="360"/>
      </w:pPr>
      <w:r>
        <w:rPr>
          <w:rFonts w:ascii="Arial" w:cs="Arial" w:eastAsia="Arial" w:hAnsi="Arial"/>
          <w:sz w:val="24"/>
          <w:szCs w:val="24"/>
        </w:rPr>
        <w:t xml:space="preserve">What ASO concentration (nM or μM) is predicted to achieve 40-60% mTOR knockdown while maintaining 80%+ preservation of baseline growth/autophagy?</w:t>
      </w:r>
    </w:p>
    <w:p>
      <w:pPr>
        <w:pStyle w:val="ListParagraph"/>
        <w:numPr>
          <w:ilvl w:val="0"/>
          <w:numId w:val="2"/>
        </w:numPr>
        <w:spacing w:after="100" w:line="360"/>
      </w:pPr>
      <w:r>
        <w:rPr>
          <w:rFonts w:ascii="Arial" w:cs="Arial" w:eastAsia="Arial" w:hAnsi="Arial"/>
          <w:sz w:val="24"/>
          <w:szCs w:val="24"/>
        </w:rPr>
        <w:t xml:space="preserve">Simulate CNS concentration-time profiles for intrathecal delivery; map to predicted EP phenotype responses</w:t>
      </w:r>
    </w:p>
    <w:p>
      <w:pPr>
        <w:pStyle w:val="ListParagraph"/>
        <w:numPr>
          <w:ilvl w:val="0"/>
          <w:numId w:val="2"/>
        </w:numPr>
        <w:spacing w:after="100" w:line="360"/>
      </w:pPr>
      <w:r>
        <w:rPr>
          <w:rFonts w:ascii="Arial" w:cs="Arial" w:eastAsia="Arial" w:hAnsi="Arial"/>
          <w:sz w:val="24"/>
          <w:szCs w:val="24"/>
        </w:rPr>
        <w:t xml:space="preserve">For pain-related neural phenotypes (if applicable to mTOR), what ASO concentration rescues hyperexcitability without causing hypoexcitability?</w:t>
      </w:r>
    </w:p>
    <w:p>
      <w:pPr>
        <w:pStyle w:val="ListParagraph"/>
        <w:numPr>
          <w:ilvl w:val="0"/>
          <w:numId w:val="2"/>
        </w:numPr>
        <w:spacing w:after="100" w:line="360"/>
      </w:pPr>
      <w:r>
        <w:rPr>
          <w:rFonts w:ascii="Arial" w:cs="Arial" w:eastAsia="Arial" w:hAnsi="Arial"/>
          <w:sz w:val="24"/>
          <w:szCs w:val="24"/>
        </w:rPr>
        <w:t xml:space="preserve">Identify the therapeutic index (ratio of efficacy to toxicity dose) for each top 3 ASO candidates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EP dose-response curves for top 3 ASO candidates (ASO concentration | 40+ neural phenotype readouts | Sapphire EP overlay data)</w:t>
      </w:r>
    </w:p>
    <w:p>
      <w:pPr>
        <w:pStyle w:val="ListParagraph"/>
        <w:numPr>
          <w:ilvl w:val="0"/>
          <w:numId w:val="2"/>
        </w:numPr>
        <w:spacing w:after="100" w:line="360"/>
      </w:pPr>
      <w:r>
        <w:rPr>
          <w:rFonts w:ascii="Arial" w:cs="Arial" w:eastAsia="Arial" w:hAnsi="Arial"/>
          <w:sz w:val="24"/>
          <w:szCs w:val="24"/>
        </w:rPr>
        <w:t xml:space="preserve">Efficacy cliff analysis: concentration threshold where phenotype rescue becomes significant (ΔZ-score &gt;2 vs baseline mTOR overactivation)</w:t>
      </w:r>
    </w:p>
    <w:p>
      <w:pPr>
        <w:pStyle w:val="ListParagraph"/>
        <w:numPr>
          <w:ilvl w:val="0"/>
          <w:numId w:val="2"/>
        </w:numPr>
        <w:spacing w:after="100" w:line="360"/>
      </w:pPr>
      <w:r>
        <w:rPr>
          <w:rFonts w:ascii="Arial" w:cs="Arial" w:eastAsia="Arial" w:hAnsi="Arial"/>
          <w:sz w:val="24"/>
          <w:szCs w:val="24"/>
        </w:rPr>
        <w:t xml:space="preserve">Predicted CNS concentration-time profiles (ICV/intrathecal dosing regimens → brain exposure over 24-48-72 hours)</w:t>
      </w:r>
    </w:p>
    <w:p>
      <w:pPr>
        <w:pStyle w:val="ListParagraph"/>
        <w:numPr>
          <w:ilvl w:val="0"/>
          <w:numId w:val="2"/>
        </w:numPr>
        <w:spacing w:after="100" w:line="360"/>
      </w:pPr>
      <w:r>
        <w:rPr>
          <w:rFonts w:ascii="Arial" w:cs="Arial" w:eastAsia="Arial" w:hAnsi="Arial"/>
          <w:sz w:val="24"/>
          <w:szCs w:val="24"/>
        </w:rPr>
        <w:t xml:space="preserve">Therapeutic index calculations (efficacy concentration / toxicity concentration threshold)</w:t>
      </w:r>
    </w:p>
    <w:p>
      <w:pPr>
        <w:pStyle w:val="ListParagraph"/>
        <w:numPr>
          <w:ilvl w:val="0"/>
          <w:numId w:val="2"/>
        </w:numPr>
        <w:spacing w:after="100" w:line="360"/>
      </w:pPr>
      <w:r>
        <w:rPr>
          <w:rFonts w:ascii="Arial" w:cs="Arial" w:eastAsia="Arial" w:hAnsi="Arial"/>
          <w:sz w:val="24"/>
          <w:szCs w:val="24"/>
        </w:rPr>
        <w:t xml:space="preserve">Phenotype rescue predictions: growth cone, synapse number, spontaneous firing rate, action potential duration at optimal ASO doses</w:t>
      </w:r>
    </w:p>
    <w:p>
      <w:pPr>
        <w:pStyle w:val="ListParagraph"/>
        <w:numPr>
          <w:ilvl w:val="0"/>
          <w:numId w:val="2"/>
        </w:numPr>
        <w:spacing w:after="100" w:line="360"/>
      </w:pPr>
      <w:r>
        <w:rPr>
          <w:rFonts w:ascii="Arial" w:cs="Arial" w:eastAsia="Arial" w:hAnsi="Arial"/>
          <w:sz w:val="24"/>
          <w:szCs w:val="24"/>
        </w:rPr>
        <w:t xml:space="preserve">Top 1-2 lead ASO candidates with recommended dosing range and expected EP phenotype outcomes (ready for experimental validation)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Publication-quality dose-response plots (concentration on x-axis, phenotype Z-scores on y-axis, Sapphire data confidence bands) with CNS PK simulation outputs and lead candidate nomination summary table</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annotation, conservation, structure visualization)</w:t>
      </w:r>
    </w:p>
    <w:p>
      <w:pPr>
        <w:pStyle w:val="ListParagraph"/>
        <w:numPr>
          <w:ilvl w:val="0"/>
          <w:numId w:val="2"/>
        </w:numPr>
        <w:spacing w:after="100" w:line="360"/>
      </w:pPr>
      <w:r>
        <w:rPr>
          <w:rFonts w:ascii="Arial" w:cs="Arial" w:eastAsia="Arial" w:hAnsi="Arial"/>
          <w:sz w:val="24"/>
          <w:szCs w:val="24"/>
        </w:rPr>
        <w:t xml:space="preserve">Ensembl REST API &amp; Gene Annotation (transcript isoforms, regulatory elements, variant impact)</w:t>
      </w:r>
    </w:p>
    <w:p>
      <w:pPr>
        <w:pStyle w:val="ListParagraph"/>
        <w:numPr>
          <w:ilvl w:val="0"/>
          <w:numId w:val="2"/>
        </w:numPr>
        <w:spacing w:after="100" w:line="360"/>
      </w:pPr>
      <w:r>
        <w:rPr>
          <w:rFonts w:ascii="Arial" w:cs="Arial" w:eastAsia="Arial" w:hAnsi="Arial"/>
          <w:sz w:val="24"/>
          <w:szCs w:val="24"/>
        </w:rPr>
        <w:t xml:space="preserve">RefSeq Database (gene sequences, transcript structures, transcript-specific properties)</w:t>
      </w:r>
    </w:p>
    <w:p>
      <w:pPr>
        <w:pStyle w:val="ListParagraph"/>
        <w:numPr>
          <w:ilvl w:val="0"/>
          <w:numId w:val="2"/>
        </w:numPr>
        <w:spacing w:after="100" w:line="360"/>
      </w:pPr>
      <w:r>
        <w:rPr>
          <w:rFonts w:ascii="Arial" w:cs="Arial" w:eastAsia="Arial" w:hAnsi="Arial"/>
          <w:sz w:val="24"/>
          <w:szCs w:val="24"/>
        </w:rPr>
        <w:t xml:space="preserve">ClinVar &amp; HGMD (clinical variant interpretation, pathogenicity assessment, functional annotation)</w:t>
      </w:r>
    </w:p>
    <w:p>
      <w:pPr>
        <w:pStyle w:val="ListParagraph"/>
        <w:numPr>
          <w:ilvl w:val="0"/>
          <w:numId w:val="2"/>
        </w:numPr>
        <w:spacing w:after="100" w:line="360"/>
      </w:pPr>
      <w:r>
        <w:rPr>
          <w:rFonts w:ascii="Arial" w:cs="Arial" w:eastAsia="Arial" w:hAnsi="Arial"/>
          <w:sz w:val="24"/>
          <w:szCs w:val="24"/>
        </w:rPr>
        <w:t xml:space="preserve">BLAST &amp; RNAhybrid (sequence similarity searching, off-target prediction, thermodynamic binding)</w:t>
      </w:r>
    </w:p>
    <w:p>
      <w:pPr>
        <w:pStyle w:val="ListParagraph"/>
        <w:numPr>
          <w:ilvl w:val="0"/>
          <w:numId w:val="2"/>
        </w:numPr>
        <w:spacing w:after="100" w:line="360"/>
      </w:pPr>
      <w:r>
        <w:rPr>
          <w:rFonts w:ascii="Arial" w:cs="Arial" w:eastAsia="Arial" w:hAnsi="Arial"/>
          <w:sz w:val="24"/>
          <w:szCs w:val="24"/>
        </w:rPr>
        <w:t xml:space="preserve">OligoCalc &amp; mfold/RNAfold (ASO Tm calculation, secondary structure prediction, duplex thermodynamics)</w:t>
      </w:r>
    </w:p>
    <w:p>
      <w:pPr>
        <w:pStyle w:val="ListParagraph"/>
        <w:numPr>
          <w:ilvl w:val="0"/>
          <w:numId w:val="2"/>
        </w:numPr>
        <w:spacing w:after="100" w:line="360"/>
      </w:pPr>
      <w:r>
        <w:rPr>
          <w:rFonts w:ascii="Arial" w:cs="Arial" w:eastAsia="Arial" w:hAnsi="Arial"/>
          <w:sz w:val="24"/>
          <w:szCs w:val="24"/>
        </w:rPr>
        <w:t xml:space="preserve">GENEIOUS Pro (sequence design, alignment, off-target screening, visualization)</w:t>
      </w:r>
    </w:p>
    <w:p>
      <w:pPr>
        <w:pStyle w:val="ListParagraph"/>
        <w:numPr>
          <w:ilvl w:val="0"/>
          <w:numId w:val="2"/>
        </w:numPr>
        <w:spacing w:after="100" w:line="360"/>
      </w:pPr>
      <w:r>
        <w:rPr>
          <w:rFonts w:ascii="Arial" w:cs="Arial" w:eastAsia="Arial" w:hAnsi="Arial"/>
          <w:sz w:val="24"/>
          <w:szCs w:val="24"/>
        </w:rPr>
        <w:t xml:space="preserve">Beacon Designer &amp; ChemGPS-NP (ASO design optimization, chemical modification selection, ADMET prediction)</w:t>
      </w:r>
    </w:p>
    <w:p>
      <w:pPr>
        <w:pStyle w:val="ListParagraph"/>
        <w:numPr>
          <w:ilvl w:val="0"/>
          <w:numId w:val="2"/>
        </w:numPr>
        <w:spacing w:after="100" w:line="360"/>
      </w:pPr>
      <w:r>
        <w:rPr>
          <w:rFonts w:ascii="Arial" w:cs="Arial" w:eastAsia="Arial" w:hAnsi="Arial"/>
          <w:sz w:val="24"/>
          <w:szCs w:val="24"/>
        </w:rPr>
        <w:t xml:space="preserve">AlphaFold2 &amp; FoldX (protein structure prediction, thermodynamic stability, domain folding assessment)</w:t>
      </w:r>
    </w:p>
    <w:p>
      <w:pPr>
        <w:pStyle w:val="ListParagraph"/>
        <w:numPr>
          <w:ilvl w:val="0"/>
          <w:numId w:val="2"/>
        </w:numPr>
        <w:spacing w:after="100" w:line="360"/>
      </w:pPr>
      <w:r>
        <w:rPr>
          <w:rFonts w:ascii="Arial" w:cs="Arial" w:eastAsia="Arial" w:hAnsi="Arial"/>
          <w:sz w:val="24"/>
          <w:szCs w:val="24"/>
        </w:rPr>
        <w:t xml:space="preserve">Reactome &amp; KEGG (pathway annotation, mechanistic understanding, cascade modeling)</w:t>
      </w:r>
    </w:p>
    <w:p>
      <w:pPr>
        <w:pStyle w:val="ListParagraph"/>
        <w:numPr>
          <w:ilvl w:val="0"/>
          <w:numId w:val="2"/>
        </w:numPr>
        <w:spacing w:after="100" w:line="360"/>
      </w:pPr>
      <w:r>
        <w:rPr>
          <w:rFonts w:ascii="Arial" w:cs="Arial" w:eastAsia="Arial" w:hAnsi="Arial"/>
          <w:sz w:val="24"/>
          <w:szCs w:val="24"/>
        </w:rPr>
        <w:t xml:space="preserve">Deep Learning Models (ToxNet, selectivity predictors, phenotype rescuers; ML-based predictions)</w:t>
      </w:r>
    </w:p>
    <w:p>
      <w:pPr>
        <w:pStyle w:val="ListParagraph"/>
        <w:numPr>
          <w:ilvl w:val="0"/>
          <w:numId w:val="2"/>
        </w:numPr>
        <w:spacing w:after="100" w:line="360"/>
      </w:pPr>
      <w:r>
        <w:rPr>
          <w:rFonts w:ascii="Arial" w:cs="Arial" w:eastAsia="Arial" w:hAnsi="Arial"/>
          <w:sz w:val="24"/>
          <w:szCs w:val="24"/>
        </w:rPr>
        <w:t xml:space="preserve">Systems Biology Toolbox (ODE modeling, pathway dynamics simulation, dose-response fitting)</w:t>
      </w:r>
    </w:p>
    <w:p>
      <w:pPr>
        <w:pStyle w:val="ListParagraph"/>
        <w:numPr>
          <w:ilvl w:val="0"/>
          <w:numId w:val="2"/>
        </w:numPr>
        <w:spacing w:after="100" w:line="360"/>
      </w:pPr>
      <w:r>
        <w:rPr>
          <w:rFonts w:ascii="Arial" w:cs="Arial" w:eastAsia="Arial" w:hAnsi="Arial"/>
          <w:sz w:val="24"/>
          <w:szCs w:val="24"/>
        </w:rPr>
        <w:t xml:space="preserve">SpliceAI &amp; RNA structure tools (splicing prediction, exon-skipping modeling, splicing optimization)</w:t>
      </w:r>
    </w:p>
    <w:p>
      <w:pPr>
        <w:pStyle w:val="ListParagraph"/>
        <w:numPr>
          <w:ilvl w:val="0"/>
          <w:numId w:val="2"/>
        </w:numPr>
        <w:spacing w:after="100" w:line="360"/>
      </w:pPr>
      <w:r>
        <w:rPr>
          <w:rFonts w:ascii="Arial" w:cs="Arial" w:eastAsia="Arial" w:hAnsi="Arial"/>
          <w:sz w:val="24"/>
          <w:szCs w:val="24"/>
        </w:rPr>
        <w:t xml:space="preserve">Sapphire Integrated Modules (EP phenotyping, transcript/dose-response database, safety validation)</w:t>
      </w:r>
    </w:p>
    <w:p>
      <w:pPr>
        <w:pStyle w:val="ListParagraph"/>
        <w:numPr>
          <w:ilvl w:val="0"/>
          <w:numId w:val="2"/>
        </w:numPr>
        <w:spacing w:after="100" w:line="360"/>
      </w:pPr>
      <w:r>
        <w:rPr>
          <w:rFonts w:ascii="Arial" w:cs="Arial" w:eastAsia="Arial" w:hAnsi="Arial"/>
          <w:sz w:val="24"/>
          <w:szCs w:val="24"/>
        </w:rPr>
        <w:t xml:space="preserve">GEO/ArrayExpress (transcriptomic datasets, expression patterns, disease signatures)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2026-03-04T17:44:07.321Z</dcterms:created>
  <dcterms:modified xsi:type="dcterms:W3CDTF">2026-03-04T17:44:07.321Z</dcterms:modified>
</cp:coreProperties>
</file>

<file path=docProps/custom.xml><?xml version="1.0" encoding="utf-8"?>
<Properties xmlns="http://schemas.openxmlformats.org/officeDocument/2006/custom-properties" xmlns:vt="http://schemas.openxmlformats.org/officeDocument/2006/docPropsVTypes"/>
</file>