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40"/>
      </w:pPr>
      <w:r>
        <w:rPr>
          <w:rFonts w:ascii="Arial" w:cs="Arial" w:eastAsia="Arial" w:hAnsi="Arial"/>
          <w:b/>
          <w:bCs/>
          <w:sz w:val="32"/>
          <w:szCs w:val="32"/>
        </w:rPr>
        <w:t xml:space="preserve">Sapphire Pipeline Workflow: Nav1.7 (SCN9A) Intrathecal ASO Design for Pain</w:t>
      </w:r>
    </w:p>
    <w:p>
      <w:pPr>
        <w:spacing w:after="200" w:line="360"/>
      </w:pPr>
      <w:r>
        <w:rPr>
          <w:rFonts w:ascii="Arial" w:cs="Arial" w:eastAsia="Arial" w:hAnsi="Arial"/>
          <w:b/>
          <w:bCs/>
          <w:sz w:val="24"/>
          <w:szCs w:val="24"/>
        </w:rPr>
        <w:t xml:space="preserve">Prompt: </w:t>
      </w:r>
      <w:r>
        <w:rPr>
          <w:rFonts w:ascii="Arial" w:cs="Arial" w:eastAsia="Arial" w:hAnsi="Arial"/>
          <w:sz w:val="24"/>
          <w:szCs w:val="24"/>
        </w:rPr>
        <w:t xml:space="preserve">Generate 10 ASO sequences targeting Nav1.7 (SCN9A) optimized for intrathecal delivery, predicted BBB penetration, and minimal cardiotoxicity.</w:t>
      </w:r>
    </w:p>
    <w:p>
      <w:pPr>
        <w:spacing w:after="200" w:line="360"/>
      </w:pPr>
      <w:r>
        <w:rPr>
          <w:rFonts w:ascii="Arial" w:cs="Arial" w:eastAsia="Arial" w:hAnsi="Arial"/>
          <w:sz w:val="24"/>
          <w:szCs w:val="24"/>
        </w:rPr>
        <w:t xml:space="preserve">This pipeline generates antisense oligonucleotide (ASO) sequences targeting SCN9A (voltage-gated sodium channel Nav1.7), a validated pain target with translational significance. Nav1.7 is selectively expressed in nociceptive dorsal root ganglion (DRG) neurons and peripheral sensory fibers, making it an ideal target for chronic pain management. The challenge is achieving tissue selectivity (DRG/spinal cord enrichment) while avoiding cardiac Nav1.5 off-target effects, which cause severe arrhythmias.</w:t>
      </w:r>
    </w:p>
    <w:p>
      <w:pPr>
        <w:spacing w:after="200" w:line="360"/>
      </w:pPr>
      <w:r>
        <w:rPr>
          <w:rFonts w:ascii="Arial" w:cs="Arial" w:eastAsia="Arial" w:hAnsi="Arial"/>
          <w:sz w:val="24"/>
          <w:szCs w:val="24"/>
        </w:rPr>
        <w:t xml:space="preserve">Intrathecal ASO delivery enables direct targeting of spinal cord and DRG neurons while minimizing systemic exposure and cardiac toxicity risk. This pipeline leverages Sapphire's comprehensive electrophysiology phenotyping (500+ neural features, ~3,500 compound perturbations) to predict how Nav1.7 knockdown rescues pain-like phenotypes (hyperexcitability, spontaneous firing, ectopic discharge) in sensory neuron models. Integration of cardiac toxicity prediction ensures candidate ASOs avoid Nav1.5 cross-reactivity while optimizing for 2'MOE and phosphorothioate chemistry suitable for CSF stability.</w:t>
      </w:r>
    </w:p>
    <w:p>
      <w:pPr>
        <w:pStyle w:val="Heading2"/>
        <w:spacing w:after="200" w:before="200"/>
      </w:pPr>
      <w:r>
        <w:rPr>
          <w:rFonts w:ascii="Arial" w:cs="Arial" w:eastAsia="Arial" w:hAnsi="Arial"/>
          <w:b/>
          <w:bCs/>
          <w:sz w:val="28"/>
          <w:szCs w:val="28"/>
        </w:rPr>
        <w:t xml:space="preserve">Pipeline Overview</w:t>
      </w:r>
    </w:p>
    <w:p>
      <w:pPr>
        <w:spacing w:after="200" w:line="360"/>
      </w:pPr>
      <w:r>
        <w:rPr>
          <w:rFonts w:ascii="Arial" w:cs="Arial" w:eastAsia="Arial" w:hAnsi="Arial"/>
          <w:sz w:val="24"/>
          <w:szCs w:val="24"/>
        </w:rPr>
        <w:t xml:space="preserve">This pipeline integrates sequence-level design with comprehensive phenotypic modeling to identify optimal ASO candidates. Each stage builds on prior results, progressively filtering candidates through increasingly stringent selectivity, efficacy, and safety criteria. The modular architecture allows for iterative refinement and incorporation of new experimental data at each validation stage.</w:t>
      </w:r>
    </w:p>
    <w:p>
      <w:pPr>
        <w:spacing w:after="200" w:line="360"/>
      </w:pPr>
      <w:r>
        <w:rPr>
          <w:rFonts w:ascii="Arial" w:cs="Arial" w:eastAsia="Arial" w:hAnsi="Arial"/>
          <w:sz w:val="24"/>
          <w:szCs w:val="24"/>
        </w:rPr>
        <w:t xml:space="preserve">The Sapphire platform's ~500 electrophysiology features, ~18,000 gene perturbation experiments, and ~3,500 compound perturbation records provide detailed phenotypic ground truth for predicting how ASO-induced transcript knockdown translates to cellular and circuit-level effects. Integration of transcriptomic safety models, computational structure prediction, and mechanistic pathway simulations enables rational design of highly selective, efficacious, and safe ASO therapeutics.</w:t>
      </w:r>
    </w:p>
    <w:p>
      <w:pPr>
        <w:pStyle w:val="Heading2"/>
        <w:spacing w:after="200" w:before="200"/>
      </w:pPr>
      <w:r>
        <w:rPr>
          <w:rFonts w:ascii="Arial" w:cs="Arial" w:eastAsia="Arial" w:hAnsi="Arial"/>
          <w:b/>
          <w:bCs/>
          <w:sz w:val="28"/>
          <w:szCs w:val="28"/>
        </w:rPr>
        <w:t xml:space="preserve">Stage 1: SCN9A Target Selection &amp; Isoform Mapping</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Identify and prioritize SCN9A isoforms expressed in nociceptive DRG neurons, peripheral sensory neurons, and assess cross-reactivity risk with SCN5A (Nav1.5, cardiac) and other sodium channel family members.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SCN9A gene structure and isoforms (RefSeq, Ensembl; alternative exons in C-terminus regulatory region)</w:t>
      </w:r>
    </w:p>
    <w:p>
      <w:pPr>
        <w:pStyle w:val="ListParagraph"/>
        <w:numPr>
          <w:ilvl w:val="0"/>
          <w:numId w:val="2"/>
        </w:numPr>
        <w:spacing w:after="100" w:line="360"/>
      </w:pPr>
      <w:r>
        <w:rPr>
          <w:rFonts w:ascii="Arial" w:cs="Arial" w:eastAsia="Arial" w:hAnsi="Arial"/>
          <w:sz w:val="24"/>
          <w:szCs w:val="24"/>
        </w:rPr>
        <w:t xml:space="preserve">SCN5A (Nav1.5) and SCN1A-SCN8A family sequences (assess homology and cross-reactivity potential)</w:t>
      </w:r>
    </w:p>
    <w:p>
      <w:pPr>
        <w:pStyle w:val="ListParagraph"/>
        <w:numPr>
          <w:ilvl w:val="0"/>
          <w:numId w:val="2"/>
        </w:numPr>
        <w:spacing w:after="100" w:line="360"/>
      </w:pPr>
      <w:r>
        <w:rPr>
          <w:rFonts w:ascii="Arial" w:cs="Arial" w:eastAsia="Arial" w:hAnsi="Arial"/>
          <w:sz w:val="24"/>
          <w:szCs w:val="24"/>
        </w:rPr>
        <w:t xml:space="preserve">Tissue-specific expression data: DRG, spinal cord, peripheral sensory axons, heart (RNA-seq, qPCR literature)</w:t>
      </w:r>
    </w:p>
    <w:p>
      <w:pPr>
        <w:pStyle w:val="ListParagraph"/>
        <w:numPr>
          <w:ilvl w:val="0"/>
          <w:numId w:val="2"/>
        </w:numPr>
        <w:spacing w:after="100" w:line="360"/>
      </w:pPr>
      <w:r>
        <w:rPr>
          <w:rFonts w:ascii="Arial" w:cs="Arial" w:eastAsia="Arial" w:hAnsi="Arial"/>
          <w:sz w:val="24"/>
          <w:szCs w:val="24"/>
        </w:rPr>
        <w:t xml:space="preserve">Pain phenotype literature: nociceptor hyperexcitability, spontaneous discharge, ectopic activity signatures</w:t>
      </w:r>
    </w:p>
    <w:p>
      <w:pPr>
        <w:pStyle w:val="ListParagraph"/>
        <w:numPr>
          <w:ilvl w:val="0"/>
          <w:numId w:val="2"/>
        </w:numPr>
        <w:spacing w:after="100" w:line="360"/>
      </w:pPr>
      <w:r>
        <w:rPr>
          <w:rFonts w:ascii="Arial" w:cs="Arial" w:eastAsia="Arial" w:hAnsi="Arial"/>
          <w:sz w:val="24"/>
          <w:szCs w:val="24"/>
        </w:rPr>
        <w:t xml:space="preserve">Sapphire EP database: SCN9A/Nav1.7 perturbation phenotypes in primary DRG neurons (n=156 experiments)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UCSC Genome Browser (SCN9A exon structure, alternative splicing in regulatory regions)</w:t>
      </w:r>
    </w:p>
    <w:p>
      <w:pPr>
        <w:pStyle w:val="ListParagraph"/>
        <w:numPr>
          <w:ilvl w:val="0"/>
          <w:numId w:val="2"/>
        </w:numPr>
        <w:spacing w:after="100" w:line="360"/>
      </w:pPr>
      <w:r>
        <w:rPr>
          <w:rFonts w:ascii="Arial" w:cs="Arial" w:eastAsia="Arial" w:hAnsi="Arial"/>
          <w:sz w:val="24"/>
          <w:szCs w:val="24"/>
        </w:rPr>
        <w:t xml:space="preserve">NCBI BLAST (cross-homology screening against SCN family; identity matrix)</w:t>
      </w:r>
    </w:p>
    <w:p>
      <w:pPr>
        <w:pStyle w:val="ListParagraph"/>
        <w:numPr>
          <w:ilvl w:val="0"/>
          <w:numId w:val="2"/>
        </w:numPr>
        <w:spacing w:after="100" w:line="360"/>
      </w:pPr>
      <w:r>
        <w:rPr>
          <w:rFonts w:ascii="Arial" w:cs="Arial" w:eastAsia="Arial" w:hAnsi="Arial"/>
          <w:sz w:val="24"/>
          <w:szCs w:val="24"/>
        </w:rPr>
        <w:t xml:space="preserve">Ensembl gene annotation (tissue-specific isoforms, polyadenylation sites, promoter analysis)</w:t>
      </w:r>
    </w:p>
    <w:p>
      <w:pPr>
        <w:pStyle w:val="ListParagraph"/>
        <w:numPr>
          <w:ilvl w:val="0"/>
          <w:numId w:val="2"/>
        </w:numPr>
        <w:spacing w:after="100" w:line="360"/>
      </w:pPr>
      <w:r>
        <w:rPr>
          <w:rFonts w:ascii="Arial" w:cs="Arial" w:eastAsia="Arial" w:hAnsi="Arial"/>
          <w:sz w:val="24"/>
          <w:szCs w:val="24"/>
        </w:rPr>
        <w:t xml:space="preserve">GEO/ArrayExpress (tissue expression profiles; DRG vs heart expression ratios)</w:t>
      </w:r>
    </w:p>
    <w:p>
      <w:pPr>
        <w:pStyle w:val="ListParagraph"/>
        <w:numPr>
          <w:ilvl w:val="0"/>
          <w:numId w:val="2"/>
        </w:numPr>
        <w:spacing w:after="100" w:line="360"/>
      </w:pPr>
      <w:r>
        <w:rPr>
          <w:rFonts w:ascii="Arial" w:cs="Arial" w:eastAsia="Arial" w:hAnsi="Arial"/>
          <w:sz w:val="24"/>
          <w:szCs w:val="24"/>
        </w:rPr>
        <w:t xml:space="preserve">PAIN-OME database (nociceptor phenotypes and gene expression signatures)</w:t>
      </w:r>
    </w:p>
    <w:p>
      <w:pPr>
        <w:pStyle w:val="ListParagraph"/>
        <w:numPr>
          <w:ilvl w:val="0"/>
          <w:numId w:val="2"/>
        </w:numPr>
        <w:spacing w:after="100" w:line="360"/>
      </w:pPr>
      <w:r>
        <w:rPr>
          <w:rFonts w:ascii="Arial" w:cs="Arial" w:eastAsia="Arial" w:hAnsi="Arial"/>
          <w:sz w:val="24"/>
          <w:szCs w:val="24"/>
        </w:rPr>
        <w:t xml:space="preserve">Sapphire Nav1.7 perturbation module (query 156 DRG EP experiments; pain phenotype rescue predictions)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Identify all SCN9A transcript isoforms expressed in mouse DRG neurons; which exons are pain-specific vs housekeeping?</w:t>
      </w:r>
    </w:p>
    <w:p>
      <w:pPr>
        <w:pStyle w:val="ListParagraph"/>
        <w:numPr>
          <w:ilvl w:val="0"/>
          <w:numId w:val="2"/>
        </w:numPr>
        <w:spacing w:after="100" w:line="360"/>
      </w:pPr>
      <w:r>
        <w:rPr>
          <w:rFonts w:ascii="Arial" w:cs="Arial" w:eastAsia="Arial" w:hAnsi="Arial"/>
          <w:sz w:val="24"/>
          <w:szCs w:val="24"/>
        </w:rPr>
        <w:t xml:space="preserve">What is the sequence homology between SCN9A exons and SCN5A coding regions? Identify unique SCN9A exons with minimal homology to cardiac Nav1.5</w:t>
      </w:r>
    </w:p>
    <w:p>
      <w:pPr>
        <w:pStyle w:val="ListParagraph"/>
        <w:numPr>
          <w:ilvl w:val="0"/>
          <w:numId w:val="2"/>
        </w:numPr>
        <w:spacing w:after="100" w:line="360"/>
      </w:pPr>
      <w:r>
        <w:rPr>
          <w:rFonts w:ascii="Arial" w:cs="Arial" w:eastAsia="Arial" w:hAnsi="Arial"/>
          <w:sz w:val="24"/>
          <w:szCs w:val="24"/>
        </w:rPr>
        <w:t xml:space="preserve">Compare SCN9A expression levels in nociceptive (peptidergic, TRPV1+) vs non-nociceptive sensory neurons</w:t>
      </w:r>
    </w:p>
    <w:p>
      <w:pPr>
        <w:pStyle w:val="ListParagraph"/>
        <w:numPr>
          <w:ilvl w:val="0"/>
          <w:numId w:val="2"/>
        </w:numPr>
        <w:spacing w:after="100" w:line="360"/>
      </w:pPr>
      <w:r>
        <w:rPr>
          <w:rFonts w:ascii="Arial" w:cs="Arial" w:eastAsia="Arial" w:hAnsi="Arial"/>
          <w:sz w:val="24"/>
          <w:szCs w:val="24"/>
        </w:rPr>
        <w:t xml:space="preserve">Which SCN9A regulatory regions (promoter, 3'UTR) control DRG-specific or pain-state-dependent expression?</w:t>
      </w:r>
    </w:p>
    <w:p>
      <w:pPr>
        <w:pStyle w:val="ListParagraph"/>
        <w:numPr>
          <w:ilvl w:val="0"/>
          <w:numId w:val="2"/>
        </w:numPr>
        <w:spacing w:after="100" w:line="360"/>
      </w:pPr>
      <w:r>
        <w:rPr>
          <w:rFonts w:ascii="Arial" w:cs="Arial" w:eastAsia="Arial" w:hAnsi="Arial"/>
          <w:sz w:val="24"/>
          <w:szCs w:val="24"/>
        </w:rPr>
        <w:t xml:space="preserve">Using Sapphire data, what Nav1.7 knockdown level (50%, 75%, 90%) maximally rescues nociceptor hyperexcitability without causing hypoexcitability?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SCN9A isoform inventory (transcript IDs, exon structures, DRG vs tissue-wide expression ratios)</w:t>
      </w:r>
    </w:p>
    <w:p>
      <w:pPr>
        <w:pStyle w:val="ListParagraph"/>
        <w:numPr>
          <w:ilvl w:val="0"/>
          <w:numId w:val="2"/>
        </w:numPr>
        <w:spacing w:after="100" w:line="360"/>
      </w:pPr>
      <w:r>
        <w:rPr>
          <w:rFonts w:ascii="Arial" w:cs="Arial" w:eastAsia="Arial" w:hAnsi="Arial"/>
          <w:sz w:val="24"/>
          <w:szCs w:val="24"/>
        </w:rPr>
        <w:t xml:space="preserve">Cross-homology matrix: SCN9A vs SCN5A/SCN1A-SCN8A (exon-by-exon percent identity; cardiac risk assessment)</w:t>
      </w:r>
    </w:p>
    <w:p>
      <w:pPr>
        <w:pStyle w:val="ListParagraph"/>
        <w:numPr>
          <w:ilvl w:val="0"/>
          <w:numId w:val="2"/>
        </w:numPr>
        <w:spacing w:after="100" w:line="360"/>
      </w:pPr>
      <w:r>
        <w:rPr>
          <w:rFonts w:ascii="Arial" w:cs="Arial" w:eastAsia="Arial" w:hAnsi="Arial"/>
          <w:sz w:val="24"/>
          <w:szCs w:val="24"/>
        </w:rPr>
        <w:t xml:space="preserve">Nociceptor-specific exons identified (targets with &lt;80% homology to Nav1.5 or other family members)</w:t>
      </w:r>
    </w:p>
    <w:p>
      <w:pPr>
        <w:pStyle w:val="ListParagraph"/>
        <w:numPr>
          <w:ilvl w:val="0"/>
          <w:numId w:val="2"/>
        </w:numPr>
        <w:spacing w:after="100" w:line="360"/>
      </w:pPr>
      <w:r>
        <w:rPr>
          <w:rFonts w:ascii="Arial" w:cs="Arial" w:eastAsia="Arial" w:hAnsi="Arial"/>
          <w:sz w:val="24"/>
          <w:szCs w:val="24"/>
        </w:rPr>
        <w:t xml:space="preserve">Tissue expression heat map (DRG, spinal cord, skin sensory nerves, heart; expression ratio fold-changes)</w:t>
      </w:r>
    </w:p>
    <w:p>
      <w:pPr>
        <w:pStyle w:val="ListParagraph"/>
        <w:numPr>
          <w:ilvl w:val="0"/>
          <w:numId w:val="2"/>
        </w:numPr>
        <w:spacing w:after="100" w:line="360"/>
      </w:pPr>
      <w:r>
        <w:rPr>
          <w:rFonts w:ascii="Arial" w:cs="Arial" w:eastAsia="Arial" w:hAnsi="Arial"/>
          <w:sz w:val="24"/>
          <w:szCs w:val="24"/>
        </w:rPr>
        <w:t xml:space="preserve">Sapphire EP baseline phenotypes: SCN9A wild-type DRG neurons (hyperexcitability index, spontaneous firing rate, action potential kinetics)</w:t>
      </w:r>
    </w:p>
    <w:p>
      <w:pPr>
        <w:pStyle w:val="ListParagraph"/>
        <w:numPr>
          <w:ilvl w:val="0"/>
          <w:numId w:val="2"/>
        </w:numPr>
        <w:spacing w:after="100" w:line="360"/>
      </w:pPr>
      <w:r>
        <w:rPr>
          <w:rFonts w:ascii="Arial" w:cs="Arial" w:eastAsia="Arial" w:hAnsi="Arial"/>
          <w:sz w:val="24"/>
          <w:szCs w:val="24"/>
        </w:rPr>
        <w:t xml:space="preserve">Ranked target list: 6-8 SCN9A transcript/exon targets with optimal nociceptor selectivity and minimal cardiac cross-reactivity potential</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Comprehensive isoform annotation table (RefSeq ID | Exon # | DRG expression | Nav1.5 homology % | Unique regulatory elements) with cardiac toxicity risk color-coding</w:t>
      </w:r>
    </w:p>
    <w:p>
      <w:pPr>
        <w:pStyle w:val="Heading2"/>
        <w:spacing w:after="200" w:before="200"/>
      </w:pPr>
      <w:r>
        <w:rPr>
          <w:rFonts w:ascii="Arial" w:cs="Arial" w:eastAsia="Arial" w:hAnsi="Arial"/>
          <w:b/>
          <w:bCs/>
          <w:sz w:val="28"/>
          <w:szCs w:val="28"/>
        </w:rPr>
        <w:t xml:space="preserve">Stage 2: ASO Sequence Design for Intrathecal Delivery &amp; Chemistry</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Design 15-18 ASO candidates targeting SCN9A with chemical modifications (2'MOE, cEt, PS backbone) optimized for intrathecal pharmacokinetics, CSF stability, spinal cord/DRG distribution, and Nav1.5 selectivity.</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6 SCN9A target exons/regions from Stage 1</w:t>
      </w:r>
    </w:p>
    <w:p>
      <w:pPr>
        <w:pStyle w:val="ListParagraph"/>
        <w:numPr>
          <w:ilvl w:val="0"/>
          <w:numId w:val="2"/>
        </w:numPr>
        <w:spacing w:after="100" w:line="360"/>
      </w:pPr>
      <w:r>
        <w:rPr>
          <w:rFonts w:ascii="Arial" w:cs="Arial" w:eastAsia="Arial" w:hAnsi="Arial"/>
          <w:sz w:val="24"/>
          <w:szCs w:val="24"/>
        </w:rPr>
        <w:t xml:space="preserve">Intrathecal ASO design criteria: secondary structure accessibility (optimal 20-25 nt windows)</w:t>
      </w:r>
    </w:p>
    <w:p>
      <w:pPr>
        <w:pStyle w:val="ListParagraph"/>
        <w:numPr>
          <w:ilvl w:val="0"/>
          <w:numId w:val="2"/>
        </w:numPr>
        <w:spacing w:after="100" w:line="360"/>
      </w:pPr>
      <w:r>
        <w:rPr>
          <w:rFonts w:ascii="Arial" w:cs="Arial" w:eastAsia="Arial" w:hAnsi="Arial"/>
          <w:sz w:val="24"/>
          <w:szCs w:val="24"/>
        </w:rPr>
        <w:t xml:space="preserve">Chemical modification library: 2'MOE (wings), cEt, PS backbone, Gap-mer configurations</w:t>
      </w:r>
    </w:p>
    <w:p>
      <w:pPr>
        <w:pStyle w:val="ListParagraph"/>
        <w:numPr>
          <w:ilvl w:val="0"/>
          <w:numId w:val="2"/>
        </w:numPr>
        <w:spacing w:after="100" w:line="360"/>
      </w:pPr>
      <w:r>
        <w:rPr>
          <w:rFonts w:ascii="Arial" w:cs="Arial" w:eastAsia="Arial" w:hAnsi="Arial"/>
          <w:sz w:val="24"/>
          <w:szCs w:val="24"/>
        </w:rPr>
        <w:t xml:space="preserve">Nav1.5 sequence alignment (identify mismatches for selectivity; avoid high-homology regions)</w:t>
      </w:r>
    </w:p>
    <w:p>
      <w:pPr>
        <w:pStyle w:val="ListParagraph"/>
        <w:numPr>
          <w:ilvl w:val="0"/>
          <w:numId w:val="2"/>
        </w:numPr>
        <w:spacing w:after="100" w:line="360"/>
      </w:pPr>
      <w:r>
        <w:rPr>
          <w:rFonts w:ascii="Arial" w:cs="Arial" w:eastAsia="Arial" w:hAnsi="Arial"/>
          <w:sz w:val="24"/>
          <w:szCs w:val="24"/>
        </w:rPr>
        <w:t xml:space="preserve">CSF pharmacokinetics: ASO stability in CSF (pH 7.4, 37°C, exonuclease activity)</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OligoCalc (Tm, secondary structure for intrathecal conditions)</w:t>
      </w:r>
    </w:p>
    <w:p>
      <w:pPr>
        <w:pStyle w:val="ListParagraph"/>
        <w:numPr>
          <w:ilvl w:val="0"/>
          <w:numId w:val="2"/>
        </w:numPr>
        <w:spacing w:after="100" w:line="360"/>
      </w:pPr>
      <w:r>
        <w:rPr>
          <w:rFonts w:ascii="Arial" w:cs="Arial" w:eastAsia="Arial" w:hAnsi="Arial"/>
          <w:sz w:val="24"/>
          <w:szCs w:val="24"/>
        </w:rPr>
        <w:t xml:space="preserve">GENEIOUS Pro (ASO design with selective mismatch to Nav1.5)</w:t>
      </w:r>
    </w:p>
    <w:p>
      <w:pPr>
        <w:pStyle w:val="ListParagraph"/>
        <w:numPr>
          <w:ilvl w:val="0"/>
          <w:numId w:val="2"/>
        </w:numPr>
        <w:spacing w:after="100" w:line="360"/>
      </w:pPr>
      <w:r>
        <w:rPr>
          <w:rFonts w:ascii="Arial" w:cs="Arial" w:eastAsia="Arial" w:hAnsi="Arial"/>
          <w:sz w:val="24"/>
          <w:szCs w:val="24"/>
        </w:rPr>
        <w:t xml:space="preserve">mfold &amp; RNAfold (ASO-SCN9A duplex thermodynamics; Tm predictions)</w:t>
      </w:r>
    </w:p>
    <w:p>
      <w:pPr>
        <w:pStyle w:val="ListParagraph"/>
        <w:numPr>
          <w:ilvl w:val="0"/>
          <w:numId w:val="2"/>
        </w:numPr>
        <w:spacing w:after="100" w:line="360"/>
      </w:pPr>
      <w:r>
        <w:rPr>
          <w:rFonts w:ascii="Arial" w:cs="Arial" w:eastAsia="Arial" w:hAnsi="Arial"/>
          <w:sz w:val="24"/>
          <w:szCs w:val="24"/>
        </w:rPr>
        <w:t xml:space="preserve">ChemGPS-NP (CNS penetration score, CSF stability prediction for chemical modifications)</w:t>
      </w:r>
    </w:p>
    <w:p>
      <w:pPr>
        <w:pStyle w:val="ListParagraph"/>
        <w:numPr>
          <w:ilvl w:val="0"/>
          <w:numId w:val="2"/>
        </w:numPr>
        <w:spacing w:after="100" w:line="360"/>
      </w:pPr>
      <w:r>
        <w:rPr>
          <w:rFonts w:ascii="Arial" w:cs="Arial" w:eastAsia="Arial" w:hAnsi="Arial"/>
          <w:sz w:val="24"/>
          <w:szCs w:val="24"/>
        </w:rPr>
        <w:t xml:space="preserve">Beacon Designer (intrathecal ASO-optimized design with 2'MOE/cEt modification presets)</w:t>
      </w:r>
    </w:p>
    <w:p>
      <w:pPr>
        <w:pStyle w:val="ListParagraph"/>
        <w:numPr>
          <w:ilvl w:val="0"/>
          <w:numId w:val="2"/>
        </w:numPr>
        <w:spacing w:after="100" w:line="360"/>
      </w:pPr>
      <w:r>
        <w:rPr>
          <w:rFonts w:ascii="Arial" w:cs="Arial" w:eastAsia="Arial" w:hAnsi="Arial"/>
          <w:sz w:val="24"/>
          <w:szCs w:val="24"/>
        </w:rPr>
        <w:t xml:space="preserve">Sapphire Intrathecal Delivery module (predict spinal cord/DRG distribution patterns for ASO chemistry variants)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Design 5 ASOs targeting exon 8 (Nav1.7-specific pain-regulatory region) with 2'MOE wings and PS backbone; predict SCN5A cross-reactivity for each</w:t>
      </w:r>
    </w:p>
    <w:p>
      <w:pPr>
        <w:pStyle w:val="ListParagraph"/>
        <w:numPr>
          <w:ilvl w:val="0"/>
          <w:numId w:val="2"/>
        </w:numPr>
        <w:spacing w:after="100" w:line="360"/>
      </w:pPr>
      <w:r>
        <w:rPr>
          <w:rFonts w:ascii="Arial" w:cs="Arial" w:eastAsia="Arial" w:hAnsi="Arial"/>
          <w:sz w:val="24"/>
          <w:szCs w:val="24"/>
        </w:rPr>
        <w:t xml:space="preserve">What Gap-mer architecture (Gap length 10-13 nt, wing lengths 3-5) optimizes CSF half-life while maintaining on-target selectivity?</w:t>
      </w:r>
    </w:p>
    <w:p>
      <w:pPr>
        <w:pStyle w:val="ListParagraph"/>
        <w:numPr>
          <w:ilvl w:val="0"/>
          <w:numId w:val="2"/>
        </w:numPr>
        <w:spacing w:after="100" w:line="360"/>
      </w:pPr>
      <w:r>
        <w:rPr>
          <w:rFonts w:ascii="Arial" w:cs="Arial" w:eastAsia="Arial" w:hAnsi="Arial"/>
          <w:sz w:val="24"/>
          <w:szCs w:val="24"/>
        </w:rPr>
        <w:t xml:space="preserve">Generate 3 Nav1.5-mismatch ASOs with single nucleotide differences in critical positions; validate selectivity by sequence alignment</w:t>
      </w:r>
    </w:p>
    <w:p>
      <w:pPr>
        <w:pStyle w:val="ListParagraph"/>
        <w:numPr>
          <w:ilvl w:val="0"/>
          <w:numId w:val="2"/>
        </w:numPr>
        <w:spacing w:after="100" w:line="360"/>
      </w:pPr>
      <w:r>
        <w:rPr>
          <w:rFonts w:ascii="Arial" w:cs="Arial" w:eastAsia="Arial" w:hAnsi="Arial"/>
          <w:sz w:val="24"/>
          <w:szCs w:val="24"/>
        </w:rPr>
        <w:t xml:space="preserve">Predict Tm and stability for top 10 ASO candidates in CSF (pH 7.4, 37°C) using exonuclease degradation models</w:t>
      </w:r>
    </w:p>
    <w:p>
      <w:pPr>
        <w:pStyle w:val="ListParagraph"/>
        <w:numPr>
          <w:ilvl w:val="0"/>
          <w:numId w:val="2"/>
        </w:numPr>
        <w:spacing w:after="100" w:line="360"/>
      </w:pPr>
      <w:r>
        <w:rPr>
          <w:rFonts w:ascii="Arial" w:cs="Arial" w:eastAsia="Arial" w:hAnsi="Arial"/>
          <w:sz w:val="24"/>
          <w:szCs w:val="24"/>
        </w:rPr>
        <w:t xml:space="preserve">Design 2 'GalNAc-conjugated' ASO variants (liver targeting, systemic distribution minimization) for comparison with unconjugated intrathecal ASOs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18 ranked ASO candidates (sequence | target region | Tm | chemical modification profile | Nav1.5 selectivity score)</w:t>
      </w:r>
    </w:p>
    <w:p>
      <w:pPr>
        <w:pStyle w:val="ListParagraph"/>
        <w:numPr>
          <w:ilvl w:val="0"/>
          <w:numId w:val="2"/>
        </w:numPr>
        <w:spacing w:after="100" w:line="360"/>
      </w:pPr>
      <w:r>
        <w:rPr>
          <w:rFonts w:ascii="Arial" w:cs="Arial" w:eastAsia="Arial" w:hAnsi="Arial"/>
          <w:sz w:val="24"/>
          <w:szCs w:val="24"/>
        </w:rPr>
        <w:t xml:space="preserve">Chemical modification architecture details (2'MOE wing lengths, cEt positions, PS backbone configuration, Gap-mer structure)</w:t>
      </w:r>
    </w:p>
    <w:p>
      <w:pPr>
        <w:pStyle w:val="ListParagraph"/>
        <w:numPr>
          <w:ilvl w:val="0"/>
          <w:numId w:val="2"/>
        </w:numPr>
        <w:spacing w:after="100" w:line="360"/>
      </w:pPr>
      <w:r>
        <w:rPr>
          <w:rFonts w:ascii="Arial" w:cs="Arial" w:eastAsia="Arial" w:hAnsi="Arial"/>
          <w:sz w:val="24"/>
          <w:szCs w:val="24"/>
        </w:rPr>
        <w:t xml:space="preserve">Nav1.5 cross-reactivity predictions (sequence mismatches vs Nav1.5 target regions; selectivity index)</w:t>
      </w:r>
    </w:p>
    <w:p>
      <w:pPr>
        <w:pStyle w:val="ListParagraph"/>
        <w:numPr>
          <w:ilvl w:val="0"/>
          <w:numId w:val="2"/>
        </w:numPr>
        <w:spacing w:after="100" w:line="360"/>
      </w:pPr>
      <w:r>
        <w:rPr>
          <w:rFonts w:ascii="Arial" w:cs="Arial" w:eastAsia="Arial" w:hAnsi="Arial"/>
          <w:sz w:val="24"/>
          <w:szCs w:val="24"/>
        </w:rPr>
        <w:t xml:space="preserve">CSF stability estimates (predicted half-life in CSF; comparison with liver-enriched ASO standards)</w:t>
      </w:r>
    </w:p>
    <w:p>
      <w:pPr>
        <w:pStyle w:val="ListParagraph"/>
        <w:numPr>
          <w:ilvl w:val="0"/>
          <w:numId w:val="2"/>
        </w:numPr>
        <w:spacing w:after="100" w:line="360"/>
      </w:pPr>
      <w:r>
        <w:rPr>
          <w:rFonts w:ascii="Arial" w:cs="Arial" w:eastAsia="Arial" w:hAnsi="Arial"/>
          <w:sz w:val="24"/>
          <w:szCs w:val="24"/>
        </w:rPr>
        <w:t xml:space="preserve">Spinal cord &amp; DRG distribution predictions (model-based CNS penetration scores for each chemical variant)</w:t>
      </w:r>
    </w:p>
    <w:p>
      <w:pPr>
        <w:pStyle w:val="ListParagraph"/>
        <w:numPr>
          <w:ilvl w:val="0"/>
          <w:numId w:val="2"/>
        </w:numPr>
        <w:spacing w:after="100" w:line="360"/>
      </w:pPr>
      <w:r>
        <w:rPr>
          <w:rFonts w:ascii="Arial" w:cs="Arial" w:eastAsia="Arial" w:hAnsi="Arial"/>
          <w:sz w:val="24"/>
          <w:szCs w:val="24"/>
        </w:rPr>
        <w:t xml:space="preserve">Preliminary pharmacokinetic parameters (predicted clearance rate, CNS residence time, target tissue accumulation)</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ASO design table (ASO ID | Sequence | Chemistry | Nav1.5 selectivity | CSF half-life prediction | Intrathecal distribution score) with modification schematic diagrams and Tm calculation details</w:t>
      </w:r>
    </w:p>
    <w:p>
      <w:pPr>
        <w:pStyle w:val="Heading2"/>
        <w:spacing w:after="200" w:before="200"/>
      </w:pPr>
      <w:r>
        <w:rPr>
          <w:rFonts w:ascii="Arial" w:cs="Arial" w:eastAsia="Arial" w:hAnsi="Arial"/>
          <w:b/>
          <w:bCs/>
          <w:sz w:val="28"/>
          <w:szCs w:val="28"/>
        </w:rPr>
        <w:t xml:space="preserve">Stage 3: Cardiac Nav1.5 Off-Target Assessment &amp; Selectivity Optimization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Comprehensively assess predicted Nav1.5 (SCN5A) binding and off-target effects for all 18 ASO candidates to ensure cardiac safety; identify and eliminate candidates with significant cardiotoxicity risk.</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18 ASO candidates from Stage 2</w:t>
      </w:r>
    </w:p>
    <w:p>
      <w:pPr>
        <w:pStyle w:val="ListParagraph"/>
        <w:numPr>
          <w:ilvl w:val="0"/>
          <w:numId w:val="2"/>
        </w:numPr>
        <w:spacing w:after="100" w:line="360"/>
      </w:pPr>
      <w:r>
        <w:rPr>
          <w:rFonts w:ascii="Arial" w:cs="Arial" w:eastAsia="Arial" w:hAnsi="Arial"/>
          <w:sz w:val="24"/>
          <w:szCs w:val="24"/>
        </w:rPr>
        <w:t xml:space="preserve">SCN5A (Nav1.5) exon-by-exon sequence alignment with SCN9A targets</w:t>
      </w:r>
    </w:p>
    <w:p>
      <w:pPr>
        <w:pStyle w:val="ListParagraph"/>
        <w:numPr>
          <w:ilvl w:val="0"/>
          <w:numId w:val="2"/>
        </w:numPr>
        <w:spacing w:after="100" w:line="360"/>
      </w:pPr>
      <w:r>
        <w:rPr>
          <w:rFonts w:ascii="Arial" w:cs="Arial" w:eastAsia="Arial" w:hAnsi="Arial"/>
          <w:sz w:val="24"/>
          <w:szCs w:val="24"/>
        </w:rPr>
        <w:t xml:space="preserve">Cardiac toxicity signatures: arrhythmia phenotypes, action potential prolongation, QT interval effects</w:t>
      </w:r>
    </w:p>
    <w:p>
      <w:pPr>
        <w:pStyle w:val="ListParagraph"/>
        <w:numPr>
          <w:ilvl w:val="0"/>
          <w:numId w:val="2"/>
        </w:numPr>
        <w:spacing w:after="100" w:line="360"/>
      </w:pPr>
      <w:r>
        <w:rPr>
          <w:rFonts w:ascii="Arial" w:cs="Arial" w:eastAsia="Arial" w:hAnsi="Arial"/>
          <w:sz w:val="24"/>
          <w:szCs w:val="24"/>
        </w:rPr>
        <w:t xml:space="preserve">Human cardiac myocyte transcriptome (RNA-seq; identify cardiac-enriched genes co-targeted by off-targets)</w:t>
      </w:r>
    </w:p>
    <w:p>
      <w:pPr>
        <w:pStyle w:val="ListParagraph"/>
        <w:numPr>
          <w:ilvl w:val="0"/>
          <w:numId w:val="2"/>
        </w:numPr>
        <w:spacing w:after="100" w:line="360"/>
      </w:pPr>
      <w:r>
        <w:rPr>
          <w:rFonts w:ascii="Arial" w:cs="Arial" w:eastAsia="Arial" w:hAnsi="Arial"/>
          <w:sz w:val="24"/>
          <w:szCs w:val="24"/>
        </w:rPr>
        <w:t xml:space="preserve">Sapphire EP data: cardiac toxicity from sodium channel perturbations (if available; otherwise literature corpus)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NCBI BLAST-align (detailed SCN9A target vs SCN5A exon-by-exon matching; mismatches scoring)</w:t>
      </w:r>
    </w:p>
    <w:p>
      <w:pPr>
        <w:pStyle w:val="ListParagraph"/>
        <w:numPr>
          <w:ilvl w:val="0"/>
          <w:numId w:val="2"/>
        </w:numPr>
        <w:spacing w:after="100" w:line="360"/>
      </w:pPr>
      <w:r>
        <w:rPr>
          <w:rFonts w:ascii="Arial" w:cs="Arial" w:eastAsia="Arial" w:hAnsi="Arial"/>
          <w:sz w:val="24"/>
          <w:szCs w:val="24"/>
        </w:rPr>
        <w:t xml:space="preserve">RNAhybrid (thermodynamic prediction of ASO-SCN5A binding; free energy ΔG)</w:t>
      </w:r>
    </w:p>
    <w:p>
      <w:pPr>
        <w:pStyle w:val="ListParagraph"/>
        <w:numPr>
          <w:ilvl w:val="0"/>
          <w:numId w:val="2"/>
        </w:numPr>
        <w:spacing w:after="100" w:line="360"/>
      </w:pPr>
      <w:r>
        <w:rPr>
          <w:rFonts w:ascii="Arial" w:cs="Arial" w:eastAsia="Arial" w:hAnsi="Arial"/>
          <w:sz w:val="24"/>
          <w:szCs w:val="24"/>
        </w:rPr>
        <w:t xml:space="preserve">SeqMap (identify off-target sites in Nav1.5 with ≥18 nt homology)</w:t>
      </w:r>
    </w:p>
    <w:p>
      <w:pPr>
        <w:pStyle w:val="ListParagraph"/>
        <w:numPr>
          <w:ilvl w:val="0"/>
          <w:numId w:val="2"/>
        </w:numPr>
        <w:spacing w:after="100" w:line="360"/>
      </w:pPr>
      <w:r>
        <w:rPr>
          <w:rFonts w:ascii="Arial" w:cs="Arial" w:eastAsia="Arial" w:hAnsi="Arial"/>
          <w:sz w:val="24"/>
          <w:szCs w:val="24"/>
        </w:rPr>
        <w:t xml:space="preserve">ChemGPS-NP cardiac module (predicted cardiac toxicity from chemical properties)</w:t>
      </w:r>
    </w:p>
    <w:p>
      <w:pPr>
        <w:pStyle w:val="ListParagraph"/>
        <w:numPr>
          <w:ilvl w:val="0"/>
          <w:numId w:val="2"/>
        </w:numPr>
        <w:spacing w:after="100" w:line="360"/>
      </w:pPr>
      <w:r>
        <w:rPr>
          <w:rFonts w:ascii="Arial" w:cs="Arial" w:eastAsia="Arial" w:hAnsi="Arial"/>
          <w:sz w:val="24"/>
          <w:szCs w:val="24"/>
        </w:rPr>
        <w:t xml:space="preserve">Deep learning ToxNet (sequence-based cardiotoxicity prediction; arrhythmia risk)</w:t>
      </w:r>
    </w:p>
    <w:p>
      <w:pPr>
        <w:pStyle w:val="ListParagraph"/>
        <w:numPr>
          <w:ilvl w:val="0"/>
          <w:numId w:val="2"/>
        </w:numPr>
        <w:spacing w:after="100" w:line="360"/>
      </w:pPr>
      <w:r>
        <w:rPr>
          <w:rFonts w:ascii="Arial" w:cs="Arial" w:eastAsia="Arial" w:hAnsi="Arial"/>
          <w:sz w:val="24"/>
          <w:szCs w:val="24"/>
        </w:rPr>
        <w:t xml:space="preserve">Cardiac safety database integration (literature arrhythmia phenotypes linked to Nav1.5 perturbation levels)</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ASO, map exact positions of predicted binding sites on SCN5A exons; calculate mismatch count vs target SCN9A region</w:t>
      </w:r>
    </w:p>
    <w:p>
      <w:pPr>
        <w:pStyle w:val="ListParagraph"/>
        <w:numPr>
          <w:ilvl w:val="0"/>
          <w:numId w:val="2"/>
        </w:numPr>
        <w:spacing w:after="100" w:line="360"/>
      </w:pPr>
      <w:r>
        <w:rPr>
          <w:rFonts w:ascii="Arial" w:cs="Arial" w:eastAsia="Arial" w:hAnsi="Arial"/>
          <w:sz w:val="24"/>
          <w:szCs w:val="24"/>
        </w:rPr>
        <w:t xml:space="preserve">Which ASO candidates have ≥3 single-nucleotide mismatches with SCN5A target regions (selectivity threshold)?</w:t>
      </w:r>
    </w:p>
    <w:p>
      <w:pPr>
        <w:pStyle w:val="ListParagraph"/>
        <w:numPr>
          <w:ilvl w:val="0"/>
          <w:numId w:val="2"/>
        </w:numPr>
        <w:spacing w:after="100" w:line="360"/>
      </w:pPr>
      <w:r>
        <w:rPr>
          <w:rFonts w:ascii="Arial" w:cs="Arial" w:eastAsia="Arial" w:hAnsi="Arial"/>
          <w:sz w:val="24"/>
          <w:szCs w:val="24"/>
        </w:rPr>
        <w:t xml:space="preserve">Predict the concentration-dependent risk of arrhythmia: at what ASO concentrations would off-target Nav1.5 knockdown cause QT prolongation?</w:t>
      </w:r>
    </w:p>
    <w:p>
      <w:pPr>
        <w:pStyle w:val="ListParagraph"/>
        <w:numPr>
          <w:ilvl w:val="0"/>
          <w:numId w:val="2"/>
        </w:numPr>
        <w:spacing w:after="100" w:line="360"/>
      </w:pPr>
      <w:r>
        <w:rPr>
          <w:rFonts w:ascii="Arial" w:cs="Arial" w:eastAsia="Arial" w:hAnsi="Arial"/>
          <w:sz w:val="24"/>
          <w:szCs w:val="24"/>
        </w:rPr>
        <w:t xml:space="preserve">Assess cardiac myocyte off-target transcript hits (genes involved in cardiac electrophysiology: KCNQ, KCNH, HCN, etc.)</w:t>
      </w:r>
    </w:p>
    <w:p>
      <w:pPr>
        <w:pStyle w:val="ListParagraph"/>
        <w:numPr>
          <w:ilvl w:val="0"/>
          <w:numId w:val="2"/>
        </w:numPr>
        <w:spacing w:after="100" w:line="360"/>
      </w:pPr>
      <w:r>
        <w:rPr>
          <w:rFonts w:ascii="Arial" w:cs="Arial" w:eastAsia="Arial" w:hAnsi="Arial"/>
          <w:sz w:val="24"/>
          <w:szCs w:val="24"/>
        </w:rPr>
        <w:t xml:space="preserve">Compare selectivity profiles: which chemical modifications (2'MOE vs cEt) improve Nav1.5 selectivity?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Nav1.5 off-target binding assessment (ASO ID | predicted SCN5A exon binding sites | mismatch count | selectivity index)</w:t>
      </w:r>
    </w:p>
    <w:p>
      <w:pPr>
        <w:pStyle w:val="ListParagraph"/>
        <w:numPr>
          <w:ilvl w:val="0"/>
          <w:numId w:val="2"/>
        </w:numPr>
        <w:spacing w:after="100" w:line="360"/>
      </w:pPr>
      <w:r>
        <w:rPr>
          <w:rFonts w:ascii="Arial" w:cs="Arial" w:eastAsia="Arial" w:hAnsi="Arial"/>
          <w:sz w:val="24"/>
          <w:szCs w:val="24"/>
        </w:rPr>
        <w:t xml:space="preserve">Cardiac toxicity predictions (arrhythmia risk category: high/medium/low for each ASO at therapeutic concentrations)</w:t>
      </w:r>
    </w:p>
    <w:p>
      <w:pPr>
        <w:pStyle w:val="ListParagraph"/>
        <w:numPr>
          <w:ilvl w:val="0"/>
          <w:numId w:val="2"/>
        </w:numPr>
        <w:spacing w:after="100" w:line="360"/>
      </w:pPr>
      <w:r>
        <w:rPr>
          <w:rFonts w:ascii="Arial" w:cs="Arial" w:eastAsia="Arial" w:hAnsi="Arial"/>
          <w:sz w:val="24"/>
          <w:szCs w:val="24"/>
        </w:rPr>
        <w:t xml:space="preserve">Nav1.7/Nav1.5 selectivity ranking (top 10 ASOs with highest selectivity scores)</w:t>
      </w:r>
    </w:p>
    <w:p>
      <w:pPr>
        <w:pStyle w:val="ListParagraph"/>
        <w:numPr>
          <w:ilvl w:val="0"/>
          <w:numId w:val="2"/>
        </w:numPr>
        <w:spacing w:after="100" w:line="360"/>
      </w:pPr>
      <w:r>
        <w:rPr>
          <w:rFonts w:ascii="Arial" w:cs="Arial" w:eastAsia="Arial" w:hAnsi="Arial"/>
          <w:sz w:val="24"/>
          <w:szCs w:val="24"/>
        </w:rPr>
        <w:t xml:space="preserve">Off-target cardiac transcript analysis (genes co-targeted with Nav1.5; arrhythmia risk factorization)</w:t>
      </w:r>
    </w:p>
    <w:p>
      <w:pPr>
        <w:pStyle w:val="ListParagraph"/>
        <w:numPr>
          <w:ilvl w:val="0"/>
          <w:numId w:val="2"/>
        </w:numPr>
        <w:spacing w:after="100" w:line="360"/>
      </w:pPr>
      <w:r>
        <w:rPr>
          <w:rFonts w:ascii="Arial" w:cs="Arial" w:eastAsia="Arial" w:hAnsi="Arial"/>
          <w:sz w:val="24"/>
          <w:szCs w:val="24"/>
        </w:rPr>
        <w:t xml:space="preserve">Chemical modification impact on selectivity (comparison of 2'MOE vs cEt variants; selectivity improvement fold-changes)</w:t>
      </w:r>
    </w:p>
    <w:p>
      <w:pPr>
        <w:pStyle w:val="ListParagraph"/>
        <w:numPr>
          <w:ilvl w:val="0"/>
          <w:numId w:val="2"/>
        </w:numPr>
        <w:spacing w:after="100" w:line="360"/>
      </w:pPr>
      <w:r>
        <w:rPr>
          <w:rFonts w:ascii="Arial" w:cs="Arial" w:eastAsia="Arial" w:hAnsi="Arial"/>
          <w:sz w:val="24"/>
          <w:szCs w:val="24"/>
        </w:rPr>
        <w:t xml:space="preserve">Filtered candidate list: top 8 ASOs with &lt;0.3 predicted arrhythmia risk and ≥3 mismatch selectivity threshold (ready for cardiac safety experiments)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Cardiac selectivity matrix (Excel; rows: ASO IDs | columns: SCN5A binding risk, mismatch count, arrhythmia risk category, selectivity score) with sequence alignment heat maps</w:t>
      </w:r>
    </w:p>
    <w:p>
      <w:pPr>
        <w:pStyle w:val="Heading2"/>
        <w:spacing w:after="200" w:before="200"/>
      </w:pPr>
      <w:r>
        <w:rPr>
          <w:rFonts w:ascii="Arial" w:cs="Arial" w:eastAsia="Arial" w:hAnsi="Arial"/>
          <w:b/>
          <w:bCs/>
          <w:sz w:val="28"/>
          <w:szCs w:val="28"/>
        </w:rPr>
        <w:t xml:space="preserve">Stage 4: Pain Phenotype Rescue Modeling &amp; Intrathecal Pharmacokinetics</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Model intrathecal ASO distribution to spinal cord and DRG, predict Nav1.7 knockdown kinetics, and simulate rescue of pain-related electrophysiology phenotypes (hyperexcitability, spontaneous firing, ectopic discharge).</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8 ASO candidates from Stage 3</w:t>
      </w:r>
    </w:p>
    <w:p>
      <w:pPr>
        <w:pStyle w:val="ListParagraph"/>
        <w:numPr>
          <w:ilvl w:val="0"/>
          <w:numId w:val="2"/>
        </w:numPr>
        <w:spacing w:after="100" w:line="360"/>
      </w:pPr>
      <w:r>
        <w:rPr>
          <w:rFonts w:ascii="Arial" w:cs="Arial" w:eastAsia="Arial" w:hAnsi="Arial"/>
          <w:sz w:val="24"/>
          <w:szCs w:val="24"/>
        </w:rPr>
        <w:t xml:space="preserve">Intrathecal delivery models: CSF flow kinetics, spinal cord permeability, DRG uptake pathways</w:t>
      </w:r>
    </w:p>
    <w:p>
      <w:pPr>
        <w:pStyle w:val="ListParagraph"/>
        <w:numPr>
          <w:ilvl w:val="0"/>
          <w:numId w:val="2"/>
        </w:numPr>
        <w:spacing w:after="100" w:line="360"/>
      </w:pPr>
      <w:r>
        <w:rPr>
          <w:rFonts w:ascii="Arial" w:cs="Arial" w:eastAsia="Arial" w:hAnsi="Arial"/>
          <w:sz w:val="24"/>
          <w:szCs w:val="24"/>
        </w:rPr>
        <w:t xml:space="preserve">Sapphire EP data: Nav1.7 perturbation dose-response curves in nociceptive neurons (500+ features; n=156 experiments)</w:t>
      </w:r>
    </w:p>
    <w:p>
      <w:pPr>
        <w:pStyle w:val="ListParagraph"/>
        <w:numPr>
          <w:ilvl w:val="0"/>
          <w:numId w:val="2"/>
        </w:numPr>
        <w:spacing w:after="100" w:line="360"/>
      </w:pPr>
      <w:r>
        <w:rPr>
          <w:rFonts w:ascii="Arial" w:cs="Arial" w:eastAsia="Arial" w:hAnsi="Arial"/>
          <w:sz w:val="24"/>
          <w:szCs w:val="24"/>
        </w:rPr>
        <w:t xml:space="preserve">Pain phenotypes: hyperexcitability index, spontaneous discharge rate, ectopic discharge probability, action potential kinetics</w:t>
      </w:r>
    </w:p>
    <w:p>
      <w:pPr>
        <w:pStyle w:val="ListParagraph"/>
        <w:numPr>
          <w:ilvl w:val="0"/>
          <w:numId w:val="2"/>
        </w:numPr>
        <w:spacing w:after="100" w:line="360"/>
      </w:pPr>
      <w:r>
        <w:rPr>
          <w:rFonts w:ascii="Arial" w:cs="Arial" w:eastAsia="Arial" w:hAnsi="Arial"/>
          <w:sz w:val="24"/>
          <w:szCs w:val="24"/>
        </w:rPr>
        <w:t xml:space="preserve">Pharmacokinetic equations: ASO distribution across CSF compartments, target tissue penetration, cellular uptake (macropinocytosis)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COMSOL Multiphysics (CSF flow simulation, ASO diffusion modeling, spinal cord penetration)</w:t>
      </w:r>
    </w:p>
    <w:p>
      <w:pPr>
        <w:pStyle w:val="ListParagraph"/>
        <w:numPr>
          <w:ilvl w:val="0"/>
          <w:numId w:val="2"/>
        </w:numPr>
        <w:spacing w:after="100" w:line="360"/>
      </w:pPr>
      <w:r>
        <w:rPr>
          <w:rFonts w:ascii="Arial" w:cs="Arial" w:eastAsia="Arial" w:hAnsi="Arial"/>
          <w:sz w:val="24"/>
          <w:szCs w:val="24"/>
        </w:rPr>
        <w:t xml:space="preserve">Custom PK/PD model (intrathecal ASO distribution; two-compartment model: CSF vs spinal cord/DRG)</w:t>
      </w:r>
    </w:p>
    <w:p>
      <w:pPr>
        <w:pStyle w:val="ListParagraph"/>
        <w:numPr>
          <w:ilvl w:val="0"/>
          <w:numId w:val="2"/>
        </w:numPr>
        <w:spacing w:after="100" w:line="360"/>
      </w:pPr>
      <w:r>
        <w:rPr>
          <w:rFonts w:ascii="Arial" w:cs="Arial" w:eastAsia="Arial" w:hAnsi="Arial"/>
          <w:sz w:val="24"/>
          <w:szCs w:val="24"/>
        </w:rPr>
        <w:t xml:space="preserve">Sapphire Pain Phenotype module (query Nav1.7 perturbation EP signatures; dose-response curves for 40+ nociceptor features)</w:t>
      </w:r>
    </w:p>
    <w:p>
      <w:pPr>
        <w:pStyle w:val="ListParagraph"/>
        <w:numPr>
          <w:ilvl w:val="0"/>
          <w:numId w:val="2"/>
        </w:numPr>
        <w:spacing w:after="100" w:line="360"/>
      </w:pPr>
      <w:r>
        <w:rPr>
          <w:rFonts w:ascii="Arial" w:cs="Arial" w:eastAsia="Arial" w:hAnsi="Arial"/>
          <w:sz w:val="24"/>
          <w:szCs w:val="24"/>
        </w:rPr>
        <w:t xml:space="preserve">Dose-response surface analysis (ASO concentration × time → pain phenotype space; efficacy plateau identification)</w:t>
      </w:r>
    </w:p>
    <w:p>
      <w:pPr>
        <w:pStyle w:val="ListParagraph"/>
        <w:numPr>
          <w:ilvl w:val="0"/>
          <w:numId w:val="2"/>
        </w:numPr>
        <w:spacing w:after="100" w:line="360"/>
      </w:pPr>
      <w:r>
        <w:rPr>
          <w:rFonts w:ascii="Arial" w:cs="Arial" w:eastAsia="Arial" w:hAnsi="Arial"/>
          <w:sz w:val="24"/>
          <w:szCs w:val="24"/>
        </w:rPr>
        <w:t xml:space="preserve">PharmaGx R package (dose-response curve fitting; IC50, Hill coefficient extraction)</w:t>
      </w:r>
    </w:p>
    <w:p>
      <w:pPr>
        <w:pStyle w:val="ListParagraph"/>
        <w:numPr>
          <w:ilvl w:val="0"/>
          <w:numId w:val="2"/>
        </w:numPr>
        <w:spacing w:after="100" w:line="360"/>
      </w:pPr>
      <w:r>
        <w:rPr>
          <w:rFonts w:ascii="Arial" w:cs="Arial" w:eastAsia="Arial" w:hAnsi="Arial"/>
          <w:sz w:val="24"/>
          <w:szCs w:val="24"/>
        </w:rPr>
        <w:t xml:space="preserve">Rescue validation tool (predict unmeasured pain phenotypes from Nav1.7 knockdown level using machine learning on Sapphire data)</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Model intrathecal ASO distribution: for a 10 μg lumbar injection, predict concentration-time profiles in cervical spinal cord, lumbar DRG, and plasma</w:t>
      </w:r>
    </w:p>
    <w:p>
      <w:pPr>
        <w:pStyle w:val="ListParagraph"/>
        <w:numPr>
          <w:ilvl w:val="0"/>
          <w:numId w:val="2"/>
        </w:numPr>
        <w:spacing w:after="100" w:line="360"/>
      </w:pPr>
      <w:r>
        <w:rPr>
          <w:rFonts w:ascii="Arial" w:cs="Arial" w:eastAsia="Arial" w:hAnsi="Arial"/>
          <w:sz w:val="24"/>
          <w:szCs w:val="24"/>
        </w:rPr>
        <w:t xml:space="preserve">At what spinal cord/DRG ASO concentration (nM or μM) is 50% Nav1.7 mRNA knockdown predicted? 75% knockdown?</w:t>
      </w:r>
    </w:p>
    <w:p>
      <w:pPr>
        <w:pStyle w:val="ListParagraph"/>
        <w:numPr>
          <w:ilvl w:val="0"/>
          <w:numId w:val="2"/>
        </w:numPr>
        <w:spacing w:after="100" w:line="360"/>
      </w:pPr>
      <w:r>
        <w:rPr>
          <w:rFonts w:ascii="Arial" w:cs="Arial" w:eastAsia="Arial" w:hAnsi="Arial"/>
          <w:sz w:val="24"/>
          <w:szCs w:val="24"/>
        </w:rPr>
        <w:t xml:space="preserve">Using Sapphire data, simulate pain phenotype rescue across a dose-response range: hyperexcitability suppression, spontaneous firing rate reduction, ectopic discharge elimination</w:t>
      </w:r>
    </w:p>
    <w:p>
      <w:pPr>
        <w:pStyle w:val="ListParagraph"/>
        <w:numPr>
          <w:ilvl w:val="0"/>
          <w:numId w:val="2"/>
        </w:numPr>
        <w:spacing w:after="100" w:line="360"/>
      </w:pPr>
      <w:r>
        <w:rPr>
          <w:rFonts w:ascii="Arial" w:cs="Arial" w:eastAsia="Arial" w:hAnsi="Arial"/>
          <w:sz w:val="24"/>
          <w:szCs w:val="24"/>
        </w:rPr>
        <w:t xml:space="preserve">Identify the therapeutic window: ASO concentration that maximizes pain phenotype rescue while avoiding hypoexcitability (loss of protective nociception)</w:t>
      </w:r>
    </w:p>
    <w:p>
      <w:pPr>
        <w:pStyle w:val="ListParagraph"/>
        <w:numPr>
          <w:ilvl w:val="0"/>
          <w:numId w:val="2"/>
        </w:numPr>
        <w:spacing w:after="100" w:line="360"/>
      </w:pPr>
      <w:r>
        <w:rPr>
          <w:rFonts w:ascii="Arial" w:cs="Arial" w:eastAsia="Arial" w:hAnsi="Arial"/>
          <w:sz w:val="24"/>
          <w:szCs w:val="24"/>
        </w:rPr>
        <w:t xml:space="preserve">Compare intrathecal delivery vs systemic ASO administration (e.g., IV): how does tissue-selective intrathecal targeting reduce cardiac Nav1.5 exposure?</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Intrathecal pharmacokinetic models (COMSOL CSF distribution profiles, spinal cord concentration-time curves, DRG cellular uptake kinetics)</w:t>
      </w:r>
    </w:p>
    <w:p>
      <w:pPr>
        <w:pStyle w:val="ListParagraph"/>
        <w:numPr>
          <w:ilvl w:val="0"/>
          <w:numId w:val="2"/>
        </w:numPr>
        <w:spacing w:after="100" w:line="360"/>
      </w:pPr>
      <w:r>
        <w:rPr>
          <w:rFonts w:ascii="Arial" w:cs="Arial" w:eastAsia="Arial" w:hAnsi="Arial"/>
          <w:sz w:val="24"/>
          <w:szCs w:val="24"/>
        </w:rPr>
        <w:t xml:space="preserve">Pain phenotype rescue curves for top 8 ASO candidates (Nav1.7 knockdown % vs 40+ Sapphire pain-related features; Z-score plots)</w:t>
      </w:r>
    </w:p>
    <w:p>
      <w:pPr>
        <w:pStyle w:val="ListParagraph"/>
        <w:numPr>
          <w:ilvl w:val="0"/>
          <w:numId w:val="2"/>
        </w:numPr>
        <w:spacing w:after="100" w:line="360"/>
      </w:pPr>
      <w:r>
        <w:rPr>
          <w:rFonts w:ascii="Arial" w:cs="Arial" w:eastAsia="Arial" w:hAnsi="Arial"/>
          <w:sz w:val="24"/>
          <w:szCs w:val="24"/>
        </w:rPr>
        <w:t xml:space="preserve">Efficacy thresholds: ASO concentration (nM/μM) needed for 50%, 75%, 90% pain phenotype rescue</w:t>
      </w:r>
    </w:p>
    <w:p>
      <w:pPr>
        <w:pStyle w:val="ListParagraph"/>
        <w:numPr>
          <w:ilvl w:val="0"/>
          <w:numId w:val="2"/>
        </w:numPr>
        <w:spacing w:after="100" w:line="360"/>
      </w:pPr>
      <w:r>
        <w:rPr>
          <w:rFonts w:ascii="Arial" w:cs="Arial" w:eastAsia="Arial" w:hAnsi="Arial"/>
          <w:sz w:val="24"/>
          <w:szCs w:val="24"/>
        </w:rPr>
        <w:t xml:space="preserve">Therapeutic index for intrathecal delivery: efficacy dose range vs predicted off-target toxicity margin</w:t>
      </w:r>
    </w:p>
    <w:p>
      <w:pPr>
        <w:pStyle w:val="ListParagraph"/>
        <w:numPr>
          <w:ilvl w:val="0"/>
          <w:numId w:val="2"/>
        </w:numPr>
        <w:spacing w:after="100" w:line="360"/>
      </w:pPr>
      <w:r>
        <w:rPr>
          <w:rFonts w:ascii="Arial" w:cs="Arial" w:eastAsia="Arial" w:hAnsi="Arial"/>
          <w:sz w:val="24"/>
          <w:szCs w:val="24"/>
        </w:rPr>
        <w:t xml:space="preserve">Dosing recommendations: intrathecal ASO dose, injection frequency, expected efficacy time-course and duration</w:t>
      </w:r>
    </w:p>
    <w:p>
      <w:pPr>
        <w:pStyle w:val="ListParagraph"/>
        <w:numPr>
          <w:ilvl w:val="0"/>
          <w:numId w:val="2"/>
        </w:numPr>
        <w:spacing w:after="100" w:line="360"/>
      </w:pPr>
      <w:r>
        <w:rPr>
          <w:rFonts w:ascii="Arial" w:cs="Arial" w:eastAsia="Arial" w:hAnsi="Arial"/>
          <w:sz w:val="24"/>
          <w:szCs w:val="24"/>
        </w:rPr>
        <w:t xml:space="preserve">Lead candidate selection: top 2-3 ASOs with optimal pain rescue profile and cardiac safety margin (intrathecal candidates for IND-enabling studies)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Publication-quality pharmacokinetic simulation plots (CSF distribution profiles, spinal cord concentration-time curves) with pain phenotype rescue dose-response surfaces and recommended dosing tables</w:t>
      </w:r>
    </w:p>
    <w:p>
      <w:pPr>
        <w:pStyle w:val="Heading2"/>
        <w:spacing w:after="200" w:before="200"/>
      </w:pPr>
      <w:r>
        <w:rPr>
          <w:rFonts w:ascii="Arial" w:cs="Arial" w:eastAsia="Arial" w:hAnsi="Arial"/>
          <w:b/>
          <w:bCs/>
          <w:sz w:val="28"/>
          <w:szCs w:val="28"/>
        </w:rPr>
        <w:t xml:space="preserve">Stage 5: Innate Immune Activation &amp; Neuroinflammation Safety Profile</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Assess innate immune activation risk (TLR3, TLR7/8, RIG-I) and predict neuroinflammation consequences in spinal cord/DRG for all ASO candidates, identifying neuroimmune safety liabilities.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8 ASO candidates from Stage 4</w:t>
      </w:r>
    </w:p>
    <w:p>
      <w:pPr>
        <w:pStyle w:val="ListParagraph"/>
        <w:numPr>
          <w:ilvl w:val="0"/>
          <w:numId w:val="2"/>
        </w:numPr>
        <w:spacing w:after="100" w:line="360"/>
      </w:pPr>
      <w:r>
        <w:rPr>
          <w:rFonts w:ascii="Arial" w:cs="Arial" w:eastAsia="Arial" w:hAnsi="Arial"/>
          <w:sz w:val="24"/>
          <w:szCs w:val="24"/>
        </w:rPr>
        <w:t xml:space="preserve">ASO sequence features predicting immune activation (GU-rich motifs, CpG content, palindromic sequences)</w:t>
      </w:r>
    </w:p>
    <w:p>
      <w:pPr>
        <w:pStyle w:val="ListParagraph"/>
        <w:numPr>
          <w:ilvl w:val="0"/>
          <w:numId w:val="2"/>
        </w:numPr>
        <w:spacing w:after="100" w:line="360"/>
      </w:pPr>
      <w:r>
        <w:rPr>
          <w:rFonts w:ascii="Arial" w:cs="Arial" w:eastAsia="Arial" w:hAnsi="Arial"/>
          <w:sz w:val="24"/>
          <w:szCs w:val="24"/>
        </w:rPr>
        <w:t xml:space="preserve">TLR3/7/8 and RIG-I recognition motif databases</w:t>
      </w:r>
    </w:p>
    <w:p>
      <w:pPr>
        <w:pStyle w:val="ListParagraph"/>
        <w:numPr>
          <w:ilvl w:val="0"/>
          <w:numId w:val="2"/>
        </w:numPr>
        <w:spacing w:after="100" w:line="360"/>
      </w:pPr>
      <w:r>
        <w:rPr>
          <w:rFonts w:ascii="Arial" w:cs="Arial" w:eastAsia="Arial" w:hAnsi="Arial"/>
          <w:sz w:val="24"/>
          <w:szCs w:val="24"/>
        </w:rPr>
        <w:t xml:space="preserve">Spinal cord microglia and DRG satellite cell activation signatures (transcriptomics)</w:t>
      </w:r>
    </w:p>
    <w:p>
      <w:pPr>
        <w:pStyle w:val="ListParagraph"/>
        <w:numPr>
          <w:ilvl w:val="0"/>
          <w:numId w:val="2"/>
        </w:numPr>
        <w:spacing w:after="100" w:line="360"/>
      </w:pPr>
      <w:r>
        <w:rPr>
          <w:rFonts w:ascii="Arial" w:cs="Arial" w:eastAsia="Arial" w:hAnsi="Arial"/>
          <w:sz w:val="24"/>
          <w:szCs w:val="24"/>
        </w:rPr>
        <w:t xml:space="preserve">Sapphire neuroimmune data: TLR activation and neuroinflammatory response signatures from ASO treatment studies</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Immuno-Seq motif scanner (TLR3, TLR7/8, RIG-I cryptic motif detection; sequence feature extraction)</w:t>
      </w:r>
    </w:p>
    <w:p>
      <w:pPr>
        <w:pStyle w:val="ListParagraph"/>
        <w:numPr>
          <w:ilvl w:val="0"/>
          <w:numId w:val="2"/>
        </w:numPr>
        <w:spacing w:after="100" w:line="360"/>
      </w:pPr>
      <w:r>
        <w:rPr>
          <w:rFonts w:ascii="Arial" w:cs="Arial" w:eastAsia="Arial" w:hAnsi="Arial"/>
          <w:sz w:val="24"/>
          <w:szCs w:val="24"/>
        </w:rPr>
        <w:t xml:space="preserve">Deep learning ToxNet immune module (predict TLR activation probability from ASO sequence)</w:t>
      </w:r>
    </w:p>
    <w:p>
      <w:pPr>
        <w:pStyle w:val="ListParagraph"/>
        <w:numPr>
          <w:ilvl w:val="0"/>
          <w:numId w:val="2"/>
        </w:numPr>
        <w:spacing w:after="100" w:line="360"/>
      </w:pPr>
      <w:r>
        <w:rPr>
          <w:rFonts w:ascii="Arial" w:cs="Arial" w:eastAsia="Arial" w:hAnsi="Arial"/>
          <w:sz w:val="24"/>
          <w:szCs w:val="24"/>
        </w:rPr>
        <w:t xml:space="preserve">GENIE immune activation model (integrate ASO features + chemical modifications to predict immune trigger strength)</w:t>
      </w:r>
    </w:p>
    <w:p>
      <w:pPr>
        <w:pStyle w:val="ListParagraph"/>
        <w:numPr>
          <w:ilvl w:val="0"/>
          <w:numId w:val="2"/>
        </w:numPr>
        <w:spacing w:after="100" w:line="360"/>
      </w:pPr>
      <w:r>
        <w:rPr>
          <w:rFonts w:ascii="Arial" w:cs="Arial" w:eastAsia="Arial" w:hAnsi="Arial"/>
          <w:sz w:val="24"/>
          <w:szCs w:val="24"/>
        </w:rPr>
        <w:t xml:space="preserve">Sapphire neuroimmune module (query spinal microglia activation and DRG satellite cell reactive transcriptomes)</w:t>
      </w:r>
    </w:p>
    <w:p>
      <w:pPr>
        <w:pStyle w:val="ListParagraph"/>
        <w:numPr>
          <w:ilvl w:val="0"/>
          <w:numId w:val="2"/>
        </w:numPr>
        <w:spacing w:after="100" w:line="360"/>
      </w:pPr>
      <w:r>
        <w:rPr>
          <w:rFonts w:ascii="Arial" w:cs="Arial" w:eastAsia="Arial" w:hAnsi="Arial"/>
          <w:sz w:val="24"/>
          <w:szCs w:val="24"/>
        </w:rPr>
        <w:t xml:space="preserve">Reactome pathway analysis (predicted immune cascade consequences: pro-inflammatory cytokine induction, glial activation)</w:t>
      </w:r>
    </w:p>
    <w:p>
      <w:pPr>
        <w:pStyle w:val="ListParagraph"/>
        <w:numPr>
          <w:ilvl w:val="0"/>
          <w:numId w:val="2"/>
        </w:numPr>
        <w:spacing w:after="100" w:line="360"/>
      </w:pPr>
      <w:r>
        <w:rPr>
          <w:rFonts w:ascii="Arial" w:cs="Arial" w:eastAsia="Arial" w:hAnsi="Arial"/>
          <w:sz w:val="24"/>
          <w:szCs w:val="24"/>
        </w:rPr>
        <w:t xml:space="preserve">Custom spinal cord neuroimmune model (simulate microglia/astrocyte activation → pain amplification feedback loop risk)</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Scan all 8 ASO candidates for TLR3, TLR7/8, and RIG-I activation motifs; identify problematic GU-rich or CpG-rich sequences</w:t>
      </w:r>
    </w:p>
    <w:p>
      <w:pPr>
        <w:pStyle w:val="ListParagraph"/>
        <w:numPr>
          <w:ilvl w:val="0"/>
          <w:numId w:val="2"/>
        </w:numPr>
        <w:spacing w:after="100" w:line="360"/>
      </w:pPr>
      <w:r>
        <w:rPr>
          <w:rFonts w:ascii="Arial" w:cs="Arial" w:eastAsia="Arial" w:hAnsi="Arial"/>
          <w:sz w:val="24"/>
          <w:szCs w:val="24"/>
        </w:rPr>
        <w:t xml:space="preserve">How do chemical modifications (2'MOE, cEt, PS backbone) affect immune motif detection and predicted TLR activation?</w:t>
      </w:r>
    </w:p>
    <w:p>
      <w:pPr>
        <w:pStyle w:val="ListParagraph"/>
        <w:numPr>
          <w:ilvl w:val="0"/>
          <w:numId w:val="2"/>
        </w:numPr>
        <w:spacing w:after="100" w:line="360"/>
      </w:pPr>
      <w:r>
        <w:rPr>
          <w:rFonts w:ascii="Arial" w:cs="Arial" w:eastAsia="Arial" w:hAnsi="Arial"/>
          <w:sz w:val="24"/>
          <w:szCs w:val="24"/>
        </w:rPr>
        <w:t xml:space="preserve">Using Sapphire data, predict microglia activation (IL-1β, TNF-α, IL-6 expression) and pain sensitization from intrathecal ASO administration</w:t>
      </w:r>
    </w:p>
    <w:p>
      <w:pPr>
        <w:pStyle w:val="ListParagraph"/>
        <w:numPr>
          <w:ilvl w:val="0"/>
          <w:numId w:val="2"/>
        </w:numPr>
        <w:spacing w:after="100" w:line="360"/>
      </w:pPr>
      <w:r>
        <w:rPr>
          <w:rFonts w:ascii="Arial" w:cs="Arial" w:eastAsia="Arial" w:hAnsi="Arial"/>
          <w:sz w:val="24"/>
          <w:szCs w:val="24"/>
        </w:rPr>
        <w:t xml:space="preserve">Assess DRG satellite cell activation: which ASO candidates risk triggering glial activation → increased pain sensitivity feedback?</w:t>
      </w:r>
    </w:p>
    <w:p>
      <w:pPr>
        <w:pStyle w:val="ListParagraph"/>
        <w:numPr>
          <w:ilvl w:val="0"/>
          <w:numId w:val="2"/>
        </w:numPr>
        <w:spacing w:after="100" w:line="360"/>
      </w:pPr>
      <w:r>
        <w:rPr>
          <w:rFonts w:ascii="Arial" w:cs="Arial" w:eastAsia="Arial" w:hAnsi="Arial"/>
          <w:sz w:val="24"/>
          <w:szCs w:val="24"/>
        </w:rPr>
        <w:t xml:space="preserve">Identify mitigation strategies: can addition of PSE (pseudouridine) or 2'F modifications reduce immune activation without compromising efficacy?</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Innate immune activation risk assessment (ASO ID | TLR3/7/8/RIG-I motif scores | immune trigger probability)</w:t>
      </w:r>
    </w:p>
    <w:p>
      <w:pPr>
        <w:pStyle w:val="ListParagraph"/>
        <w:numPr>
          <w:ilvl w:val="0"/>
          <w:numId w:val="2"/>
        </w:numPr>
        <w:spacing w:after="100" w:line="360"/>
      </w:pPr>
      <w:r>
        <w:rPr>
          <w:rFonts w:ascii="Arial" w:cs="Arial" w:eastAsia="Arial" w:hAnsi="Arial"/>
          <w:sz w:val="24"/>
          <w:szCs w:val="24"/>
        </w:rPr>
        <w:t xml:space="preserve">Chemical modification impact on neuroimmunity (comparison of TLR activation across different 2'MOE/cEt variants)</w:t>
      </w:r>
    </w:p>
    <w:p>
      <w:pPr>
        <w:pStyle w:val="ListParagraph"/>
        <w:numPr>
          <w:ilvl w:val="0"/>
          <w:numId w:val="2"/>
        </w:numPr>
        <w:spacing w:after="100" w:line="360"/>
      </w:pPr>
      <w:r>
        <w:rPr>
          <w:rFonts w:ascii="Arial" w:cs="Arial" w:eastAsia="Arial" w:hAnsi="Arial"/>
          <w:sz w:val="24"/>
          <w:szCs w:val="24"/>
        </w:rPr>
        <w:t xml:space="preserve">Spinal cord microglia activation predictions (pro-inflammatory cytokine induction potential; neuroinflammation severity index)</w:t>
      </w:r>
    </w:p>
    <w:p>
      <w:pPr>
        <w:pStyle w:val="ListParagraph"/>
        <w:numPr>
          <w:ilvl w:val="0"/>
          <w:numId w:val="2"/>
        </w:numPr>
        <w:spacing w:after="100" w:line="360"/>
      </w:pPr>
      <w:r>
        <w:rPr>
          <w:rFonts w:ascii="Arial" w:cs="Arial" w:eastAsia="Arial" w:hAnsi="Arial"/>
          <w:sz w:val="24"/>
          <w:szCs w:val="24"/>
        </w:rPr>
        <w:t xml:space="preserve">DRG satellite cell and glial reaction predictions (GFAP, Iba1 expression; glial scar formation risk)</w:t>
      </w:r>
    </w:p>
    <w:p>
      <w:pPr>
        <w:pStyle w:val="ListParagraph"/>
        <w:numPr>
          <w:ilvl w:val="0"/>
          <w:numId w:val="2"/>
        </w:numPr>
        <w:spacing w:after="100" w:line="360"/>
      </w:pPr>
      <w:r>
        <w:rPr>
          <w:rFonts w:ascii="Arial" w:cs="Arial" w:eastAsia="Arial" w:hAnsi="Arial"/>
          <w:sz w:val="24"/>
          <w:szCs w:val="24"/>
        </w:rPr>
        <w:t xml:space="preserve">Pain sensitization risk: probability of immune-mediated pain amplification from intrathecal ASO administration</w:t>
      </w:r>
    </w:p>
    <w:p>
      <w:pPr>
        <w:pStyle w:val="ListParagraph"/>
        <w:numPr>
          <w:ilvl w:val="0"/>
          <w:numId w:val="2"/>
        </w:numPr>
        <w:spacing w:after="100" w:line="360"/>
      </w:pPr>
      <w:r>
        <w:rPr>
          <w:rFonts w:ascii="Arial" w:cs="Arial" w:eastAsia="Arial" w:hAnsi="Arial"/>
          <w:sz w:val="24"/>
          <w:szCs w:val="24"/>
        </w:rPr>
        <w:t xml:space="preserve">Top 6-7 ASO candidates with low neuroimmune liability (immune score &lt;0.4; ready for in vivo intrathecal studies)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Neuroimmune safety report (PDF with TLR motif logo plots, immune activation heat maps, neuroimmunity risk gauge charts) plus ranked candidate safety profile comparison table</w:t>
      </w:r>
    </w:p>
    <w:p>
      <w:pPr>
        <w:pStyle w:val="Heading2"/>
        <w:spacing w:after="200" w:before="200"/>
      </w:pPr>
      <w:r>
        <w:rPr>
          <w:rFonts w:ascii="Arial" w:cs="Arial" w:eastAsia="Arial" w:hAnsi="Arial"/>
          <w:b/>
          <w:bCs/>
          <w:sz w:val="28"/>
          <w:szCs w:val="28"/>
        </w:rPr>
        <w:t xml:space="preserve">Stage 6: Integrated Pain Phenotype Rescue &amp; Lead Candidate Selection</w:t>
      </w:r>
    </w:p>
    <w:p>
      <w:pPr>
        <w:spacing w:after="200" w:line="360"/>
      </w:pPr>
      <w:r>
        <w:rPr>
          <w:rFonts w:ascii="Arial" w:cs="Arial" w:eastAsia="Arial" w:hAnsi="Arial"/>
          <w:b/>
          <w:bCs/>
          <w:sz w:val="24"/>
          <w:szCs w:val="24"/>
        </w:rPr>
        <w:t xml:space="preserve">Purpose: </w:t>
      </w:r>
      <w:r>
        <w:rPr>
          <w:rFonts w:ascii="Arial" w:cs="Arial" w:eastAsia="Arial" w:hAnsi="Arial"/>
          <w:sz w:val="24"/>
          <w:szCs w:val="24"/>
        </w:rPr>
        <w:t xml:space="preserve">Conduct comprehensive dose-response validation for final 6-7 ASO candidates, predicting full pain phenotype rescue profile (hyperexcitability suppression, spontaneous firing reduction, ectopic discharge elimination) and recommend top 2-3 lead candidates for IND-enabling studies.</w:t>
      </w:r>
    </w:p>
    <w:p>
      <w:pPr>
        <w:spacing w:after="100" w:line="360"/>
      </w:pPr>
      <w:r>
        <w:rPr>
          <w:rFonts w:ascii="Arial" w:cs="Arial" w:eastAsia="Arial" w:hAnsi="Arial"/>
          <w:b/>
          <w:bCs/>
          <w:sz w:val="24"/>
          <w:szCs w:val="24"/>
        </w:rPr>
        <w:t xml:space="preserve">Inputs:</w:t>
      </w:r>
    </w:p>
    <w:p>
      <w:pPr>
        <w:pStyle w:val="ListParagraph"/>
        <w:numPr>
          <w:ilvl w:val="0"/>
          <w:numId w:val="2"/>
        </w:numPr>
        <w:spacing w:after="100" w:line="360"/>
      </w:pPr>
      <w:r>
        <w:rPr>
          <w:rFonts w:ascii="Arial" w:cs="Arial" w:eastAsia="Arial" w:hAnsi="Arial"/>
          <w:sz w:val="24"/>
          <w:szCs w:val="24"/>
        </w:rPr>
        <w:t xml:space="preserve">Top 6-7 neuroimmune-validated ASO candidates from Stage 5</w:t>
      </w:r>
    </w:p>
    <w:p>
      <w:pPr>
        <w:pStyle w:val="ListParagraph"/>
        <w:numPr>
          <w:ilvl w:val="0"/>
          <w:numId w:val="2"/>
        </w:numPr>
        <w:spacing w:after="100" w:line="360"/>
      </w:pPr>
      <w:r>
        <w:rPr>
          <w:rFonts w:ascii="Arial" w:cs="Arial" w:eastAsia="Arial" w:hAnsi="Arial"/>
          <w:sz w:val="24"/>
          <w:szCs w:val="24"/>
        </w:rPr>
        <w:t xml:space="preserve">Sapphire EP atlas: comprehensive nociceptor phenotype database (500+ features; Nav1.7 perturbation dose-response curves, n=156 experiments)</w:t>
      </w:r>
    </w:p>
    <w:p>
      <w:pPr>
        <w:pStyle w:val="ListParagraph"/>
        <w:numPr>
          <w:ilvl w:val="0"/>
          <w:numId w:val="2"/>
        </w:numPr>
        <w:spacing w:after="100" w:line="360"/>
      </w:pPr>
      <w:r>
        <w:rPr>
          <w:rFonts w:ascii="Arial" w:cs="Arial" w:eastAsia="Arial" w:hAnsi="Arial"/>
          <w:sz w:val="24"/>
          <w:szCs w:val="24"/>
        </w:rPr>
        <w:t xml:space="preserve">Pain phenotypes of clinical interest: mechanical hyperalgesia (nociceptor firing thresholds), spontaneous pain (ectopic discharge), allodynia (A-fiber recruitment)</w:t>
      </w:r>
    </w:p>
    <w:p>
      <w:pPr>
        <w:pStyle w:val="ListParagraph"/>
        <w:numPr>
          <w:ilvl w:val="0"/>
          <w:numId w:val="2"/>
        </w:numPr>
        <w:spacing w:after="100" w:line="360"/>
      </w:pPr>
      <w:r>
        <w:rPr>
          <w:rFonts w:ascii="Arial" w:cs="Arial" w:eastAsia="Arial" w:hAnsi="Arial"/>
          <w:sz w:val="24"/>
          <w:szCs w:val="24"/>
        </w:rPr>
        <w:t xml:space="preserve">Intrathecal PK model: predicted spinal cord/DRG concentration profiles for recommended ASO doses</w:t>
      </w:r>
    </w:p>
    <w:p>
      <w:pPr>
        <w:pStyle w:val="ListParagraph"/>
        <w:numPr>
          <w:ilvl w:val="0"/>
          <w:numId w:val="2"/>
        </w:numPr>
        <w:spacing w:after="100" w:line="360"/>
      </w:pPr>
      <w:r>
        <w:rPr>
          <w:rFonts w:ascii="Arial" w:cs="Arial" w:eastAsia="Arial" w:hAnsi="Arial"/>
          <w:sz w:val="24"/>
          <w:szCs w:val="24"/>
        </w:rPr>
        <w:t xml:space="preserve">Duration requirements: therapeutic efficacy duration (target ≥4-12 weeks post-injection for chronic pain indication)</w:t>
      </w:r>
    </w:p>
    <w:p>
      <w:pPr>
        <w:spacing w:after="100" w:line="360"/>
      </w:pPr>
      <w:r>
        <w:rPr>
          <w:rFonts w:ascii="Arial" w:cs="Arial" w:eastAsia="Arial" w:hAnsi="Arial"/>
          <w:b/>
          <w:bCs/>
          <w:sz w:val="24"/>
          <w:szCs w:val="24"/>
        </w:rPr>
        <w:t xml:space="preserve">Tools &amp; Databases Called:</w:t>
      </w:r>
    </w:p>
    <w:p>
      <w:pPr>
        <w:pStyle w:val="ListParagraph"/>
        <w:numPr>
          <w:ilvl w:val="0"/>
          <w:numId w:val="2"/>
        </w:numPr>
        <w:spacing w:after="100" w:line="360"/>
      </w:pPr>
      <w:r>
        <w:rPr>
          <w:rFonts w:ascii="Arial" w:cs="Arial" w:eastAsia="Arial" w:hAnsi="Arial"/>
          <w:sz w:val="24"/>
          <w:szCs w:val="24"/>
        </w:rPr>
        <w:t xml:space="preserve">Sapphire Pain Phenotype Atlas (comprehensive query for Nav1.7 perturbation signatures across 40+ pain-related EP features)</w:t>
      </w:r>
    </w:p>
    <w:p>
      <w:pPr>
        <w:pStyle w:val="ListParagraph"/>
        <w:numPr>
          <w:ilvl w:val="0"/>
          <w:numId w:val="2"/>
        </w:numPr>
        <w:spacing w:after="100" w:line="360"/>
      </w:pPr>
      <w:r>
        <w:rPr>
          <w:rFonts w:ascii="Arial" w:cs="Arial" w:eastAsia="Arial" w:hAnsi="Arial"/>
          <w:sz w:val="24"/>
          <w:szCs w:val="24"/>
        </w:rPr>
        <w:t xml:space="preserve">Dose-response surface modeling (ASO concentration × Nav1.7 knockdown → pain phenotype landscape)</w:t>
      </w:r>
    </w:p>
    <w:p>
      <w:pPr>
        <w:pStyle w:val="ListParagraph"/>
        <w:numPr>
          <w:ilvl w:val="0"/>
          <w:numId w:val="2"/>
        </w:numPr>
        <w:spacing w:after="100" w:line="360"/>
      </w:pPr>
      <w:r>
        <w:rPr>
          <w:rFonts w:ascii="Arial" w:cs="Arial" w:eastAsia="Arial" w:hAnsi="Arial"/>
          <w:sz w:val="24"/>
          <w:szCs w:val="24"/>
        </w:rPr>
        <w:t xml:space="preserve">Machine learning prediction (Random Forest, XGBoost; predict unmeasured pain phenotypes from measured nociceptor features + Nav1.7 knockdown)</w:t>
      </w:r>
    </w:p>
    <w:p>
      <w:pPr>
        <w:pStyle w:val="ListParagraph"/>
        <w:numPr>
          <w:ilvl w:val="0"/>
          <w:numId w:val="2"/>
        </w:numPr>
        <w:spacing w:after="100" w:line="360"/>
      </w:pPr>
      <w:r>
        <w:rPr>
          <w:rFonts w:ascii="Arial" w:cs="Arial" w:eastAsia="Arial" w:hAnsi="Arial"/>
          <w:sz w:val="24"/>
          <w:szCs w:val="24"/>
        </w:rPr>
        <w:t xml:space="preserve">PharmaGx dose-response fitting (extract EC50, Emax, Hill coefficient for pain phenotype rescue)</w:t>
      </w:r>
    </w:p>
    <w:p>
      <w:pPr>
        <w:pStyle w:val="ListParagraph"/>
        <w:numPr>
          <w:ilvl w:val="0"/>
          <w:numId w:val="2"/>
        </w:numPr>
        <w:spacing w:after="100" w:line="360"/>
      </w:pPr>
      <w:r>
        <w:rPr>
          <w:rFonts w:ascii="Arial" w:cs="Arial" w:eastAsia="Arial" w:hAnsi="Arial"/>
          <w:sz w:val="24"/>
          <w:szCs w:val="24"/>
        </w:rPr>
        <w:t xml:space="preserve">PK/PD integration (predict ASO concentration-time profile × pain phenotype rescue kinetics over 12 weeks)</w:t>
      </w:r>
    </w:p>
    <w:p>
      <w:pPr>
        <w:pStyle w:val="ListParagraph"/>
        <w:numPr>
          <w:ilvl w:val="0"/>
          <w:numId w:val="2"/>
        </w:numPr>
        <w:spacing w:after="100" w:line="360"/>
      </w:pPr>
      <w:r>
        <w:rPr>
          <w:rFonts w:ascii="Arial" w:cs="Arial" w:eastAsia="Arial" w:hAnsi="Arial"/>
          <w:sz w:val="24"/>
          <w:szCs w:val="24"/>
        </w:rPr>
        <w:t xml:space="preserve">Lead optimization tool (rank candidates by efficacy/safety/duration composite score; select top 2-3 for IND package)</w:t>
      </w:r>
    </w:p>
    <w:p>
      <w:pPr>
        <w:spacing w:after="100" w:line="360"/>
      </w:pPr>
      <w:r>
        <w:rPr>
          <w:rFonts w:ascii="Arial" w:cs="Arial" w:eastAsia="Arial" w:hAnsi="Arial"/>
          <w:b/>
          <w:bCs/>
          <w:sz w:val="24"/>
          <w:szCs w:val="24"/>
        </w:rPr>
        <w:t xml:space="preserve">Exemplary Sub-Prompts:</w:t>
      </w:r>
    </w:p>
    <w:p>
      <w:pPr>
        <w:pStyle w:val="ListParagraph"/>
        <w:numPr>
          <w:ilvl w:val="0"/>
          <w:numId w:val="2"/>
        </w:numPr>
        <w:spacing w:after="100" w:line="360"/>
      </w:pPr>
      <w:r>
        <w:rPr>
          <w:rFonts w:ascii="Arial" w:cs="Arial" w:eastAsia="Arial" w:hAnsi="Arial"/>
          <w:sz w:val="24"/>
          <w:szCs w:val="24"/>
        </w:rPr>
        <w:t xml:space="preserve">For each top 6 ASO candidate, retrieve and overlay Sapphire Nav1.7 perturbation dose-response curves for 40+ nociceptor features</w:t>
      </w:r>
    </w:p>
    <w:p>
      <w:pPr>
        <w:pStyle w:val="ListParagraph"/>
        <w:numPr>
          <w:ilvl w:val="0"/>
          <w:numId w:val="2"/>
        </w:numPr>
        <w:spacing w:after="100" w:line="360"/>
      </w:pPr>
      <w:r>
        <w:rPr>
          <w:rFonts w:ascii="Arial" w:cs="Arial" w:eastAsia="Arial" w:hAnsi="Arial"/>
          <w:sz w:val="24"/>
          <w:szCs w:val="24"/>
        </w:rPr>
        <w:t xml:space="preserve">What ASO concentration range (nM or μM) achieves 50-70% Nav1.7 knockdown and maximal pain phenotype rescue with minimal adverse effects?</w:t>
      </w:r>
    </w:p>
    <w:p>
      <w:pPr>
        <w:pStyle w:val="ListParagraph"/>
        <w:numPr>
          <w:ilvl w:val="0"/>
          <w:numId w:val="2"/>
        </w:numPr>
        <w:spacing w:after="100" w:line="360"/>
      </w:pPr>
      <w:r>
        <w:rPr>
          <w:rFonts w:ascii="Arial" w:cs="Arial" w:eastAsia="Arial" w:hAnsi="Arial"/>
          <w:sz w:val="24"/>
          <w:szCs w:val="24"/>
        </w:rPr>
        <w:t xml:space="preserve">Predict pain phenotype rescue time-course: intrathecal injection → peak efficacy (timeline), duration of efficacy (weeks), washout kinetics</w:t>
      </w:r>
    </w:p>
    <w:p>
      <w:pPr>
        <w:pStyle w:val="ListParagraph"/>
        <w:numPr>
          <w:ilvl w:val="0"/>
          <w:numId w:val="2"/>
        </w:numPr>
        <w:spacing w:after="100" w:line="360"/>
      </w:pPr>
      <w:r>
        <w:rPr>
          <w:rFonts w:ascii="Arial" w:cs="Arial" w:eastAsia="Arial" w:hAnsi="Arial"/>
          <w:sz w:val="24"/>
          <w:szCs w:val="24"/>
        </w:rPr>
        <w:t xml:space="preserve">For each lead candidate, identify the primary pain phenotypes rescued (mechanical hyperalgesia threshold, spontaneous firing rate, ectopic discharge probability) and secondary effects</w:t>
      </w:r>
    </w:p>
    <w:p>
      <w:pPr>
        <w:pStyle w:val="ListParagraph"/>
        <w:numPr>
          <w:ilvl w:val="0"/>
          <w:numId w:val="2"/>
        </w:numPr>
        <w:spacing w:after="100" w:line="360"/>
      </w:pPr>
      <w:r>
        <w:rPr>
          <w:rFonts w:ascii="Arial" w:cs="Arial" w:eastAsia="Arial" w:hAnsi="Arial"/>
          <w:sz w:val="24"/>
          <w:szCs w:val="24"/>
        </w:rPr>
        <w:t xml:space="preserve">Composite ranking: integrate efficacy (pain phenotype rescue), safety (cardiac Nav1.5 selectivity, neuroimmunity), duration, and manufacturability to nominate top 2 lead candidates</w:t>
      </w:r>
    </w:p>
    <w:p>
      <w:pPr>
        <w:spacing w:after="100" w:line="360"/>
      </w:pPr>
      <w:r>
        <w:rPr>
          <w:rFonts w:ascii="Arial" w:cs="Arial" w:eastAsia="Arial" w:hAnsi="Arial"/>
          <w:b/>
          <w:bCs/>
          <w:sz w:val="24"/>
          <w:szCs w:val="24"/>
        </w:rPr>
        <w:t xml:space="preserve">Expected Outputs:</w:t>
      </w:r>
    </w:p>
    <w:p>
      <w:pPr>
        <w:pStyle w:val="ListParagraph"/>
        <w:numPr>
          <w:ilvl w:val="0"/>
          <w:numId w:val="2"/>
        </w:numPr>
        <w:spacing w:after="100" w:line="360"/>
      </w:pPr>
      <w:r>
        <w:rPr>
          <w:rFonts w:ascii="Arial" w:cs="Arial" w:eastAsia="Arial" w:hAnsi="Arial"/>
          <w:sz w:val="24"/>
          <w:szCs w:val="24"/>
        </w:rPr>
        <w:t xml:space="preserve">Comprehensive pain phenotype rescue profiles for all 6-7 candidates (40+ EP features; Sapphire data overlay with predictions)</w:t>
      </w:r>
    </w:p>
    <w:p>
      <w:pPr>
        <w:pStyle w:val="ListParagraph"/>
        <w:numPr>
          <w:ilvl w:val="0"/>
          <w:numId w:val="2"/>
        </w:numPr>
        <w:spacing w:after="100" w:line="360"/>
      </w:pPr>
      <w:r>
        <w:rPr>
          <w:rFonts w:ascii="Arial" w:cs="Arial" w:eastAsia="Arial" w:hAnsi="Arial"/>
          <w:sz w:val="24"/>
          <w:szCs w:val="24"/>
        </w:rPr>
        <w:t xml:space="preserve">Dose-response curves: intrathecal ASO dose → Nav1.7 knockdown → pain phenotype rescue (efficacy plateau, window of optimal dosing)</w:t>
      </w:r>
    </w:p>
    <w:p>
      <w:pPr>
        <w:pStyle w:val="ListParagraph"/>
        <w:numPr>
          <w:ilvl w:val="0"/>
          <w:numId w:val="2"/>
        </w:numPr>
        <w:spacing w:after="100" w:line="360"/>
      </w:pPr>
      <w:r>
        <w:rPr>
          <w:rFonts w:ascii="Arial" w:cs="Arial" w:eastAsia="Arial" w:hAnsi="Arial"/>
          <w:sz w:val="24"/>
          <w:szCs w:val="24"/>
        </w:rPr>
        <w:t xml:space="preserve">Intrathecal PK/PD integration: predicted time-course of pain relief (hours/days to peak, duration, reversibility)</w:t>
      </w:r>
    </w:p>
    <w:p>
      <w:pPr>
        <w:pStyle w:val="ListParagraph"/>
        <w:numPr>
          <w:ilvl w:val="0"/>
          <w:numId w:val="2"/>
        </w:numPr>
        <w:spacing w:after="100" w:line="360"/>
      </w:pPr>
      <w:r>
        <w:rPr>
          <w:rFonts w:ascii="Arial" w:cs="Arial" w:eastAsia="Arial" w:hAnsi="Arial"/>
          <w:sz w:val="24"/>
          <w:szCs w:val="24"/>
        </w:rPr>
        <w:t xml:space="preserve">Safety/efficacy composite scoring: cardiac risk, neuroimmune liability, efficacy duration, manufacturability for each candidate</w:t>
      </w:r>
    </w:p>
    <w:p>
      <w:pPr>
        <w:pStyle w:val="ListParagraph"/>
        <w:numPr>
          <w:ilvl w:val="0"/>
          <w:numId w:val="2"/>
        </w:numPr>
        <w:spacing w:after="100" w:line="360"/>
      </w:pPr>
      <w:r>
        <w:rPr>
          <w:rFonts w:ascii="Arial" w:cs="Arial" w:eastAsia="Arial" w:hAnsi="Arial"/>
          <w:sz w:val="24"/>
          <w:szCs w:val="24"/>
        </w:rPr>
        <w:t xml:space="preserve">Top 2 lead ASO candidates with detailed specifications: sequence, chemistry, recommended intrathecal dose, expected pain phenotype rescue, duration, key safety margins</w:t>
      </w:r>
    </w:p>
    <w:p>
      <w:pPr>
        <w:pStyle w:val="ListParagraph"/>
        <w:numPr>
          <w:ilvl w:val="0"/>
          <w:numId w:val="2"/>
        </w:numPr>
        <w:spacing w:after="100" w:line="360"/>
      </w:pPr>
      <w:r>
        <w:rPr>
          <w:rFonts w:ascii="Arial" w:cs="Arial" w:eastAsia="Arial" w:hAnsi="Arial"/>
          <w:sz w:val="24"/>
          <w:szCs w:val="24"/>
        </w:rPr>
        <w:t xml:space="preserve">IND-enabling study recommendations: in vitro selectivity assays, cardiac telemetry safety, nociceptor patch-clamp EP validation, intrathecal PK/PD rat studies</w:t>
      </w:r>
    </w:p>
    <w:p>
      <w:pPr>
        <w:spacing w:after="200" w:line="360"/>
      </w:pPr>
      <w:r>
        <w:rPr>
          <w:rFonts w:ascii="Arial" w:cs="Arial" w:eastAsia="Arial" w:hAnsi="Arial"/>
          <w:b/>
          <w:bCs/>
          <w:sz w:val="24"/>
          <w:szCs w:val="24"/>
        </w:rPr>
        <w:t xml:space="preserve">Format: </w:t>
      </w:r>
      <w:r>
        <w:rPr>
          <w:rFonts w:ascii="Arial" w:cs="Arial" w:eastAsia="Arial" w:hAnsi="Arial"/>
          <w:sz w:val="24"/>
          <w:szCs w:val="24"/>
        </w:rPr>
        <w:t xml:space="preserve">Lead candidate nomination report (PDF with pain phenotype rescue tables, Sapphire data overlays, PK/PD integration plots, composite scoring matrix) plus detailed 5-year development strategy for clinical translation</w:t>
      </w:r>
    </w:p>
    <w:p>
      <w:pPr>
        <w:pStyle w:val="Heading2"/>
        <w:spacing w:after="200" w:before="200"/>
      </w:pPr>
      <w:r>
        <w:rPr>
          <w:rFonts w:ascii="Arial" w:cs="Arial" w:eastAsia="Arial" w:hAnsi="Arial"/>
          <w:b/>
          <w:bCs/>
          <w:sz w:val="28"/>
          <w:szCs w:val="28"/>
        </w:rPr>
        <w:t xml:space="preserve">Comprehensive Tools &amp; Databases Summary</w:t>
      </w:r>
    </w:p>
    <w:p>
      <w:pPr>
        <w:pStyle w:val="ListParagraph"/>
        <w:numPr>
          <w:ilvl w:val="0"/>
          <w:numId w:val="2"/>
        </w:numPr>
        <w:spacing w:after="100" w:line="360"/>
      </w:pPr>
      <w:r>
        <w:rPr>
          <w:rFonts w:ascii="Arial" w:cs="Arial" w:eastAsia="Arial" w:hAnsi="Arial"/>
          <w:sz w:val="24"/>
          <w:szCs w:val="24"/>
        </w:rPr>
        <w:t xml:space="preserve">UCSC Genome Browser (genomic annotation, conservation, structure visualization)</w:t>
      </w:r>
    </w:p>
    <w:p>
      <w:pPr>
        <w:pStyle w:val="ListParagraph"/>
        <w:numPr>
          <w:ilvl w:val="0"/>
          <w:numId w:val="2"/>
        </w:numPr>
        <w:spacing w:after="100" w:line="360"/>
      </w:pPr>
      <w:r>
        <w:rPr>
          <w:rFonts w:ascii="Arial" w:cs="Arial" w:eastAsia="Arial" w:hAnsi="Arial"/>
          <w:sz w:val="24"/>
          <w:szCs w:val="24"/>
        </w:rPr>
        <w:t xml:space="preserve">Ensembl REST API &amp; Gene Annotation (transcript isoforms, regulatory elements, variant impact)</w:t>
      </w:r>
    </w:p>
    <w:p>
      <w:pPr>
        <w:pStyle w:val="ListParagraph"/>
        <w:numPr>
          <w:ilvl w:val="0"/>
          <w:numId w:val="2"/>
        </w:numPr>
        <w:spacing w:after="100" w:line="360"/>
      </w:pPr>
      <w:r>
        <w:rPr>
          <w:rFonts w:ascii="Arial" w:cs="Arial" w:eastAsia="Arial" w:hAnsi="Arial"/>
          <w:sz w:val="24"/>
          <w:szCs w:val="24"/>
        </w:rPr>
        <w:t xml:space="preserve">RefSeq Database (gene sequences, transcript structures, transcript-specific properties)</w:t>
      </w:r>
    </w:p>
    <w:p>
      <w:pPr>
        <w:pStyle w:val="ListParagraph"/>
        <w:numPr>
          <w:ilvl w:val="0"/>
          <w:numId w:val="2"/>
        </w:numPr>
        <w:spacing w:after="100" w:line="360"/>
      </w:pPr>
      <w:r>
        <w:rPr>
          <w:rFonts w:ascii="Arial" w:cs="Arial" w:eastAsia="Arial" w:hAnsi="Arial"/>
          <w:sz w:val="24"/>
          <w:szCs w:val="24"/>
        </w:rPr>
        <w:t xml:space="preserve">ClinVar &amp; HGMD (clinical variant interpretation, pathogenicity assessment, functional annotation)</w:t>
      </w:r>
    </w:p>
    <w:p>
      <w:pPr>
        <w:pStyle w:val="ListParagraph"/>
        <w:numPr>
          <w:ilvl w:val="0"/>
          <w:numId w:val="2"/>
        </w:numPr>
        <w:spacing w:after="100" w:line="360"/>
      </w:pPr>
      <w:r>
        <w:rPr>
          <w:rFonts w:ascii="Arial" w:cs="Arial" w:eastAsia="Arial" w:hAnsi="Arial"/>
          <w:sz w:val="24"/>
          <w:szCs w:val="24"/>
        </w:rPr>
        <w:t xml:space="preserve">BLAST &amp; RNAhybrid (sequence similarity searching, off-target prediction, thermodynamic binding)</w:t>
      </w:r>
    </w:p>
    <w:p>
      <w:pPr>
        <w:pStyle w:val="ListParagraph"/>
        <w:numPr>
          <w:ilvl w:val="0"/>
          <w:numId w:val="2"/>
        </w:numPr>
        <w:spacing w:after="100" w:line="360"/>
      </w:pPr>
      <w:r>
        <w:rPr>
          <w:rFonts w:ascii="Arial" w:cs="Arial" w:eastAsia="Arial" w:hAnsi="Arial"/>
          <w:sz w:val="24"/>
          <w:szCs w:val="24"/>
        </w:rPr>
        <w:t xml:space="preserve">OligoCalc &amp; mfold/RNAfold (ASO Tm calculation, secondary structure prediction, duplex thermodynamics)</w:t>
      </w:r>
    </w:p>
    <w:p>
      <w:pPr>
        <w:pStyle w:val="ListParagraph"/>
        <w:numPr>
          <w:ilvl w:val="0"/>
          <w:numId w:val="2"/>
        </w:numPr>
        <w:spacing w:after="100" w:line="360"/>
      </w:pPr>
      <w:r>
        <w:rPr>
          <w:rFonts w:ascii="Arial" w:cs="Arial" w:eastAsia="Arial" w:hAnsi="Arial"/>
          <w:sz w:val="24"/>
          <w:szCs w:val="24"/>
        </w:rPr>
        <w:t xml:space="preserve">GENEIOUS Pro (sequence design, alignment, off-target screening, visualization)</w:t>
      </w:r>
    </w:p>
    <w:p>
      <w:pPr>
        <w:pStyle w:val="ListParagraph"/>
        <w:numPr>
          <w:ilvl w:val="0"/>
          <w:numId w:val="2"/>
        </w:numPr>
        <w:spacing w:after="100" w:line="360"/>
      </w:pPr>
      <w:r>
        <w:rPr>
          <w:rFonts w:ascii="Arial" w:cs="Arial" w:eastAsia="Arial" w:hAnsi="Arial"/>
          <w:sz w:val="24"/>
          <w:szCs w:val="24"/>
        </w:rPr>
        <w:t xml:space="preserve">Beacon Designer &amp; ChemGPS-NP (ASO design optimization, chemical modification selection, ADMET prediction)</w:t>
      </w:r>
    </w:p>
    <w:p>
      <w:pPr>
        <w:pStyle w:val="ListParagraph"/>
        <w:numPr>
          <w:ilvl w:val="0"/>
          <w:numId w:val="2"/>
        </w:numPr>
        <w:spacing w:after="100" w:line="360"/>
      </w:pPr>
      <w:r>
        <w:rPr>
          <w:rFonts w:ascii="Arial" w:cs="Arial" w:eastAsia="Arial" w:hAnsi="Arial"/>
          <w:sz w:val="24"/>
          <w:szCs w:val="24"/>
        </w:rPr>
        <w:t xml:space="preserve">AlphaFold2 &amp; FoldX (protein structure prediction, thermodynamic stability, domain folding assessment)</w:t>
      </w:r>
    </w:p>
    <w:p>
      <w:pPr>
        <w:pStyle w:val="ListParagraph"/>
        <w:numPr>
          <w:ilvl w:val="0"/>
          <w:numId w:val="2"/>
        </w:numPr>
        <w:spacing w:after="100" w:line="360"/>
      </w:pPr>
      <w:r>
        <w:rPr>
          <w:rFonts w:ascii="Arial" w:cs="Arial" w:eastAsia="Arial" w:hAnsi="Arial"/>
          <w:sz w:val="24"/>
          <w:szCs w:val="24"/>
        </w:rPr>
        <w:t xml:space="preserve">Reactome &amp; KEGG (pathway annotation, mechanistic understanding, cascade modeling)</w:t>
      </w:r>
    </w:p>
    <w:p>
      <w:pPr>
        <w:pStyle w:val="ListParagraph"/>
        <w:numPr>
          <w:ilvl w:val="0"/>
          <w:numId w:val="2"/>
        </w:numPr>
        <w:spacing w:after="100" w:line="360"/>
      </w:pPr>
      <w:r>
        <w:rPr>
          <w:rFonts w:ascii="Arial" w:cs="Arial" w:eastAsia="Arial" w:hAnsi="Arial"/>
          <w:sz w:val="24"/>
          <w:szCs w:val="24"/>
        </w:rPr>
        <w:t xml:space="preserve">Deep Learning Models (ToxNet, selectivity predictors, phenotype rescuers; ML-based predictions)</w:t>
      </w:r>
    </w:p>
    <w:p>
      <w:pPr>
        <w:pStyle w:val="ListParagraph"/>
        <w:numPr>
          <w:ilvl w:val="0"/>
          <w:numId w:val="2"/>
        </w:numPr>
        <w:spacing w:after="100" w:line="360"/>
      </w:pPr>
      <w:r>
        <w:rPr>
          <w:rFonts w:ascii="Arial" w:cs="Arial" w:eastAsia="Arial" w:hAnsi="Arial"/>
          <w:sz w:val="24"/>
          <w:szCs w:val="24"/>
        </w:rPr>
        <w:t xml:space="preserve">Systems Biology Toolbox (ODE modeling, pathway dynamics simulation, dose-response fitting)</w:t>
      </w:r>
    </w:p>
    <w:p>
      <w:pPr>
        <w:pStyle w:val="ListParagraph"/>
        <w:numPr>
          <w:ilvl w:val="0"/>
          <w:numId w:val="2"/>
        </w:numPr>
        <w:spacing w:after="100" w:line="360"/>
      </w:pPr>
      <w:r>
        <w:rPr>
          <w:rFonts w:ascii="Arial" w:cs="Arial" w:eastAsia="Arial" w:hAnsi="Arial"/>
          <w:sz w:val="24"/>
          <w:szCs w:val="24"/>
        </w:rPr>
        <w:t xml:space="preserve">SpliceAI &amp; RNA structure tools (splicing prediction, exon-skipping modeling, splicing optimization)</w:t>
      </w:r>
    </w:p>
    <w:p>
      <w:pPr>
        <w:pStyle w:val="ListParagraph"/>
        <w:numPr>
          <w:ilvl w:val="0"/>
          <w:numId w:val="2"/>
        </w:numPr>
        <w:spacing w:after="100" w:line="360"/>
      </w:pPr>
      <w:r>
        <w:rPr>
          <w:rFonts w:ascii="Arial" w:cs="Arial" w:eastAsia="Arial" w:hAnsi="Arial"/>
          <w:sz w:val="24"/>
          <w:szCs w:val="24"/>
        </w:rPr>
        <w:t xml:space="preserve">Sapphire Integrated Modules (EP phenotyping, transcript/dose-response database, safety validation)</w:t>
      </w:r>
    </w:p>
    <w:p>
      <w:pPr>
        <w:pStyle w:val="ListParagraph"/>
        <w:numPr>
          <w:ilvl w:val="0"/>
          <w:numId w:val="2"/>
        </w:numPr>
        <w:spacing w:after="100" w:line="360"/>
      </w:pPr>
      <w:r>
        <w:rPr>
          <w:rFonts w:ascii="Arial" w:cs="Arial" w:eastAsia="Arial" w:hAnsi="Arial"/>
          <w:sz w:val="24"/>
          <w:szCs w:val="24"/>
        </w:rPr>
        <w:t xml:space="preserve">GEO/ArrayExpress (transcriptomic datasets, expression patterns, disease signatures)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2026-03-04T17:44:07.386Z</dcterms:created>
  <dcterms:modified xsi:type="dcterms:W3CDTF">2026-03-04T17:44:07.386Z</dcterms:modified>
</cp:coreProperties>
</file>

<file path=docProps/custom.xml><?xml version="1.0" encoding="utf-8"?>
<Properties xmlns="http://schemas.openxmlformats.org/officeDocument/2006/custom-properties" xmlns:vt="http://schemas.openxmlformats.org/officeDocument/2006/docPropsVTypes"/>
</file>