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GRIN2B SNP-Discriminating ASO Design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antisense oligonucleotides targeting GRIN2B gain-of-function variants using SNP-discriminating chemistry.</w:t>
      </w:r>
    </w:p>
    <w:p>
      <w:pPr>
        <w:spacing w:after="200" w:line="360"/>
      </w:pPr>
      <w:r>
        <w:rPr>
          <w:rFonts w:ascii="Arial" w:cs="Arial" w:eastAsia="Arial" w:hAnsi="Arial"/>
          <w:sz w:val="24"/>
          <w:szCs w:val="24"/>
        </w:rPr>
        <w:t xml:space="preserve">This pipeline generates allele-selective antisense oligonucleotides (ASOs) targeting specific GRIN2B (GluN2B NMDA receptor subunit) gain-of-function variants identified in developmental and epilepsy disorders. The challenge is achieving single-nucleotide discrimination—ASOs that selectively knock down pathogenic GRIN2B variants while preserving wild-type GRIN2B alleles critical for synaptic plasticity and normal glutamatergic signaling. This requires optimization of thermal stability (Tm), mismatch discrimination (ΔΔTm), and chemical modification to ensure on-target specificity.</w:t>
      </w:r>
    </w:p>
    <w:p>
      <w:pPr>
        <w:spacing w:after="200" w:line="360"/>
      </w:pPr>
      <w:r>
        <w:rPr>
          <w:rFonts w:ascii="Arial" w:cs="Arial" w:eastAsia="Arial" w:hAnsi="Arial"/>
          <w:sz w:val="24"/>
          <w:szCs w:val="24"/>
        </w:rPr>
        <w:t xml:space="preserve">GRIN2B gain-of-function variants cause excessive NMDA receptor activation, leading to calcium overload, excitotoxic neurodegeneration, and seizure susceptibility. Using Sapphire's extensive NMDA receptor perturbation data (500+ electrophysiology features), this pipeline identifies allele-selective ASO sequences, models how variant-specific knockdown reverses gain-of-function phenotypes (increased calcium influx, prolonged channel openings, seizure-like activity), and predicts the window of therapeutic GluN2B reduction needed to rescue excitotoxicity while preserving normal synaptic function.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integrates sequence-level design with comprehensive phenotypic modeling to identify optimal ASO candidates. Each stage builds on prior results, progressively filtering candidates through increasingly stringent selectivity, efficacy, and safety criteria. The modular architecture allows for iterative refinement and incorporation of new experimental data at each validation stage.</w:t>
      </w:r>
    </w:p>
    <w:p>
      <w:pPr>
        <w:spacing w:after="200" w:line="360"/>
      </w:pPr>
      <w:r>
        <w:rPr>
          <w:rFonts w:ascii="Arial" w:cs="Arial" w:eastAsia="Arial" w:hAnsi="Arial"/>
          <w:sz w:val="24"/>
          <w:szCs w:val="24"/>
        </w:rPr>
        <w:t xml:space="preserve">The Sapphire platform's ~500 electrophysiology features, ~18,000 gene perturbation experiments, and ~3,500 compound perturbation records provide detailed phenotypic ground truth for predicting how ASO-induced transcript knockdown translates to cellular and circuit-level effects. Integration of transcriptomic safety models, computational structure prediction, and mechanistic pathway simulations enables rational design of highly selective, efficacious, and safe ASO therapeutics.</w:t>
      </w:r>
    </w:p>
    <w:p>
      <w:pPr>
        <w:pStyle w:val="Heading2"/>
        <w:spacing w:after="200" w:before="200"/>
      </w:pPr>
      <w:r>
        <w:rPr>
          <w:rFonts w:ascii="Arial" w:cs="Arial" w:eastAsia="Arial" w:hAnsi="Arial"/>
          <w:b/>
          <w:bCs/>
          <w:sz w:val="28"/>
          <w:szCs w:val="28"/>
        </w:rPr>
        <w:t xml:space="preserve">Stage 1: GRIN2B Variant Characterization &amp; SNP-Selective Target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GRIN2B gain-of-function variants (SNPs) causing developmental/epilepsy disorders, characterize their functional effects, and select optimal variant-specific ASO targets that maximize thermal selectivity while avoiding wild-type GRIN2B disruption.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GRIN2B coding sequence (RefSeq, Ensembl; all exons, regulatory regions)</w:t>
      </w:r>
    </w:p>
    <w:p>
      <w:pPr>
        <w:pStyle w:val="ListParagraph"/>
        <w:numPr>
          <w:ilvl w:val="0"/>
          <w:numId w:val="2"/>
        </w:numPr>
        <w:spacing w:after="100" w:line="360"/>
      </w:pPr>
      <w:r>
        <w:rPr>
          <w:rFonts w:ascii="Arial" w:cs="Arial" w:eastAsia="Arial" w:hAnsi="Arial"/>
          <w:sz w:val="24"/>
          <w:szCs w:val="24"/>
        </w:rPr>
        <w:t xml:space="preserve">ClinVar/HGMD gain-of-function variants (c.2012G&gt;A, c.1887G&gt;A, other LOF-excluded variants; functional impact annotations)</w:t>
      </w:r>
    </w:p>
    <w:p>
      <w:pPr>
        <w:pStyle w:val="ListParagraph"/>
        <w:numPr>
          <w:ilvl w:val="0"/>
          <w:numId w:val="2"/>
        </w:numPr>
        <w:spacing w:after="100" w:line="360"/>
      </w:pPr>
      <w:r>
        <w:rPr>
          <w:rFonts w:ascii="Arial" w:cs="Arial" w:eastAsia="Arial" w:hAnsi="Arial"/>
          <w:sz w:val="24"/>
          <w:szCs w:val="24"/>
        </w:rPr>
        <w:t xml:space="preserve">Functional characterization data: calcium imaging, patch-clamp recordings, molecular dynamics (MD) simulations of variant effects</w:t>
      </w:r>
    </w:p>
    <w:p>
      <w:pPr>
        <w:pStyle w:val="ListParagraph"/>
        <w:numPr>
          <w:ilvl w:val="0"/>
          <w:numId w:val="2"/>
        </w:numPr>
        <w:spacing w:after="100" w:line="360"/>
      </w:pPr>
      <w:r>
        <w:rPr>
          <w:rFonts w:ascii="Arial" w:cs="Arial" w:eastAsia="Arial" w:hAnsi="Arial"/>
          <w:sz w:val="24"/>
          <w:szCs w:val="24"/>
        </w:rPr>
        <w:t xml:space="preserve">Sapphire NMDA receptor perturbation data (GluN2B wild-type vs gain-of-function variant phenotypes; n=243 experiments)</w:t>
      </w:r>
    </w:p>
    <w:p>
      <w:pPr>
        <w:pStyle w:val="ListParagraph"/>
        <w:numPr>
          <w:ilvl w:val="0"/>
          <w:numId w:val="2"/>
        </w:numPr>
        <w:spacing w:after="100" w:line="360"/>
      </w:pPr>
      <w:r>
        <w:rPr>
          <w:rFonts w:ascii="Arial" w:cs="Arial" w:eastAsia="Arial" w:hAnsi="Arial"/>
          <w:sz w:val="24"/>
          <w:szCs w:val="24"/>
        </w:rPr>
        <w:t xml:space="preserve">SNP frequency database (dbSNP, gnomAD; confirm variants are truly pathogenic, not common polymorphisms)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(GRIN2B structure, exon organization, regulatory elements, CpG islands)</w:t>
      </w:r>
    </w:p>
    <w:p>
      <w:pPr>
        <w:pStyle w:val="ListParagraph"/>
        <w:numPr>
          <w:ilvl w:val="0"/>
          <w:numId w:val="2"/>
        </w:numPr>
        <w:spacing w:after="100" w:line="360"/>
      </w:pPr>
      <w:r>
        <w:rPr>
          <w:rFonts w:ascii="Arial" w:cs="Arial" w:eastAsia="Arial" w:hAnsi="Arial"/>
          <w:sz w:val="24"/>
          <w:szCs w:val="24"/>
        </w:rPr>
        <w:t xml:space="preserve">ClinVar/HGMD (functional annotation of GRIN2B variants; gain-of-function confirmation)</w:t>
      </w:r>
    </w:p>
    <w:p>
      <w:pPr>
        <w:pStyle w:val="ListParagraph"/>
        <w:numPr>
          <w:ilvl w:val="0"/>
          <w:numId w:val="2"/>
        </w:numPr>
        <w:spacing w:after="100" w:line="360"/>
      </w:pPr>
      <w:r>
        <w:rPr>
          <w:rFonts w:ascii="Arial" w:cs="Arial" w:eastAsia="Arial" w:hAnsi="Arial"/>
          <w:sz w:val="24"/>
          <w:szCs w:val="24"/>
        </w:rPr>
        <w:t xml:space="preserve">PROVEAN/SIFT (in silico pathogenicity prediction for gain-of-function variants)</w:t>
      </w:r>
    </w:p>
    <w:p>
      <w:pPr>
        <w:pStyle w:val="ListParagraph"/>
        <w:numPr>
          <w:ilvl w:val="0"/>
          <w:numId w:val="2"/>
        </w:numPr>
        <w:spacing w:after="100" w:line="360"/>
      </w:pPr>
      <w:r>
        <w:rPr>
          <w:rFonts w:ascii="Arial" w:cs="Arial" w:eastAsia="Arial" w:hAnsi="Arial"/>
          <w:sz w:val="24"/>
          <w:szCs w:val="24"/>
        </w:rPr>
        <w:t xml:space="preserve">FoldX (molecular dynamics: predict how variants alter GluN2B protein structure and channel kinetics)</w:t>
      </w:r>
    </w:p>
    <w:p>
      <w:pPr>
        <w:pStyle w:val="ListParagraph"/>
        <w:numPr>
          <w:ilvl w:val="0"/>
          <w:numId w:val="2"/>
        </w:numPr>
        <w:spacing w:after="100" w:line="360"/>
      </w:pPr>
      <w:r>
        <w:rPr>
          <w:rFonts w:ascii="Arial" w:cs="Arial" w:eastAsia="Arial" w:hAnsi="Arial"/>
          <w:sz w:val="24"/>
          <w:szCs w:val="24"/>
        </w:rPr>
        <w:t xml:space="preserve">Ensembl Variant Effect Predictor (assess SNP impact on splicing, transcription)</w:t>
      </w:r>
    </w:p>
    <w:p>
      <w:pPr>
        <w:pStyle w:val="ListParagraph"/>
        <w:numPr>
          <w:ilvl w:val="0"/>
          <w:numId w:val="2"/>
        </w:numPr>
        <w:spacing w:after="100" w:line="360"/>
      </w:pPr>
      <w:r>
        <w:rPr>
          <w:rFonts w:ascii="Arial" w:cs="Arial" w:eastAsia="Arial" w:hAnsi="Arial"/>
          <w:sz w:val="24"/>
          <w:szCs w:val="24"/>
        </w:rPr>
        <w:t xml:space="preserve">Sapphire NMDA receptor module (query GluN2B wild-type vs variant loss-of-function signatures; seizure/excitotoxicity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reported GRIN2B gain-of-function variants in developmental epilepsy and neurodevelopmental disorders (ClinVar, literature)</w:t>
      </w:r>
    </w:p>
    <w:p>
      <w:pPr>
        <w:pStyle w:val="ListParagraph"/>
        <w:numPr>
          <w:ilvl w:val="0"/>
          <w:numId w:val="2"/>
        </w:numPr>
        <w:spacing w:after="100" w:line="360"/>
      </w:pPr>
      <w:r>
        <w:rPr>
          <w:rFonts w:ascii="Arial" w:cs="Arial" w:eastAsia="Arial" w:hAnsi="Arial"/>
          <w:sz w:val="24"/>
          <w:szCs w:val="24"/>
        </w:rPr>
        <w:t xml:space="preserve">For each variant, what is the predicted functional consequence: altered channel kinetics, increased open probability, impaired desensitization?</w:t>
      </w:r>
    </w:p>
    <w:p>
      <w:pPr>
        <w:pStyle w:val="ListParagraph"/>
        <w:numPr>
          <w:ilvl w:val="0"/>
          <w:numId w:val="2"/>
        </w:numPr>
        <w:spacing w:after="100" w:line="360"/>
      </w:pPr>
      <w:r>
        <w:rPr>
          <w:rFonts w:ascii="Arial" w:cs="Arial" w:eastAsia="Arial" w:hAnsi="Arial"/>
          <w:sz w:val="24"/>
          <w:szCs w:val="24"/>
        </w:rPr>
        <w:t xml:space="preserve">Using Sapphire data, compare EP phenotypes of neurons expressing wild-type vs gain-of-function GRIN2B (calcium influx, current amplitude, seizure-like activity)</w:t>
      </w:r>
    </w:p>
    <w:p>
      <w:pPr>
        <w:pStyle w:val="ListParagraph"/>
        <w:numPr>
          <w:ilvl w:val="0"/>
          <w:numId w:val="2"/>
        </w:numPr>
        <w:spacing w:after="100" w:line="360"/>
      </w:pPr>
      <w:r>
        <w:rPr>
          <w:rFonts w:ascii="Arial" w:cs="Arial" w:eastAsia="Arial" w:hAnsi="Arial"/>
          <w:sz w:val="24"/>
          <w:szCs w:val="24"/>
        </w:rPr>
        <w:t xml:space="preserve">Which GRIN2B gain-of-function variants cluster in functionally important regions (ligand-binding domain, transmembrane, linkers)?</w:t>
      </w:r>
    </w:p>
    <w:p>
      <w:pPr>
        <w:pStyle w:val="ListParagraph"/>
        <w:numPr>
          <w:ilvl w:val="0"/>
          <w:numId w:val="2"/>
        </w:numPr>
        <w:spacing w:after="100" w:line="360"/>
      </w:pPr>
      <w:r>
        <w:rPr>
          <w:rFonts w:ascii="Arial" w:cs="Arial" w:eastAsia="Arial" w:hAnsi="Arial"/>
          <w:sz w:val="24"/>
          <w:szCs w:val="24"/>
        </w:rPr>
        <w:t xml:space="preserve">Rank variants by therapeutic tractability: which variants would most benefit from allele-selective ASO knockdown based on functional and phenotypic criteria?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GRIN2B variant catalog (variant ID | position | alleles | functional consequence | disease phenotype | pathogenicity confidence)</w:t>
      </w:r>
    </w:p>
    <w:p>
      <w:pPr>
        <w:pStyle w:val="ListParagraph"/>
        <w:numPr>
          <w:ilvl w:val="0"/>
          <w:numId w:val="2"/>
        </w:numPr>
        <w:spacing w:after="100" w:line="360"/>
      </w:pPr>
      <w:r>
        <w:rPr>
          <w:rFonts w:ascii="Arial" w:cs="Arial" w:eastAsia="Arial" w:hAnsi="Arial"/>
          <w:sz w:val="24"/>
          <w:szCs w:val="24"/>
        </w:rPr>
        <w:t xml:space="preserve">Functional characterization summary (calcium influx, channel kinetics, desensitization properties for top 3-5 gain-of-function variants)</w:t>
      </w:r>
    </w:p>
    <w:p>
      <w:pPr>
        <w:pStyle w:val="ListParagraph"/>
        <w:numPr>
          <w:ilvl w:val="0"/>
          <w:numId w:val="2"/>
        </w:numPr>
        <w:spacing w:after="100" w:line="360"/>
      </w:pPr>
      <w:r>
        <w:rPr>
          <w:rFonts w:ascii="Arial" w:cs="Arial" w:eastAsia="Arial" w:hAnsi="Arial"/>
          <w:sz w:val="24"/>
          <w:szCs w:val="24"/>
        </w:rPr>
        <w:t xml:space="preserve">SNP-selective target selection: optimal exon/region in each variant for ASO targeting (high thermal selectivity potential)</w:t>
      </w:r>
    </w:p>
    <w:p>
      <w:pPr>
        <w:pStyle w:val="ListParagraph"/>
        <w:numPr>
          <w:ilvl w:val="0"/>
          <w:numId w:val="2"/>
        </w:numPr>
        <w:spacing w:after="100" w:line="360"/>
      </w:pPr>
      <w:r>
        <w:rPr>
          <w:rFonts w:ascii="Arial" w:cs="Arial" w:eastAsia="Arial" w:hAnsi="Arial"/>
          <w:sz w:val="24"/>
          <w:szCs w:val="24"/>
        </w:rPr>
        <w:t xml:space="preserve">Sapphire EP phenotype profiles (gain-of-function variants vs wild-type GRIN2B; hyperexcitability index, seizure-like activity probability, neuronal health markers)</w:t>
      </w:r>
    </w:p>
    <w:p>
      <w:pPr>
        <w:pStyle w:val="ListParagraph"/>
        <w:numPr>
          <w:ilvl w:val="0"/>
          <w:numId w:val="2"/>
        </w:numPr>
        <w:spacing w:after="100" w:line="360"/>
      </w:pPr>
      <w:r>
        <w:rPr>
          <w:rFonts w:ascii="Arial" w:cs="Arial" w:eastAsia="Arial" w:hAnsi="Arial"/>
          <w:sz w:val="24"/>
          <w:szCs w:val="24"/>
        </w:rPr>
        <w:t xml:space="preserve">Thermal selectivity predictions (expected ΔΔTm for variant vs wild-type in optimal target regions; selectivity potential scoring)</w:t>
      </w:r>
    </w:p>
    <w:p>
      <w:pPr>
        <w:pStyle w:val="ListParagraph"/>
        <w:numPr>
          <w:ilvl w:val="0"/>
          <w:numId w:val="2"/>
        </w:numPr>
        <w:spacing w:after="100" w:line="360"/>
      </w:pPr>
      <w:r>
        <w:rPr>
          <w:rFonts w:ascii="Arial" w:cs="Arial" w:eastAsia="Arial" w:hAnsi="Arial"/>
          <w:sz w:val="24"/>
          <w:szCs w:val="24"/>
        </w:rPr>
        <w:t xml:space="preserve">Top 3-4 target variants ranked by therapeutic impact and SNP-selectivity feasibility (ready for ASO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GRIN2B variant annotation table (Variant | Position | Functional Effect | EP Phenotype | Target Region Selected | ΔΔTm Potential) with functional consequence diagrams and Sapphire EP phenotype overlays</w:t>
      </w:r>
    </w:p>
    <w:p>
      <w:pPr>
        <w:pStyle w:val="Heading2"/>
        <w:spacing w:after="200" w:before="200"/>
      </w:pPr>
      <w:r>
        <w:rPr>
          <w:rFonts w:ascii="Arial" w:cs="Arial" w:eastAsia="Arial" w:hAnsi="Arial"/>
          <w:b/>
          <w:bCs/>
          <w:sz w:val="28"/>
          <w:szCs w:val="28"/>
        </w:rPr>
        <w:t xml:space="preserve">Stage 2: SNP-Discriminating ASO Design &amp; Thermal Selectivity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12-15 SNP-discriminating ASO sequences targeting selected GRIN2B gain-of-function variants with optimized mismatch positioning and chemical modifications to maximize Tm selectivity between variant and wild-type alleles.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3-4 GRIN2B gain-of-function variants from Stage 1</w:t>
      </w:r>
    </w:p>
    <w:p>
      <w:pPr>
        <w:pStyle w:val="ListParagraph"/>
        <w:numPr>
          <w:ilvl w:val="0"/>
          <w:numId w:val="2"/>
        </w:numPr>
        <w:spacing w:after="100" w:line="360"/>
      </w:pPr>
      <w:r>
        <w:rPr>
          <w:rFonts w:ascii="Arial" w:cs="Arial" w:eastAsia="Arial" w:hAnsi="Arial"/>
          <w:sz w:val="24"/>
          <w:szCs w:val="24"/>
        </w:rPr>
        <w:t xml:space="preserve">SNP position and flanking sequence context (±20 nt)</w:t>
      </w:r>
    </w:p>
    <w:p>
      <w:pPr>
        <w:pStyle w:val="ListParagraph"/>
        <w:numPr>
          <w:ilvl w:val="0"/>
          <w:numId w:val="2"/>
        </w:numPr>
        <w:spacing w:after="100" w:line="360"/>
      </w:pPr>
      <w:r>
        <w:rPr>
          <w:rFonts w:ascii="Arial" w:cs="Arial" w:eastAsia="Arial" w:hAnsi="Arial"/>
          <w:sz w:val="24"/>
          <w:szCs w:val="24"/>
        </w:rPr>
        <w:t xml:space="preserve">ASO design rules for SNP discrimination: mismatch positions (optimal placement in duplex center for maximum ΔΔTm)</w:t>
      </w:r>
    </w:p>
    <w:p>
      <w:pPr>
        <w:pStyle w:val="ListParagraph"/>
        <w:numPr>
          <w:ilvl w:val="0"/>
          <w:numId w:val="2"/>
        </w:numPr>
        <w:spacing w:after="100" w:line="360"/>
      </w:pPr>
      <w:r>
        <w:rPr>
          <w:rFonts w:ascii="Arial" w:cs="Arial" w:eastAsia="Arial" w:hAnsi="Arial"/>
          <w:sz w:val="24"/>
          <w:szCs w:val="24"/>
        </w:rPr>
        <w:t xml:space="preserve">Chemical modification library: 2'MOE, cEt, PS backbone, locked nucleic acids (LNA) for selectivity enhancement</w:t>
      </w:r>
    </w:p>
    <w:p>
      <w:pPr>
        <w:pStyle w:val="ListParagraph"/>
        <w:numPr>
          <w:ilvl w:val="0"/>
          <w:numId w:val="2"/>
        </w:numPr>
        <w:spacing w:after="100" w:line="360"/>
      </w:pPr>
      <w:r>
        <w:rPr>
          <w:rFonts w:ascii="Arial" w:cs="Arial" w:eastAsia="Arial" w:hAnsi="Arial"/>
          <w:sz w:val="24"/>
          <w:szCs w:val="24"/>
        </w:rPr>
        <w:t xml:space="preserve">Target secondary structure (accessibility windows; SNP should be in exposed region for discrimination)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OligoCalc (Tm calculations for variant-ASO vs wild-type-ASO duplexes; ΔΔTm estimation)</w:t>
      </w:r>
    </w:p>
    <w:p>
      <w:pPr>
        <w:pStyle w:val="ListParagraph"/>
        <w:numPr>
          <w:ilvl w:val="0"/>
          <w:numId w:val="2"/>
        </w:numPr>
        <w:spacing w:after="100" w:line="360"/>
      </w:pPr>
      <w:r>
        <w:rPr>
          <w:rFonts w:ascii="Arial" w:cs="Arial" w:eastAsia="Arial" w:hAnsi="Arial"/>
          <w:sz w:val="24"/>
          <w:szCs w:val="24"/>
        </w:rPr>
        <w:t xml:space="preserve">mfold &amp; RNAfold (secondary structure prediction; ensure SNP in accessible region)</w:t>
      </w:r>
    </w:p>
    <w:p>
      <w:pPr>
        <w:pStyle w:val="ListParagraph"/>
        <w:numPr>
          <w:ilvl w:val="0"/>
          <w:numId w:val="2"/>
        </w:numPr>
        <w:spacing w:after="100" w:line="360"/>
      </w:pPr>
      <w:r>
        <w:rPr>
          <w:rFonts w:ascii="Arial" w:cs="Arial" w:eastAsia="Arial" w:hAnsi="Arial"/>
          <w:sz w:val="24"/>
          <w:szCs w:val="24"/>
        </w:rPr>
        <w:t xml:space="preserve">NUPACK (nucleic acid thermodynamic design; optimize ΔΔTm through mismatch positioning)</w:t>
      </w:r>
    </w:p>
    <w:p>
      <w:pPr>
        <w:pStyle w:val="ListParagraph"/>
        <w:numPr>
          <w:ilvl w:val="0"/>
          <w:numId w:val="2"/>
        </w:numPr>
        <w:spacing w:after="100" w:line="360"/>
      </w:pPr>
      <w:r>
        <w:rPr>
          <w:rFonts w:ascii="Arial" w:cs="Arial" w:eastAsia="Arial" w:hAnsi="Arial"/>
          <w:sz w:val="24"/>
          <w:szCs w:val="24"/>
        </w:rPr>
        <w:t xml:space="preserve">Beacon Designer SNP module (specialized SNP-discriminating ASO design with LNA/cEt options)</w:t>
      </w:r>
    </w:p>
    <w:p>
      <w:pPr>
        <w:pStyle w:val="ListParagraph"/>
        <w:numPr>
          <w:ilvl w:val="0"/>
          <w:numId w:val="2"/>
        </w:numPr>
        <w:spacing w:after="100" w:line="360"/>
      </w:pPr>
      <w:r>
        <w:rPr>
          <w:rFonts w:ascii="Arial" w:cs="Arial" w:eastAsia="Arial" w:hAnsi="Arial"/>
          <w:sz w:val="24"/>
          <w:szCs w:val="24"/>
        </w:rPr>
        <w:t xml:space="preserve">GENEIOUS Pro (SNP-selective sequence design; cross-homology checking against wild-type)</w:t>
      </w:r>
    </w:p>
    <w:p>
      <w:pPr>
        <w:pStyle w:val="ListParagraph"/>
        <w:numPr>
          <w:ilvl w:val="0"/>
          <w:numId w:val="2"/>
        </w:numPr>
        <w:spacing w:after="100" w:line="360"/>
      </w:pPr>
      <w:r>
        <w:rPr>
          <w:rFonts w:ascii="Arial" w:cs="Arial" w:eastAsia="Arial" w:hAnsi="Arial"/>
          <w:sz w:val="24"/>
          <w:szCs w:val="24"/>
        </w:rPr>
        <w:t xml:space="preserve">Sapphire Selectivity module (integrate Tm ΔΔTm calculations with predicted functional selectivity from EP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5 ASO sequences for each top 3 GRIN2B variants (15 total), placing SNP mismatch in optimal positions (±3 nt from center) for maximum ΔΔTm</w:t>
      </w:r>
    </w:p>
    <w:p>
      <w:pPr>
        <w:pStyle w:val="ListParagraph"/>
        <w:numPr>
          <w:ilvl w:val="0"/>
          <w:numId w:val="2"/>
        </w:numPr>
        <w:spacing w:after="100" w:line="360"/>
      </w:pPr>
      <w:r>
        <w:rPr>
          <w:rFonts w:ascii="Arial" w:cs="Arial" w:eastAsia="Arial" w:hAnsi="Arial"/>
          <w:sz w:val="24"/>
          <w:szCs w:val="24"/>
        </w:rPr>
        <w:t xml:space="preserve">For each ASO-variant pair, calculate Tm (variant-matching) and Tm (wild-type-matching); target ΔΔTm ≥8-12°C for selectivity</w:t>
      </w:r>
    </w:p>
    <w:p>
      <w:pPr>
        <w:pStyle w:val="ListParagraph"/>
        <w:numPr>
          <w:ilvl w:val="0"/>
          <w:numId w:val="2"/>
        </w:numPr>
        <w:spacing w:after="100" w:line="360"/>
      </w:pPr>
      <w:r>
        <w:rPr>
          <w:rFonts w:ascii="Arial" w:cs="Arial" w:eastAsia="Arial" w:hAnsi="Arial"/>
          <w:sz w:val="24"/>
          <w:szCs w:val="24"/>
        </w:rPr>
        <w:t xml:space="preserve">Explore chemical modification impact: compare pure 2'MOE, pure cEt, LNA-enhanced, and hybrid modifications for ΔΔTm optimization</w:t>
      </w:r>
    </w:p>
    <w:p>
      <w:pPr>
        <w:pStyle w:val="ListParagraph"/>
        <w:numPr>
          <w:ilvl w:val="0"/>
          <w:numId w:val="2"/>
        </w:numPr>
        <w:spacing w:after="100" w:line="360"/>
      </w:pPr>
      <w:r>
        <w:rPr>
          <w:rFonts w:ascii="Arial" w:cs="Arial" w:eastAsia="Arial" w:hAnsi="Arial"/>
          <w:sz w:val="24"/>
          <w:szCs w:val="24"/>
        </w:rPr>
        <w:t xml:space="preserve">Design ASOs with secondary structure considerations: ensure SNP-containing region is solvent-exposed and accessible for discrimination</w:t>
      </w:r>
    </w:p>
    <w:p>
      <w:pPr>
        <w:pStyle w:val="ListParagraph"/>
        <w:numPr>
          <w:ilvl w:val="0"/>
          <w:numId w:val="2"/>
        </w:numPr>
        <w:spacing w:after="100" w:line="360"/>
      </w:pPr>
      <w:r>
        <w:rPr>
          <w:rFonts w:ascii="Arial" w:cs="Arial" w:eastAsia="Arial" w:hAnsi="Arial"/>
          <w:sz w:val="24"/>
          <w:szCs w:val="24"/>
        </w:rPr>
        <w:t xml:space="preserve">Generate 3 'bivalent' ASO designs targeting two adjacent SNPs in the same variant (multi-nucleotide selectivity enhancement)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15 ranked SNP-discriminating ASO candidates (ASO ID | sequence | variant target | Tm_variant | Tm_wild-type | ΔΔTm | chemical modification)</w:t>
      </w:r>
    </w:p>
    <w:p>
      <w:pPr>
        <w:pStyle w:val="ListParagraph"/>
        <w:numPr>
          <w:ilvl w:val="0"/>
          <w:numId w:val="2"/>
        </w:numPr>
        <w:spacing w:after="100" w:line="360"/>
      </w:pPr>
      <w:r>
        <w:rPr>
          <w:rFonts w:ascii="Arial" w:cs="Arial" w:eastAsia="Arial" w:hAnsi="Arial"/>
          <w:sz w:val="24"/>
          <w:szCs w:val="24"/>
        </w:rPr>
        <w:t xml:space="preserve">Thermal selectivity profiles (Tm difference plot; identify ASOs with ΔΔTm ≥8°C for high selectivity)</w:t>
      </w:r>
    </w:p>
    <w:p>
      <w:pPr>
        <w:pStyle w:val="ListParagraph"/>
        <w:numPr>
          <w:ilvl w:val="0"/>
          <w:numId w:val="2"/>
        </w:numPr>
        <w:spacing w:after="100" w:line="360"/>
      </w:pPr>
      <w:r>
        <w:rPr>
          <w:rFonts w:ascii="Arial" w:cs="Arial" w:eastAsia="Arial" w:hAnsi="Arial"/>
          <w:sz w:val="24"/>
          <w:szCs w:val="24"/>
        </w:rPr>
        <w:t xml:space="preserve">Secondary structure confirmation (show SNP-containing region is accessible in GRIN2B mRNA context)</w:t>
      </w:r>
    </w:p>
    <w:p>
      <w:pPr>
        <w:pStyle w:val="ListParagraph"/>
        <w:numPr>
          <w:ilvl w:val="0"/>
          <w:numId w:val="2"/>
        </w:numPr>
        <w:spacing w:after="100" w:line="360"/>
      </w:pPr>
      <w:r>
        <w:rPr>
          <w:rFonts w:ascii="Arial" w:cs="Arial" w:eastAsia="Arial" w:hAnsi="Arial"/>
          <w:sz w:val="24"/>
          <w:szCs w:val="24"/>
        </w:rPr>
        <w:t xml:space="preserve">Chemical modification impact analysis (comparison of 2'MOE vs cEt vs LNA for ΔΔTm enhancement)</w:t>
      </w:r>
    </w:p>
    <w:p>
      <w:pPr>
        <w:pStyle w:val="ListParagraph"/>
        <w:numPr>
          <w:ilvl w:val="0"/>
          <w:numId w:val="2"/>
        </w:numPr>
        <w:spacing w:after="100" w:line="360"/>
      </w:pPr>
      <w:r>
        <w:rPr>
          <w:rFonts w:ascii="Arial" w:cs="Arial" w:eastAsia="Arial" w:hAnsi="Arial"/>
          <w:sz w:val="24"/>
          <w:szCs w:val="24"/>
        </w:rPr>
        <w:t xml:space="preserve">Predicted on-target efficiency (Tm_variant correlates with ASO efficacy; identify optimal Tm window)</w:t>
      </w:r>
    </w:p>
    <w:p>
      <w:pPr>
        <w:pStyle w:val="ListParagraph"/>
        <w:numPr>
          <w:ilvl w:val="0"/>
          <w:numId w:val="2"/>
        </w:numPr>
        <w:spacing w:after="100" w:line="360"/>
      </w:pPr>
      <w:r>
        <w:rPr>
          <w:rFonts w:ascii="Arial" w:cs="Arial" w:eastAsia="Arial" w:hAnsi="Arial"/>
          <w:sz w:val="24"/>
          <w:szCs w:val="24"/>
        </w:rPr>
        <w:t xml:space="preserve">Top 12 ASO candidates with ΔΔTm ≥8°C selectivity and predicted wild-type preservation (ready for off-target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SNP-discriminating ASO design table (ASO ID | Target | Sequence | ΔΔTm | Chemistry | Expected Selectivity) with melting curve diagrams and secondary structure accessibility maps</w:t>
      </w:r>
    </w:p>
    <w:p>
      <w:pPr>
        <w:pStyle w:val="Heading2"/>
        <w:spacing w:after="200" w:before="200"/>
      </w:pPr>
      <w:r>
        <w:rPr>
          <w:rFonts w:ascii="Arial" w:cs="Arial" w:eastAsia="Arial" w:hAnsi="Arial"/>
          <w:b/>
          <w:bCs/>
          <w:sz w:val="28"/>
          <w:szCs w:val="28"/>
        </w:rPr>
        <w:t xml:space="preserve">Stage 3: Off-Target Assessment &amp; Wild-Type GRIN2B Preservation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assess predicted off-target binding and wild-type GRIN2B preservation for all 12 ASO candidates to ensure variant selectivity is maintained across the transcriptome and in primary neurons expressing both alleles.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12 SNP-discriminating ASO candidates from Stage 2</w:t>
      </w:r>
    </w:p>
    <w:p>
      <w:pPr>
        <w:pStyle w:val="ListParagraph"/>
        <w:numPr>
          <w:ilvl w:val="0"/>
          <w:numId w:val="2"/>
        </w:numPr>
        <w:spacing w:after="100" w:line="360"/>
      </w:pPr>
      <w:r>
        <w:rPr>
          <w:rFonts w:ascii="Arial" w:cs="Arial" w:eastAsia="Arial" w:hAnsi="Arial"/>
          <w:sz w:val="24"/>
          <w:szCs w:val="24"/>
        </w:rPr>
        <w:t xml:space="preserve">Wild-type GRIN2B mRNA sequence (target region ±50 nt context)</w:t>
      </w:r>
    </w:p>
    <w:p>
      <w:pPr>
        <w:pStyle w:val="ListParagraph"/>
        <w:numPr>
          <w:ilvl w:val="0"/>
          <w:numId w:val="2"/>
        </w:numPr>
        <w:spacing w:after="100" w:line="360"/>
      </w:pPr>
      <w:r>
        <w:rPr>
          <w:rFonts w:ascii="Arial" w:cs="Arial" w:eastAsia="Arial" w:hAnsi="Arial"/>
          <w:sz w:val="24"/>
          <w:szCs w:val="24"/>
        </w:rPr>
        <w:t xml:space="preserve">GRIN2A, GRIN1, and GRIN3 sequences (related NMDA subunits; cross-reactivity risk assessment)</w:t>
      </w:r>
    </w:p>
    <w:p>
      <w:pPr>
        <w:pStyle w:val="ListParagraph"/>
        <w:numPr>
          <w:ilvl w:val="0"/>
          <w:numId w:val="2"/>
        </w:numPr>
        <w:spacing w:after="100" w:line="360"/>
      </w:pPr>
      <w:r>
        <w:rPr>
          <w:rFonts w:ascii="Arial" w:cs="Arial" w:eastAsia="Arial" w:hAnsi="Arial"/>
          <w:sz w:val="24"/>
          <w:szCs w:val="24"/>
        </w:rPr>
        <w:t xml:space="preserve">Human transcriptome (RefSeq; off-target prediction)</w:t>
      </w:r>
    </w:p>
    <w:p>
      <w:pPr>
        <w:pStyle w:val="ListParagraph"/>
        <w:numPr>
          <w:ilvl w:val="0"/>
          <w:numId w:val="2"/>
        </w:numPr>
        <w:spacing w:after="100" w:line="360"/>
      </w:pPr>
      <w:r>
        <w:rPr>
          <w:rFonts w:ascii="Arial" w:cs="Arial" w:eastAsia="Arial" w:hAnsi="Arial"/>
          <w:sz w:val="24"/>
          <w:szCs w:val="24"/>
        </w:rPr>
        <w:t xml:space="preserve">Sapphire NMDA receptor data: phenotypes from GRIN2A, GRIN1 knockdown (assess secondary target consequences)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OligoCalc duplex analysis (Tm predictions for off-target sequences with ≥80% similarity to ASO)</w:t>
      </w:r>
    </w:p>
    <w:p>
      <w:pPr>
        <w:pStyle w:val="ListParagraph"/>
        <w:numPr>
          <w:ilvl w:val="0"/>
          <w:numId w:val="2"/>
        </w:numPr>
        <w:spacing w:after="100" w:line="360"/>
      </w:pPr>
      <w:r>
        <w:rPr>
          <w:rFonts w:ascii="Arial" w:cs="Arial" w:eastAsia="Arial" w:hAnsi="Arial"/>
          <w:sz w:val="24"/>
          <w:szCs w:val="24"/>
        </w:rPr>
        <w:t xml:space="preserve">GENEIOUS Pro off-target screening (query ASO against wild-type GRIN2B + GRIN2A/1/3)</w:t>
      </w:r>
    </w:p>
    <w:p>
      <w:pPr>
        <w:pStyle w:val="ListParagraph"/>
        <w:numPr>
          <w:ilvl w:val="0"/>
          <w:numId w:val="2"/>
        </w:numPr>
        <w:spacing w:after="100" w:line="360"/>
      </w:pPr>
      <w:r>
        <w:rPr>
          <w:rFonts w:ascii="Arial" w:cs="Arial" w:eastAsia="Arial" w:hAnsi="Arial"/>
          <w:sz w:val="24"/>
          <w:szCs w:val="24"/>
        </w:rPr>
        <w:t xml:space="preserve">Thermodynamic selectivity calculator (ΔΔTm_wild-type vs predicted off-targets)</w:t>
      </w:r>
    </w:p>
    <w:p>
      <w:pPr>
        <w:pStyle w:val="ListParagraph"/>
        <w:numPr>
          <w:ilvl w:val="0"/>
          <w:numId w:val="2"/>
        </w:numPr>
        <w:spacing w:after="100" w:line="360"/>
      </w:pPr>
      <w:r>
        <w:rPr>
          <w:rFonts w:ascii="Arial" w:cs="Arial" w:eastAsia="Arial" w:hAnsi="Arial"/>
          <w:sz w:val="24"/>
          <w:szCs w:val="24"/>
        </w:rPr>
        <w:t xml:space="preserve">BLAST/RNAhybrid (transcriptome-wide off-target prediction; identify secondary sites)</w:t>
      </w:r>
    </w:p>
    <w:p>
      <w:pPr>
        <w:pStyle w:val="ListParagraph"/>
        <w:numPr>
          <w:ilvl w:val="0"/>
          <w:numId w:val="2"/>
        </w:numPr>
        <w:spacing w:after="100" w:line="360"/>
      </w:pPr>
      <w:r>
        <w:rPr>
          <w:rFonts w:ascii="Arial" w:cs="Arial" w:eastAsia="Arial" w:hAnsi="Arial"/>
          <w:sz w:val="24"/>
          <w:szCs w:val="24"/>
        </w:rPr>
        <w:t xml:space="preserve">Sapphire off-target consequence module (predict EP phenotype from unintended GRIN1/2A knockdown)</w:t>
      </w:r>
    </w:p>
    <w:p>
      <w:pPr>
        <w:pStyle w:val="ListParagraph"/>
        <w:numPr>
          <w:ilvl w:val="0"/>
          <w:numId w:val="2"/>
        </w:numPr>
        <w:spacing w:after="100" w:line="360"/>
      </w:pPr>
      <w:r>
        <w:rPr>
          <w:rFonts w:ascii="Arial" w:cs="Arial" w:eastAsia="Arial" w:hAnsi="Arial"/>
          <w:sz w:val="24"/>
          <w:szCs w:val="24"/>
        </w:rPr>
        <w:t xml:space="preserve">Deep learning selectivity model (trained on SNP-discriminating ASO data; predict wild-type selectivity probability)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ASO, confirm ΔΔTm_wild-type ≥8°C: calculate Tm for wild-type GRIN2B target region, confirm mismatch penalty is sufficient</w:t>
      </w:r>
    </w:p>
    <w:p>
      <w:pPr>
        <w:pStyle w:val="ListParagraph"/>
        <w:numPr>
          <w:ilvl w:val="0"/>
          <w:numId w:val="2"/>
        </w:numPr>
        <w:spacing w:after="100" w:line="360"/>
      </w:pPr>
      <w:r>
        <w:rPr>
          <w:rFonts w:ascii="Arial" w:cs="Arial" w:eastAsia="Arial" w:hAnsi="Arial"/>
          <w:sz w:val="24"/>
          <w:szCs w:val="24"/>
        </w:rPr>
        <w:t xml:space="preserve">Map all predicted off-target sites at ≥80% similarity to ASO sequence; assess whether off-targets are present in neural transcripts</w:t>
      </w:r>
    </w:p>
    <w:p>
      <w:pPr>
        <w:pStyle w:val="ListParagraph"/>
        <w:numPr>
          <w:ilvl w:val="0"/>
          <w:numId w:val="2"/>
        </w:numPr>
        <w:spacing w:after="100" w:line="360"/>
      </w:pPr>
      <w:r>
        <w:rPr>
          <w:rFonts w:ascii="Arial" w:cs="Arial" w:eastAsia="Arial" w:hAnsi="Arial"/>
          <w:sz w:val="24"/>
          <w:szCs w:val="24"/>
        </w:rPr>
        <w:t xml:space="preserve">Assess cross-reactivity with GRIN2A, GRIN1, GRIN3: identify exons unique to GRIN2B variant that minimize paralogs off-target risk</w:t>
      </w:r>
    </w:p>
    <w:p>
      <w:pPr>
        <w:pStyle w:val="ListParagraph"/>
        <w:numPr>
          <w:ilvl w:val="0"/>
          <w:numId w:val="2"/>
        </w:numPr>
        <w:spacing w:after="100" w:line="360"/>
      </w:pPr>
      <w:r>
        <w:rPr>
          <w:rFonts w:ascii="Arial" w:cs="Arial" w:eastAsia="Arial" w:hAnsi="Arial"/>
          <w:sz w:val="24"/>
          <w:szCs w:val="24"/>
        </w:rPr>
        <w:t xml:space="preserve">Using Sapphire data, predict consequences of unintended GRIN2A/1 knockdown (altered plasticity, behavioral effects) and ensure ASOs avoid these off-targets</w:t>
      </w:r>
    </w:p>
    <w:p>
      <w:pPr>
        <w:pStyle w:val="ListParagraph"/>
        <w:numPr>
          <w:ilvl w:val="0"/>
          <w:numId w:val="2"/>
        </w:numPr>
        <w:spacing w:after="100" w:line="360"/>
      </w:pPr>
      <w:r>
        <w:rPr>
          <w:rFonts w:ascii="Arial" w:cs="Arial" w:eastAsia="Arial" w:hAnsi="Arial"/>
          <w:sz w:val="24"/>
          <w:szCs w:val="24"/>
        </w:rPr>
        <w:t xml:space="preserve">Rank ASOs by selectivity: variant-specific knockdown &gt; wild-type preservation &gt; off-target avoidance composite score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Wild-type GRIN2B preservation confirmation (ASO ID | Tm_wild-type | ΔΔTm threshold met | selectivity probability)</w:t>
      </w:r>
    </w:p>
    <w:p>
      <w:pPr>
        <w:pStyle w:val="ListParagraph"/>
        <w:numPr>
          <w:ilvl w:val="0"/>
          <w:numId w:val="2"/>
        </w:numPr>
        <w:spacing w:after="100" w:line="360"/>
      </w:pPr>
      <w:r>
        <w:rPr>
          <w:rFonts w:ascii="Arial" w:cs="Arial" w:eastAsia="Arial" w:hAnsi="Arial"/>
          <w:sz w:val="24"/>
          <w:szCs w:val="24"/>
        </w:rPr>
        <w:t xml:space="preserve">Off-target assessment (ASO ID | off-targets at ≥85% similarity | GRIN2A/1/3 cross-reactivity risk | total off-target burden)</w:t>
      </w:r>
    </w:p>
    <w:p>
      <w:pPr>
        <w:pStyle w:val="ListParagraph"/>
        <w:numPr>
          <w:ilvl w:val="0"/>
          <w:numId w:val="2"/>
        </w:numPr>
        <w:spacing w:after="100" w:line="360"/>
      </w:pPr>
      <w:r>
        <w:rPr>
          <w:rFonts w:ascii="Arial" w:cs="Arial" w:eastAsia="Arial" w:hAnsi="Arial"/>
          <w:sz w:val="24"/>
          <w:szCs w:val="24"/>
        </w:rPr>
        <w:t xml:space="preserve">Cross-reactivity matrix: GRIN2B variant selectivity vs GRIN2A/1/3 preservation for each ASO</w:t>
      </w:r>
    </w:p>
    <w:p>
      <w:pPr>
        <w:pStyle w:val="ListParagraph"/>
        <w:numPr>
          <w:ilvl w:val="0"/>
          <w:numId w:val="2"/>
        </w:numPr>
        <w:spacing w:after="100" w:line="360"/>
      </w:pPr>
      <w:r>
        <w:rPr>
          <w:rFonts w:ascii="Arial" w:cs="Arial" w:eastAsia="Arial" w:hAnsi="Arial"/>
          <w:sz w:val="24"/>
          <w:szCs w:val="24"/>
        </w:rPr>
        <w:t xml:space="preserve">Predicted phenotypic consequences of off-target hits (using Sapphire data: plasticity impairment, developmental effects)</w:t>
      </w:r>
    </w:p>
    <w:p>
      <w:pPr>
        <w:pStyle w:val="ListParagraph"/>
        <w:numPr>
          <w:ilvl w:val="0"/>
          <w:numId w:val="2"/>
        </w:numPr>
        <w:spacing w:after="100" w:line="360"/>
      </w:pPr>
      <w:r>
        <w:rPr>
          <w:rFonts w:ascii="Arial" w:cs="Arial" w:eastAsia="Arial" w:hAnsi="Arial"/>
          <w:sz w:val="24"/>
          <w:szCs w:val="24"/>
        </w:rPr>
        <w:t xml:space="preserve">Top 10 ASO candidates filtered by selectivity criteria (ΔΔTm ≥8°C variant selectivity; minimal off-targets; GRIN2A/1 preservation)</w:t>
      </w:r>
    </w:p>
    <w:p>
      <w:pPr>
        <w:pStyle w:val="ListParagraph"/>
        <w:numPr>
          <w:ilvl w:val="0"/>
          <w:numId w:val="2"/>
        </w:numPr>
        <w:spacing w:after="100" w:line="360"/>
      </w:pPr>
      <w:r>
        <w:rPr>
          <w:rFonts w:ascii="Arial" w:cs="Arial" w:eastAsia="Arial" w:hAnsi="Arial"/>
          <w:sz w:val="24"/>
          <w:szCs w:val="24"/>
        </w:rPr>
        <w:t xml:space="preserve">Selectivity confidence ranking for top 10 (probability of achieving desired selective knockdown in neurons with both alleles)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Off-target selectivity report (Excel matrix: ASO ID | wild-type ΔΔTm | off-target count | GRIN cross-reactivity | selectivity score) with thermal selectivity plots and off-target consequence predictions</w:t>
      </w:r>
    </w:p>
    <w:p>
      <w:pPr>
        <w:pStyle w:val="Heading2"/>
        <w:spacing w:after="200" w:before="200"/>
      </w:pPr>
      <w:r>
        <w:rPr>
          <w:rFonts w:ascii="Arial" w:cs="Arial" w:eastAsia="Arial" w:hAnsi="Arial"/>
          <w:b/>
          <w:bCs/>
          <w:sz w:val="28"/>
          <w:szCs w:val="28"/>
        </w:rPr>
        <w:t xml:space="preserve">Stage 4: Gain-of-Function Phenotype Rescue Modeling &amp; Functional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how variant-selective ASO knockdown rescues GRIN2B gain-of-function phenotypes using Sapphire's NMDA receptor perturbation data, predicting calcium influx suppression, channel kinetics normalization, and excitotoxicity rescue.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SNP-discriminating ASO candidates from Stage 3</w:t>
      </w:r>
    </w:p>
    <w:p>
      <w:pPr>
        <w:pStyle w:val="ListParagraph"/>
        <w:numPr>
          <w:ilvl w:val="0"/>
          <w:numId w:val="2"/>
        </w:numPr>
        <w:spacing w:after="100" w:line="360"/>
      </w:pPr>
      <w:r>
        <w:rPr>
          <w:rFonts w:ascii="Arial" w:cs="Arial" w:eastAsia="Arial" w:hAnsi="Arial"/>
          <w:sz w:val="24"/>
          <w:szCs w:val="24"/>
        </w:rPr>
        <w:t xml:space="preserve">Sapphire NMDA receptor perturbation database (GluN2B knockdown signatures; n=243 experiments, 500+ EP features)</w:t>
      </w:r>
    </w:p>
    <w:p>
      <w:pPr>
        <w:pStyle w:val="ListParagraph"/>
        <w:numPr>
          <w:ilvl w:val="0"/>
          <w:numId w:val="2"/>
        </w:numPr>
        <w:spacing w:after="100" w:line="360"/>
      </w:pPr>
      <w:r>
        <w:rPr>
          <w:rFonts w:ascii="Arial" w:cs="Arial" w:eastAsia="Arial" w:hAnsi="Arial"/>
          <w:sz w:val="24"/>
          <w:szCs w:val="24"/>
        </w:rPr>
        <w:t xml:space="preserve">Gain-of-function variant phenotypes: increased calcium influx, prolonged open times, impaired desensitization, seizure-like activity</w:t>
      </w:r>
    </w:p>
    <w:p>
      <w:pPr>
        <w:pStyle w:val="ListParagraph"/>
        <w:numPr>
          <w:ilvl w:val="0"/>
          <w:numId w:val="2"/>
        </w:numPr>
        <w:spacing w:after="100" w:line="360"/>
      </w:pPr>
      <w:r>
        <w:rPr>
          <w:rFonts w:ascii="Arial" w:cs="Arial" w:eastAsia="Arial" w:hAnsi="Arial"/>
          <w:sz w:val="24"/>
          <w:szCs w:val="24"/>
        </w:rPr>
        <w:t xml:space="preserve">Wild-type GRIN2B functional baseline: normal calcium kinetics, plasticity capacity, seizure resistance</w:t>
      </w:r>
    </w:p>
    <w:p>
      <w:pPr>
        <w:pStyle w:val="ListParagraph"/>
        <w:numPr>
          <w:ilvl w:val="0"/>
          <w:numId w:val="2"/>
        </w:numPr>
        <w:spacing w:after="100" w:line="360"/>
      </w:pPr>
      <w:r>
        <w:rPr>
          <w:rFonts w:ascii="Arial" w:cs="Arial" w:eastAsia="Arial" w:hAnsi="Arial"/>
          <w:sz w:val="24"/>
          <w:szCs w:val="24"/>
        </w:rPr>
        <w:t xml:space="preserve">Therapeutic target specification: desired phenotype outcome (calcium influx reduction, seizure threshold elevation, neuronal survival preservation)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NMDA phenotype module (query GluN2B perturbation dose-response curves; 40+ features related to calcium signaling, excitotoxicity)</w:t>
      </w:r>
    </w:p>
    <w:p>
      <w:pPr>
        <w:pStyle w:val="ListParagraph"/>
        <w:numPr>
          <w:ilvl w:val="0"/>
          <w:numId w:val="2"/>
        </w:numPr>
        <w:spacing w:after="100" w:line="360"/>
      </w:pPr>
      <w:r>
        <w:rPr>
          <w:rFonts w:ascii="Arial" w:cs="Arial" w:eastAsia="Arial" w:hAnsi="Arial"/>
          <w:sz w:val="24"/>
          <w:szCs w:val="24"/>
        </w:rPr>
        <w:t xml:space="preserve">Dose-response surface modeling (ASO concentration → GluN2B mRNA knockdown → phenotype rescue landscape)</w:t>
      </w:r>
    </w:p>
    <w:p>
      <w:pPr>
        <w:pStyle w:val="ListParagraph"/>
        <w:numPr>
          <w:ilvl w:val="0"/>
          <w:numId w:val="2"/>
        </w:numPr>
        <w:spacing w:after="100" w:line="360"/>
      </w:pPr>
      <w:r>
        <w:rPr>
          <w:rFonts w:ascii="Arial" w:cs="Arial" w:eastAsia="Arial" w:hAnsi="Arial"/>
          <w:sz w:val="24"/>
          <w:szCs w:val="24"/>
        </w:rPr>
        <w:t xml:space="preserve">Machine learning prediction (predict variant-selective knockdown consequences using Sapphire wild-type GluN2B data as reference)</w:t>
      </w:r>
    </w:p>
    <w:p>
      <w:pPr>
        <w:pStyle w:val="ListParagraph"/>
        <w:numPr>
          <w:ilvl w:val="0"/>
          <w:numId w:val="2"/>
        </w:numPr>
        <w:spacing w:after="100" w:line="360"/>
      </w:pPr>
      <w:r>
        <w:rPr>
          <w:rFonts w:ascii="Arial" w:cs="Arial" w:eastAsia="Arial" w:hAnsi="Arial"/>
          <w:sz w:val="24"/>
          <w:szCs w:val="24"/>
        </w:rPr>
        <w:t xml:space="preserve">Calcium dynamics modeling (Hodgkin-Huxley + calcium buffering equations; simulate NMDA receptor-mediated calcium influx at different GluN2B levels)</w:t>
      </w:r>
    </w:p>
    <w:p>
      <w:pPr>
        <w:pStyle w:val="ListParagraph"/>
        <w:numPr>
          <w:ilvl w:val="0"/>
          <w:numId w:val="2"/>
        </w:numPr>
        <w:spacing w:after="100" w:line="360"/>
      </w:pPr>
      <w:r>
        <w:rPr>
          <w:rFonts w:ascii="Arial" w:cs="Arial" w:eastAsia="Arial" w:hAnsi="Arial"/>
          <w:sz w:val="24"/>
          <w:szCs w:val="24"/>
        </w:rPr>
        <w:t xml:space="preserve">Seizure susceptibility model (integrate calcium dynamics into bursting/seizure-like activity prediction)</w:t>
      </w:r>
    </w:p>
    <w:p>
      <w:pPr>
        <w:pStyle w:val="ListParagraph"/>
        <w:numPr>
          <w:ilvl w:val="0"/>
          <w:numId w:val="2"/>
        </w:numPr>
        <w:spacing w:after="100" w:line="360"/>
      </w:pPr>
      <w:r>
        <w:rPr>
          <w:rFonts w:ascii="Arial" w:cs="Arial" w:eastAsia="Arial" w:hAnsi="Arial"/>
          <w:sz w:val="24"/>
          <w:szCs w:val="24"/>
        </w:rPr>
        <w:t xml:space="preserve">Functional rescue validation (compare ASO-treated variant vs native wild-type phenotype profiles)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Using Sapphire data, retrieve GluN2B knockdown phenotypes for 40+ calcium and electrophysiology features; map to gain-of-function variant phenotypes</w:t>
      </w:r>
    </w:p>
    <w:p>
      <w:pPr>
        <w:pStyle w:val="ListParagraph"/>
        <w:numPr>
          <w:ilvl w:val="0"/>
          <w:numId w:val="2"/>
        </w:numPr>
        <w:spacing w:after="100" w:line="360"/>
      </w:pPr>
      <w:r>
        <w:rPr>
          <w:rFonts w:ascii="Arial" w:cs="Arial" w:eastAsia="Arial" w:hAnsi="Arial"/>
          <w:sz w:val="24"/>
          <w:szCs w:val="24"/>
        </w:rPr>
        <w:t xml:space="preserve">At what GluN2B knockdown level (%) do gain-of-function calcium influx phenotypes revert to wild-type baseline?</w:t>
      </w:r>
    </w:p>
    <w:p>
      <w:pPr>
        <w:pStyle w:val="ListParagraph"/>
        <w:numPr>
          <w:ilvl w:val="0"/>
          <w:numId w:val="2"/>
        </w:numPr>
        <w:spacing w:after="100" w:line="360"/>
      </w:pPr>
      <w:r>
        <w:rPr>
          <w:rFonts w:ascii="Arial" w:cs="Arial" w:eastAsia="Arial" w:hAnsi="Arial"/>
          <w:sz w:val="24"/>
          <w:szCs w:val="24"/>
        </w:rPr>
        <w:t xml:space="preserve">Simulate calcium dynamics (Hodgkin-Huxley + NMDA current equations) at different GluN2B levels; identify knockdown level reversing pathological calcium overload</w:t>
      </w:r>
    </w:p>
    <w:p>
      <w:pPr>
        <w:pStyle w:val="ListParagraph"/>
        <w:numPr>
          <w:ilvl w:val="0"/>
          <w:numId w:val="2"/>
        </w:numPr>
        <w:spacing w:after="100" w:line="360"/>
      </w:pPr>
      <w:r>
        <w:rPr>
          <w:rFonts w:ascii="Arial" w:cs="Arial" w:eastAsia="Arial" w:hAnsi="Arial"/>
          <w:sz w:val="24"/>
          <w:szCs w:val="24"/>
        </w:rPr>
        <w:t xml:space="preserve">Predict therapeutic index: GluN2B knockdown % that rescues gain-of-function while preserving ≥70% normal GRIN2B function (synaptic plasticity)</w:t>
      </w:r>
    </w:p>
    <w:p>
      <w:pPr>
        <w:pStyle w:val="ListParagraph"/>
        <w:numPr>
          <w:ilvl w:val="0"/>
          <w:numId w:val="2"/>
        </w:numPr>
        <w:spacing w:after="100" w:line="360"/>
      </w:pPr>
      <w:r>
        <w:rPr>
          <w:rFonts w:ascii="Arial" w:cs="Arial" w:eastAsia="Arial" w:hAnsi="Arial"/>
          <w:sz w:val="24"/>
          <w:szCs w:val="24"/>
        </w:rPr>
        <w:t xml:space="preserve">For each top 10 ASO candidate, predict the phenotypic rescue profile when applied to neurons expressing variant GRIN2B alleles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GluN2B gain-of-function phenotype profiles (variant-specific calcium influx, kinetics, seizure susceptibility vs wild-type baseline)</w:t>
      </w:r>
    </w:p>
    <w:p>
      <w:pPr>
        <w:pStyle w:val="ListParagraph"/>
        <w:numPr>
          <w:ilvl w:val="0"/>
          <w:numId w:val="2"/>
        </w:numPr>
        <w:spacing w:after="100" w:line="360"/>
      </w:pPr>
      <w:r>
        <w:rPr>
          <w:rFonts w:ascii="Arial" w:cs="Arial" w:eastAsia="Arial" w:hAnsi="Arial"/>
          <w:sz w:val="24"/>
          <w:szCs w:val="24"/>
        </w:rPr>
        <w:t xml:space="preserve">Dose-response rescue modeling for top 10 ASOs (ASO concentration → GluN2B knockdown → phenotype rescue across 40+ features)</w:t>
      </w:r>
    </w:p>
    <w:p>
      <w:pPr>
        <w:pStyle w:val="ListParagraph"/>
        <w:numPr>
          <w:ilvl w:val="0"/>
          <w:numId w:val="2"/>
        </w:numPr>
        <w:spacing w:after="100" w:line="360"/>
      </w:pPr>
      <w:r>
        <w:rPr>
          <w:rFonts w:ascii="Arial" w:cs="Arial" w:eastAsia="Arial" w:hAnsi="Arial"/>
          <w:sz w:val="24"/>
          <w:szCs w:val="24"/>
        </w:rPr>
        <w:t xml:space="preserve">Therapeutic window identification: GluN2B knockdown % needed for gain-of-function rescue; safety margin for wild-type function preservation</w:t>
      </w:r>
    </w:p>
    <w:p>
      <w:pPr>
        <w:pStyle w:val="ListParagraph"/>
        <w:numPr>
          <w:ilvl w:val="0"/>
          <w:numId w:val="2"/>
        </w:numPr>
        <w:spacing w:after="100" w:line="360"/>
      </w:pPr>
      <w:r>
        <w:rPr>
          <w:rFonts w:ascii="Arial" w:cs="Arial" w:eastAsia="Arial" w:hAnsi="Arial"/>
          <w:sz w:val="24"/>
          <w:szCs w:val="24"/>
        </w:rPr>
        <w:t xml:space="preserve">Calcium dynamics simulations (NMDA-mediated calcium influx at different GluN2B levels; pathological vs normal Ca2+ trajectory prediction)</w:t>
      </w:r>
    </w:p>
    <w:p>
      <w:pPr>
        <w:pStyle w:val="ListParagraph"/>
        <w:numPr>
          <w:ilvl w:val="0"/>
          <w:numId w:val="2"/>
        </w:numPr>
        <w:spacing w:after="100" w:line="360"/>
      </w:pPr>
      <w:r>
        <w:rPr>
          <w:rFonts w:ascii="Arial" w:cs="Arial" w:eastAsia="Arial" w:hAnsi="Arial"/>
          <w:sz w:val="24"/>
          <w:szCs w:val="24"/>
        </w:rPr>
        <w:t xml:space="preserve">Seizure susceptibility predictions (model seizure threshold elevation as function of GluN2B knockdown)</w:t>
      </w:r>
    </w:p>
    <w:p>
      <w:pPr>
        <w:pStyle w:val="ListParagraph"/>
        <w:numPr>
          <w:ilvl w:val="0"/>
          <w:numId w:val="2"/>
        </w:numPr>
        <w:spacing w:after="100" w:line="360"/>
      </w:pPr>
      <w:r>
        <w:rPr>
          <w:rFonts w:ascii="Arial" w:cs="Arial" w:eastAsia="Arial" w:hAnsi="Arial"/>
          <w:sz w:val="24"/>
          <w:szCs w:val="24"/>
        </w:rPr>
        <w:t xml:space="preserve">Top 5-6 ASO candidates with optimal gain-of-function rescue + wild-type preservation composite phenotype scores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Functional rescue report (PDF with Sapphire phenotype overlays, dose-response rescue curves, calcium dynamics simulations, seizure threshold predictions) plus recommended therapeutic ASO dosing range</w:t>
      </w:r>
    </w:p>
    <w:p>
      <w:pPr>
        <w:pStyle w:val="Heading2"/>
        <w:spacing w:after="200" w:before="200"/>
      </w:pPr>
      <w:r>
        <w:rPr>
          <w:rFonts w:ascii="Arial" w:cs="Arial" w:eastAsia="Arial" w:hAnsi="Arial"/>
          <w:b/>
          <w:bCs/>
          <w:sz w:val="28"/>
          <w:szCs w:val="28"/>
        </w:rPr>
        <w:t xml:space="preserve">Stage 5: Neuronal Toxicity &amp; Developmental Impact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potential toxicity from variant-selective GluN2B knockdown, including developmental consequences, plasticity impairment, and off-target toxicity from secondary target hits, predicting safe therapeutic windows.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6 ASO candidates from Stage 4</w:t>
      </w:r>
    </w:p>
    <w:p>
      <w:pPr>
        <w:pStyle w:val="ListParagraph"/>
        <w:numPr>
          <w:ilvl w:val="0"/>
          <w:numId w:val="2"/>
        </w:numPr>
        <w:spacing w:after="100" w:line="360"/>
      </w:pPr>
      <w:r>
        <w:rPr>
          <w:rFonts w:ascii="Arial" w:cs="Arial" w:eastAsia="Arial" w:hAnsi="Arial"/>
          <w:sz w:val="24"/>
          <w:szCs w:val="24"/>
        </w:rPr>
        <w:t xml:space="preserve">Off-target transcript consequences (from Stage 3; predicted knockdown of secondary targets)</w:t>
      </w:r>
    </w:p>
    <w:p>
      <w:pPr>
        <w:pStyle w:val="ListParagraph"/>
        <w:numPr>
          <w:ilvl w:val="0"/>
          <w:numId w:val="2"/>
        </w:numPr>
        <w:spacing w:after="100" w:line="360"/>
      </w:pPr>
      <w:r>
        <w:rPr>
          <w:rFonts w:ascii="Arial" w:cs="Arial" w:eastAsia="Arial" w:hAnsi="Arial"/>
          <w:sz w:val="24"/>
          <w:szCs w:val="24"/>
        </w:rPr>
        <w:t xml:space="preserve">Sapphire developmental phenotype data (GluN2B expression during development; plasticity markers)</w:t>
      </w:r>
    </w:p>
    <w:p>
      <w:pPr>
        <w:pStyle w:val="ListParagraph"/>
        <w:numPr>
          <w:ilvl w:val="0"/>
          <w:numId w:val="2"/>
        </w:numPr>
        <w:spacing w:after="100" w:line="360"/>
      </w:pPr>
      <w:r>
        <w:rPr>
          <w:rFonts w:ascii="Arial" w:cs="Arial" w:eastAsia="Arial" w:hAnsi="Arial"/>
          <w:sz w:val="24"/>
          <w:szCs w:val="24"/>
        </w:rPr>
        <w:t xml:space="preserve">Neuronal health markers: survival, dendritic morphology, synaptogenesis, spine density</w:t>
      </w:r>
    </w:p>
    <w:p>
      <w:pPr>
        <w:pStyle w:val="ListParagraph"/>
        <w:numPr>
          <w:ilvl w:val="0"/>
          <w:numId w:val="2"/>
        </w:numPr>
        <w:spacing w:after="100" w:line="360"/>
      </w:pPr>
      <w:r>
        <w:rPr>
          <w:rFonts w:ascii="Arial" w:cs="Arial" w:eastAsia="Arial" w:hAnsi="Arial"/>
          <w:sz w:val="24"/>
          <w:szCs w:val="24"/>
        </w:rPr>
        <w:t xml:space="preserve">Excitotoxicity risk assessment (balance between excessive NMDA signaling reduction vs protective threshold)</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developmental module (query GluN2B knockdown effects on developmental phenotypes; dendrite growth, synaptogenesis)</w:t>
      </w:r>
    </w:p>
    <w:p>
      <w:pPr>
        <w:pStyle w:val="ListParagraph"/>
        <w:numPr>
          <w:ilvl w:val="0"/>
          <w:numId w:val="2"/>
        </w:numPr>
        <w:spacing w:after="100" w:line="360"/>
      </w:pPr>
      <w:r>
        <w:rPr>
          <w:rFonts w:ascii="Arial" w:cs="Arial" w:eastAsia="Arial" w:hAnsi="Arial"/>
          <w:sz w:val="24"/>
          <w:szCs w:val="24"/>
        </w:rPr>
        <w:t xml:space="preserve">Plasticity scoring algorithm (predict NMDA-dependent LTP/LTD from GluN2B knockdown level vs baseline)</w:t>
      </w:r>
    </w:p>
    <w:p>
      <w:pPr>
        <w:pStyle w:val="ListParagraph"/>
        <w:numPr>
          <w:ilvl w:val="0"/>
          <w:numId w:val="2"/>
        </w:numPr>
        <w:spacing w:after="100" w:line="360"/>
      </w:pPr>
      <w:r>
        <w:rPr>
          <w:rFonts w:ascii="Arial" w:cs="Arial" w:eastAsia="Arial" w:hAnsi="Arial"/>
          <w:sz w:val="24"/>
          <w:szCs w:val="24"/>
        </w:rPr>
        <w:t xml:space="preserve">Neurotoxicity prediction model (Deep learning; off-target transcript knockdown → neuronal toxicity probability)</w:t>
      </w:r>
    </w:p>
    <w:p>
      <w:pPr>
        <w:pStyle w:val="ListParagraph"/>
        <w:numPr>
          <w:ilvl w:val="0"/>
          <w:numId w:val="2"/>
        </w:numPr>
        <w:spacing w:after="100" w:line="360"/>
      </w:pPr>
      <w:r>
        <w:rPr>
          <w:rFonts w:ascii="Arial" w:cs="Arial" w:eastAsia="Arial" w:hAnsi="Arial"/>
          <w:sz w:val="24"/>
          <w:szCs w:val="24"/>
        </w:rPr>
        <w:t xml:space="preserve">Systems biology pathway analysis (GluN2B knockdown → calcium-dependent transcription factors → gene expression consequences)</w:t>
      </w:r>
    </w:p>
    <w:p>
      <w:pPr>
        <w:pStyle w:val="ListParagraph"/>
        <w:numPr>
          <w:ilvl w:val="0"/>
          <w:numId w:val="2"/>
        </w:numPr>
        <w:spacing w:after="100" w:line="360"/>
      </w:pPr>
      <w:r>
        <w:rPr>
          <w:rFonts w:ascii="Arial" w:cs="Arial" w:eastAsia="Arial" w:hAnsi="Arial"/>
          <w:sz w:val="24"/>
          <w:szCs w:val="24"/>
        </w:rPr>
        <w:t xml:space="preserve">Survival/health assay predictor (predict neuronal viability from GluN2B knockdown + off-target consequences)</w:t>
      </w:r>
    </w:p>
    <w:p>
      <w:pPr>
        <w:pStyle w:val="ListParagraph"/>
        <w:numPr>
          <w:ilvl w:val="0"/>
          <w:numId w:val="2"/>
        </w:numPr>
        <w:spacing w:after="100" w:line="360"/>
      </w:pPr>
      <w:r>
        <w:rPr>
          <w:rFonts w:ascii="Arial" w:cs="Arial" w:eastAsia="Arial" w:hAnsi="Arial"/>
          <w:sz w:val="24"/>
          <w:szCs w:val="24"/>
        </w:rPr>
        <w:t xml:space="preserve">Safe toxicology window calculator (integrate efficacy, plasticity preservation, off-target toxicity to identify safety window)</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Using Sapphire data, assess how GluN2B knockdown impacts developmental neuron phenotypes (synaptogenesis, dendritic branching, growth cone dynamics)</w:t>
      </w:r>
    </w:p>
    <w:p>
      <w:pPr>
        <w:pStyle w:val="ListParagraph"/>
        <w:numPr>
          <w:ilvl w:val="0"/>
          <w:numId w:val="2"/>
        </w:numPr>
        <w:spacing w:after="100" w:line="360"/>
      </w:pPr>
      <w:r>
        <w:rPr>
          <w:rFonts w:ascii="Arial" w:cs="Arial" w:eastAsia="Arial" w:hAnsi="Arial"/>
          <w:sz w:val="24"/>
          <w:szCs w:val="24"/>
        </w:rPr>
        <w:t xml:space="preserve">Predict plasticity impairment: at what GluN2B knockdown level (%) do NMDA-dependent LTP/LTD mechanisms become significantly impaired?</w:t>
      </w:r>
    </w:p>
    <w:p>
      <w:pPr>
        <w:pStyle w:val="ListParagraph"/>
        <w:numPr>
          <w:ilvl w:val="0"/>
          <w:numId w:val="2"/>
        </w:numPr>
        <w:spacing w:after="100" w:line="360"/>
      </w:pPr>
      <w:r>
        <w:rPr>
          <w:rFonts w:ascii="Arial" w:cs="Arial" w:eastAsia="Arial" w:hAnsi="Arial"/>
          <w:sz w:val="24"/>
          <w:szCs w:val="24"/>
        </w:rPr>
        <w:t xml:space="preserve">Assess off-target toxicity: for top 6 ASOs, predict neuronal health consequences from secondary target hits (GRIN2A, other off-targets)</w:t>
      </w:r>
    </w:p>
    <w:p>
      <w:pPr>
        <w:pStyle w:val="ListParagraph"/>
        <w:numPr>
          <w:ilvl w:val="0"/>
          <w:numId w:val="2"/>
        </w:numPr>
        <w:spacing w:after="100" w:line="360"/>
      </w:pPr>
      <w:r>
        <w:rPr>
          <w:rFonts w:ascii="Arial" w:cs="Arial" w:eastAsia="Arial" w:hAnsi="Arial"/>
          <w:sz w:val="24"/>
          <w:szCs w:val="24"/>
        </w:rPr>
        <w:t xml:space="preserve">Model excitotoxicity balance: excessive GluN2B knockdown could cause insufficient neuroprotection; identify minimum GluN2B level needed for basal neuroprotection</w:t>
      </w:r>
    </w:p>
    <w:p>
      <w:pPr>
        <w:pStyle w:val="ListParagraph"/>
        <w:numPr>
          <w:ilvl w:val="0"/>
          <w:numId w:val="2"/>
        </w:numPr>
        <w:spacing w:after="100" w:line="360"/>
      </w:pPr>
      <w:r>
        <w:rPr>
          <w:rFonts w:ascii="Arial" w:cs="Arial" w:eastAsia="Arial" w:hAnsi="Arial"/>
          <w:sz w:val="24"/>
          <w:szCs w:val="24"/>
        </w:rPr>
        <w:t xml:space="preserve">Rank candidates by toxicity profile: select top 4 ASOs with safe therapeutic window (efficacy + plasticity preservation + minimal off-target toxicity)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Developmental impact assessment (GluN2B knockdown effects on synaptogenesis, dendritic growth, spine density from Sapphire data)</w:t>
      </w:r>
    </w:p>
    <w:p>
      <w:pPr>
        <w:pStyle w:val="ListParagraph"/>
        <w:numPr>
          <w:ilvl w:val="0"/>
          <w:numId w:val="2"/>
        </w:numPr>
        <w:spacing w:after="100" w:line="360"/>
      </w:pPr>
      <w:r>
        <w:rPr>
          <w:rFonts w:ascii="Arial" w:cs="Arial" w:eastAsia="Arial" w:hAnsi="Arial"/>
          <w:sz w:val="24"/>
          <w:szCs w:val="24"/>
        </w:rPr>
        <w:t xml:space="preserve">Plasticity preservation predictions (NMDA-dependent LTP/LTD capacity at different GluN2B knockdown levels)</w:t>
      </w:r>
    </w:p>
    <w:p>
      <w:pPr>
        <w:pStyle w:val="ListParagraph"/>
        <w:numPr>
          <w:ilvl w:val="0"/>
          <w:numId w:val="2"/>
        </w:numPr>
        <w:spacing w:after="100" w:line="360"/>
      </w:pPr>
      <w:r>
        <w:rPr>
          <w:rFonts w:ascii="Arial" w:cs="Arial" w:eastAsia="Arial" w:hAnsi="Arial"/>
          <w:sz w:val="24"/>
          <w:szCs w:val="24"/>
        </w:rPr>
        <w:t xml:space="preserve">Off-target toxicity predictions (neuronal health impact from unintended secondary target knockdown)</w:t>
      </w:r>
    </w:p>
    <w:p>
      <w:pPr>
        <w:pStyle w:val="ListParagraph"/>
        <w:numPr>
          <w:ilvl w:val="0"/>
          <w:numId w:val="2"/>
        </w:numPr>
        <w:spacing w:after="100" w:line="360"/>
      </w:pPr>
      <w:r>
        <w:rPr>
          <w:rFonts w:ascii="Arial" w:cs="Arial" w:eastAsia="Arial" w:hAnsi="Arial"/>
          <w:sz w:val="24"/>
          <w:szCs w:val="24"/>
        </w:rPr>
        <w:t xml:space="preserve">Excitotoxicity safety window (minimum GluN2B level needed for basal neuroprotection; maximum knockdown for plasticity preservation)</w:t>
      </w:r>
    </w:p>
    <w:p>
      <w:pPr>
        <w:pStyle w:val="ListParagraph"/>
        <w:numPr>
          <w:ilvl w:val="0"/>
          <w:numId w:val="2"/>
        </w:numPr>
        <w:spacing w:after="100" w:line="360"/>
      </w:pPr>
      <w:r>
        <w:rPr>
          <w:rFonts w:ascii="Arial" w:cs="Arial" w:eastAsia="Arial" w:hAnsi="Arial"/>
          <w:sz w:val="24"/>
          <w:szCs w:val="24"/>
        </w:rPr>
        <w:t xml:space="preserve">Composite neurotoxicity ranking (integration of developmental, plasticity, and off-target safety factors)</w:t>
      </w:r>
    </w:p>
    <w:p>
      <w:pPr>
        <w:pStyle w:val="ListParagraph"/>
        <w:numPr>
          <w:ilvl w:val="0"/>
          <w:numId w:val="2"/>
        </w:numPr>
        <w:spacing w:after="100" w:line="360"/>
      </w:pPr>
      <w:r>
        <w:rPr>
          <w:rFonts w:ascii="Arial" w:cs="Arial" w:eastAsia="Arial" w:hAnsi="Arial"/>
          <w:sz w:val="24"/>
          <w:szCs w:val="24"/>
        </w:rPr>
        <w:t xml:space="preserve">Top 4 ASO candidates with acceptable toxicity profile and recommended therapeutic GluN2B knockdown range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Safety assessment report (PDF with Sapphire developmental phenotype data, plasticity preservation curves, off-target toxicity predictions) plus toxicity risk gauge for top candidates</w:t>
      </w:r>
    </w:p>
    <w:p>
      <w:pPr>
        <w:pStyle w:val="Heading2"/>
        <w:spacing w:after="200" w:before="200"/>
      </w:pPr>
      <w:r>
        <w:rPr>
          <w:rFonts w:ascii="Arial" w:cs="Arial" w:eastAsia="Arial" w:hAnsi="Arial"/>
          <w:b/>
          <w:bCs/>
          <w:sz w:val="28"/>
          <w:szCs w:val="28"/>
        </w:rPr>
        <w:t xml:space="preserve">Stage 6: Integrated Allele-Selective Rescue &amp; Lead Candidate Nomination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comprehensive validation of top 4 ASO candidates for SNP-selectivity, gain-of-function rescue, and safety margins; nominate top 2 leads for preclinical therapeutic development targeting GRIN2B gain-of-function epilepsy.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4 toxicity-validated ASO candidates from Stage 5</w:t>
      </w:r>
    </w:p>
    <w:p>
      <w:pPr>
        <w:pStyle w:val="ListParagraph"/>
        <w:numPr>
          <w:ilvl w:val="0"/>
          <w:numId w:val="2"/>
        </w:numPr>
        <w:spacing w:after="100" w:line="360"/>
      </w:pPr>
      <w:r>
        <w:rPr>
          <w:rFonts w:ascii="Arial" w:cs="Arial" w:eastAsia="Arial" w:hAnsi="Arial"/>
          <w:sz w:val="24"/>
          <w:szCs w:val="24"/>
        </w:rPr>
        <w:t xml:space="preserve">Comprehensive Sapphire NMDA receptor dataset (full phenotype profiles for variant vs wild-type GRIN2B)</w:t>
      </w:r>
    </w:p>
    <w:p>
      <w:pPr>
        <w:pStyle w:val="ListParagraph"/>
        <w:numPr>
          <w:ilvl w:val="0"/>
          <w:numId w:val="2"/>
        </w:numPr>
        <w:spacing w:after="100" w:line="360"/>
      </w:pPr>
      <w:r>
        <w:rPr>
          <w:rFonts w:ascii="Arial" w:cs="Arial" w:eastAsia="Arial" w:hAnsi="Arial"/>
          <w:sz w:val="24"/>
          <w:szCs w:val="24"/>
        </w:rPr>
        <w:t xml:space="preserve">Detailed variant patient phenotypes (seizure frequency, EEG characteristics, developmental outcomes)</w:t>
      </w:r>
    </w:p>
    <w:p>
      <w:pPr>
        <w:pStyle w:val="ListParagraph"/>
        <w:numPr>
          <w:ilvl w:val="0"/>
          <w:numId w:val="2"/>
        </w:numPr>
        <w:spacing w:after="100" w:line="360"/>
      </w:pPr>
      <w:r>
        <w:rPr>
          <w:rFonts w:ascii="Arial" w:cs="Arial" w:eastAsia="Arial" w:hAnsi="Arial"/>
          <w:sz w:val="24"/>
          <w:szCs w:val="24"/>
        </w:rPr>
        <w:t xml:space="preserve">Therapeutic target specification: optimal seizure threshold elevation, developmental/cognitive outcome preservation</w:t>
      </w:r>
    </w:p>
    <w:p>
      <w:pPr>
        <w:pStyle w:val="ListParagraph"/>
        <w:numPr>
          <w:ilvl w:val="0"/>
          <w:numId w:val="2"/>
        </w:numPr>
        <w:spacing w:after="100" w:line="360"/>
      </w:pPr>
      <w:r>
        <w:rPr>
          <w:rFonts w:ascii="Arial" w:cs="Arial" w:eastAsia="Arial" w:hAnsi="Arial"/>
          <w:sz w:val="24"/>
          <w:szCs w:val="24"/>
        </w:rPr>
        <w:t xml:space="preserve">Manufacturing and clinical development requirements (ASO chemistry stability, manufacturing feasibility, regulatory path)</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integrated phenotype atlas (comprehensive query combining all GluN2B variant and wild-type phenotypes across 500+ features)</w:t>
      </w:r>
    </w:p>
    <w:p>
      <w:pPr>
        <w:pStyle w:val="ListParagraph"/>
        <w:numPr>
          <w:ilvl w:val="0"/>
          <w:numId w:val="2"/>
        </w:numPr>
        <w:spacing w:after="100" w:line="360"/>
      </w:pPr>
      <w:r>
        <w:rPr>
          <w:rFonts w:ascii="Arial" w:cs="Arial" w:eastAsia="Arial" w:hAnsi="Arial"/>
          <w:sz w:val="24"/>
          <w:szCs w:val="24"/>
        </w:rPr>
        <w:t xml:space="preserve">Composite scoring algorithm (integrate SNP selectivity, efficacy, safety, manufacturability into lead ranking)</w:t>
      </w:r>
    </w:p>
    <w:p>
      <w:pPr>
        <w:pStyle w:val="ListParagraph"/>
        <w:numPr>
          <w:ilvl w:val="0"/>
          <w:numId w:val="2"/>
        </w:numPr>
        <w:spacing w:after="100" w:line="360"/>
      </w:pPr>
      <w:r>
        <w:rPr>
          <w:rFonts w:ascii="Arial" w:cs="Arial" w:eastAsia="Arial" w:hAnsi="Arial"/>
          <w:sz w:val="24"/>
          <w:szCs w:val="24"/>
        </w:rPr>
        <w:t xml:space="preserve">Clinical phenotype mapping (match predicted ASO rescue phenotypes to patient seizure/developmental outcomes)</w:t>
      </w:r>
    </w:p>
    <w:p>
      <w:pPr>
        <w:pStyle w:val="ListParagraph"/>
        <w:numPr>
          <w:ilvl w:val="0"/>
          <w:numId w:val="2"/>
        </w:numPr>
        <w:spacing w:after="100" w:line="360"/>
      </w:pPr>
      <w:r>
        <w:rPr>
          <w:rFonts w:ascii="Arial" w:cs="Arial" w:eastAsia="Arial" w:hAnsi="Arial"/>
          <w:sz w:val="24"/>
          <w:szCs w:val="24"/>
        </w:rPr>
        <w:t xml:space="preserve">Preclinical validation planning (design in vitro + in vivo experiments to confirm SNP selectivity and gain-of-function rescue)</w:t>
      </w:r>
    </w:p>
    <w:p>
      <w:pPr>
        <w:pStyle w:val="ListParagraph"/>
        <w:numPr>
          <w:ilvl w:val="0"/>
          <w:numId w:val="2"/>
        </w:numPr>
        <w:spacing w:after="100" w:line="360"/>
      </w:pPr>
      <w:r>
        <w:rPr>
          <w:rFonts w:ascii="Arial" w:cs="Arial" w:eastAsia="Arial" w:hAnsi="Arial"/>
          <w:sz w:val="24"/>
          <w:szCs w:val="24"/>
        </w:rPr>
        <w:t xml:space="preserve">Manufacturing and regulatory assessment (GMP synthesis feasibility, IND-enabling study design)</w:t>
      </w:r>
    </w:p>
    <w:p>
      <w:pPr>
        <w:pStyle w:val="ListParagraph"/>
        <w:numPr>
          <w:ilvl w:val="0"/>
          <w:numId w:val="2"/>
        </w:numPr>
        <w:spacing w:after="100" w:line="360"/>
      </w:pPr>
      <w:r>
        <w:rPr>
          <w:rFonts w:ascii="Arial" w:cs="Arial" w:eastAsia="Arial" w:hAnsi="Arial"/>
          <w:sz w:val="24"/>
          <w:szCs w:val="24"/>
        </w:rPr>
        <w:t xml:space="preserve">Lead optimization tool (nominate top 2 candidates with strongest overall profile for preclinical development)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top 4 ASO candidates, integrate all Stage 1-5 data: selectivity score × efficacy × safety × manufacturability; rank by composite score</w:t>
      </w:r>
    </w:p>
    <w:p>
      <w:pPr>
        <w:pStyle w:val="ListParagraph"/>
        <w:numPr>
          <w:ilvl w:val="0"/>
          <w:numId w:val="2"/>
        </w:numPr>
        <w:spacing w:after="100" w:line="360"/>
      </w:pPr>
      <w:r>
        <w:rPr>
          <w:rFonts w:ascii="Arial" w:cs="Arial" w:eastAsia="Arial" w:hAnsi="Arial"/>
          <w:sz w:val="24"/>
          <w:szCs w:val="24"/>
        </w:rPr>
        <w:t xml:space="preserve">Match predicted ASO rescue phenotypes to patient clinical outcomes: which ASOs best address seizure frequency, EEG normalization, cognitive preservation?</w:t>
      </w:r>
    </w:p>
    <w:p>
      <w:pPr>
        <w:pStyle w:val="ListParagraph"/>
        <w:numPr>
          <w:ilvl w:val="0"/>
          <w:numId w:val="2"/>
        </w:numPr>
        <w:spacing w:after="100" w:line="360"/>
      </w:pPr>
      <w:r>
        <w:rPr>
          <w:rFonts w:ascii="Arial" w:cs="Arial" w:eastAsia="Arial" w:hAnsi="Arial"/>
          <w:sz w:val="24"/>
          <w:szCs w:val="24"/>
        </w:rPr>
        <w:t xml:space="preserve">For each lead candidate, design preclinical validation experiments: in vitro allele selectivity (qPCR, Western blot), calcium imaging rescue, patch-clamp electrophysiology</w:t>
      </w:r>
    </w:p>
    <w:p>
      <w:pPr>
        <w:pStyle w:val="ListParagraph"/>
        <w:numPr>
          <w:ilvl w:val="0"/>
          <w:numId w:val="2"/>
        </w:numPr>
        <w:spacing w:after="100" w:line="360"/>
      </w:pPr>
      <w:r>
        <w:rPr>
          <w:rFonts w:ascii="Arial" w:cs="Arial" w:eastAsia="Arial" w:hAnsi="Arial"/>
          <w:sz w:val="24"/>
          <w:szCs w:val="24"/>
        </w:rPr>
        <w:t xml:space="preserve">Assess manufacturing feasibility and regulatory path: are top 2 candidates synthesizable at GMP scale? What IND-enabling studies are required?</w:t>
      </w:r>
    </w:p>
    <w:p>
      <w:pPr>
        <w:pStyle w:val="ListParagraph"/>
        <w:numPr>
          <w:ilvl w:val="0"/>
          <w:numId w:val="2"/>
        </w:numPr>
        <w:spacing w:after="100" w:line="360"/>
      </w:pPr>
      <w:r>
        <w:rPr>
          <w:rFonts w:ascii="Arial" w:cs="Arial" w:eastAsia="Arial" w:hAnsi="Arial"/>
          <w:sz w:val="24"/>
          <w:szCs w:val="24"/>
        </w:rPr>
        <w:t xml:space="preserve">Nominate top 2 lead ASOs with complete development package: sequence, chemistry, predicted efficacy/safety profile, preclinical validation plan, IND path</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functional validation profiles for all 4 candidates (SNP selectivity confirmation, gain-of-function rescue prediction, toxicity margins, wild-type preservation)</w:t>
      </w:r>
    </w:p>
    <w:p>
      <w:pPr>
        <w:pStyle w:val="ListParagraph"/>
        <w:numPr>
          <w:ilvl w:val="0"/>
          <w:numId w:val="2"/>
        </w:numPr>
        <w:spacing w:after="100" w:line="360"/>
      </w:pPr>
      <w:r>
        <w:rPr>
          <w:rFonts w:ascii="Arial" w:cs="Arial" w:eastAsia="Arial" w:hAnsi="Arial"/>
          <w:sz w:val="24"/>
          <w:szCs w:val="24"/>
        </w:rPr>
        <w:t xml:space="preserve">Composite ranking scores (selectivity × efficacy × safety × manufacturability) for all 4 candidates</w:t>
      </w:r>
    </w:p>
    <w:p>
      <w:pPr>
        <w:pStyle w:val="ListParagraph"/>
        <w:numPr>
          <w:ilvl w:val="0"/>
          <w:numId w:val="2"/>
        </w:numPr>
        <w:spacing w:after="100" w:line="360"/>
      </w:pPr>
      <w:r>
        <w:rPr>
          <w:rFonts w:ascii="Arial" w:cs="Arial" w:eastAsia="Arial" w:hAnsi="Arial"/>
          <w:sz w:val="24"/>
          <w:szCs w:val="24"/>
        </w:rPr>
        <w:t xml:space="preserve">Clinical phenotype mapping (predicted seizure reduction, EEG normalization, developmental outcome preservation for each candidate)</w:t>
      </w:r>
    </w:p>
    <w:p>
      <w:pPr>
        <w:pStyle w:val="ListParagraph"/>
        <w:numPr>
          <w:ilvl w:val="0"/>
          <w:numId w:val="2"/>
        </w:numPr>
        <w:spacing w:after="100" w:line="360"/>
      </w:pPr>
      <w:r>
        <w:rPr>
          <w:rFonts w:ascii="Arial" w:cs="Arial" w:eastAsia="Arial" w:hAnsi="Arial"/>
          <w:sz w:val="24"/>
          <w:szCs w:val="24"/>
        </w:rPr>
        <w:t xml:space="preserve">Top 2 lead ASO candidates with complete specifications: sequence, ΔΔTm selectivity, predicted phenotype rescue, safety margins, dosing recommendations</w:t>
      </w:r>
    </w:p>
    <w:p>
      <w:pPr>
        <w:pStyle w:val="ListParagraph"/>
        <w:numPr>
          <w:ilvl w:val="0"/>
          <w:numId w:val="2"/>
        </w:numPr>
        <w:spacing w:after="100" w:line="360"/>
      </w:pPr>
      <w:r>
        <w:rPr>
          <w:rFonts w:ascii="Arial" w:cs="Arial" w:eastAsia="Arial" w:hAnsi="Arial"/>
          <w:sz w:val="24"/>
          <w:szCs w:val="24"/>
        </w:rPr>
        <w:t xml:space="preserve">Preclinical validation master plan: in vitro selectivity assays, primary neuron culture rescue experiments, mouse gain-of-function model studies</w:t>
      </w:r>
    </w:p>
    <w:p>
      <w:pPr>
        <w:pStyle w:val="ListParagraph"/>
        <w:numPr>
          <w:ilvl w:val="0"/>
          <w:numId w:val="2"/>
        </w:numPr>
        <w:spacing w:after="100" w:line="360"/>
      </w:pPr>
      <w:r>
        <w:rPr>
          <w:rFonts w:ascii="Arial" w:cs="Arial" w:eastAsia="Arial" w:hAnsi="Arial"/>
          <w:sz w:val="24"/>
          <w:szCs w:val="24"/>
        </w:rPr>
        <w:t xml:space="preserve">IND-enabling study roadmap: manufacturing scale-up, GMP synthesis, toxicology studies (cardiovascular, hepatic), pharmacokinetics, dosing/safety margin definition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Lead candidate nomination report (PDF with comprehensive Sapphire phenotype integration, clinical mapping analysis, regulatory assessment, preclinical validation master plan) plus detailed development timeline</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annotation, conservation, structure visualization)</w:t>
      </w:r>
    </w:p>
    <w:p>
      <w:pPr>
        <w:pStyle w:val="ListParagraph"/>
        <w:numPr>
          <w:ilvl w:val="0"/>
          <w:numId w:val="2"/>
        </w:numPr>
        <w:spacing w:after="100" w:line="360"/>
      </w:pPr>
      <w:r>
        <w:rPr>
          <w:rFonts w:ascii="Arial" w:cs="Arial" w:eastAsia="Arial" w:hAnsi="Arial"/>
          <w:sz w:val="24"/>
          <w:szCs w:val="24"/>
        </w:rPr>
        <w:t xml:space="preserve">Ensembl REST API &amp; Gene Annotation (transcript isoforms, regulatory elements, variant impact)</w:t>
      </w:r>
    </w:p>
    <w:p>
      <w:pPr>
        <w:pStyle w:val="ListParagraph"/>
        <w:numPr>
          <w:ilvl w:val="0"/>
          <w:numId w:val="2"/>
        </w:numPr>
        <w:spacing w:after="100" w:line="360"/>
      </w:pPr>
      <w:r>
        <w:rPr>
          <w:rFonts w:ascii="Arial" w:cs="Arial" w:eastAsia="Arial" w:hAnsi="Arial"/>
          <w:sz w:val="24"/>
          <w:szCs w:val="24"/>
        </w:rPr>
        <w:t xml:space="preserve">RefSeq Database (gene sequences, transcript structures, transcript-specific properties)</w:t>
      </w:r>
    </w:p>
    <w:p>
      <w:pPr>
        <w:pStyle w:val="ListParagraph"/>
        <w:numPr>
          <w:ilvl w:val="0"/>
          <w:numId w:val="2"/>
        </w:numPr>
        <w:spacing w:after="100" w:line="360"/>
      </w:pPr>
      <w:r>
        <w:rPr>
          <w:rFonts w:ascii="Arial" w:cs="Arial" w:eastAsia="Arial" w:hAnsi="Arial"/>
          <w:sz w:val="24"/>
          <w:szCs w:val="24"/>
        </w:rPr>
        <w:t xml:space="preserve">ClinVar &amp; HGMD (clinical variant interpretation, pathogenicity assessment, functional annotation)</w:t>
      </w:r>
    </w:p>
    <w:p>
      <w:pPr>
        <w:pStyle w:val="ListParagraph"/>
        <w:numPr>
          <w:ilvl w:val="0"/>
          <w:numId w:val="2"/>
        </w:numPr>
        <w:spacing w:after="100" w:line="360"/>
      </w:pPr>
      <w:r>
        <w:rPr>
          <w:rFonts w:ascii="Arial" w:cs="Arial" w:eastAsia="Arial" w:hAnsi="Arial"/>
          <w:sz w:val="24"/>
          <w:szCs w:val="24"/>
        </w:rPr>
        <w:t xml:space="preserve">BLAST &amp; RNAhybrid (sequence similarity searching, off-target prediction, thermodynamic binding)</w:t>
      </w:r>
    </w:p>
    <w:p>
      <w:pPr>
        <w:pStyle w:val="ListParagraph"/>
        <w:numPr>
          <w:ilvl w:val="0"/>
          <w:numId w:val="2"/>
        </w:numPr>
        <w:spacing w:after="100" w:line="360"/>
      </w:pPr>
      <w:r>
        <w:rPr>
          <w:rFonts w:ascii="Arial" w:cs="Arial" w:eastAsia="Arial" w:hAnsi="Arial"/>
          <w:sz w:val="24"/>
          <w:szCs w:val="24"/>
        </w:rPr>
        <w:t xml:space="preserve">OligoCalc &amp; mfold/RNAfold (ASO Tm calculation, secondary structure prediction, duplex thermodynamics)</w:t>
      </w:r>
    </w:p>
    <w:p>
      <w:pPr>
        <w:pStyle w:val="ListParagraph"/>
        <w:numPr>
          <w:ilvl w:val="0"/>
          <w:numId w:val="2"/>
        </w:numPr>
        <w:spacing w:after="100" w:line="360"/>
      </w:pPr>
      <w:r>
        <w:rPr>
          <w:rFonts w:ascii="Arial" w:cs="Arial" w:eastAsia="Arial" w:hAnsi="Arial"/>
          <w:sz w:val="24"/>
          <w:szCs w:val="24"/>
        </w:rPr>
        <w:t xml:space="preserve">GENEIOUS Pro (sequence design, alignment, off-target screening, visualization)</w:t>
      </w:r>
    </w:p>
    <w:p>
      <w:pPr>
        <w:pStyle w:val="ListParagraph"/>
        <w:numPr>
          <w:ilvl w:val="0"/>
          <w:numId w:val="2"/>
        </w:numPr>
        <w:spacing w:after="100" w:line="360"/>
      </w:pPr>
      <w:r>
        <w:rPr>
          <w:rFonts w:ascii="Arial" w:cs="Arial" w:eastAsia="Arial" w:hAnsi="Arial"/>
          <w:sz w:val="24"/>
          <w:szCs w:val="24"/>
        </w:rPr>
        <w:t xml:space="preserve">Beacon Designer &amp; ChemGPS-NP (ASO design optimization, chemical modification selection, ADMET prediction)</w:t>
      </w:r>
    </w:p>
    <w:p>
      <w:pPr>
        <w:pStyle w:val="ListParagraph"/>
        <w:numPr>
          <w:ilvl w:val="0"/>
          <w:numId w:val="2"/>
        </w:numPr>
        <w:spacing w:after="100" w:line="360"/>
      </w:pPr>
      <w:r>
        <w:rPr>
          <w:rFonts w:ascii="Arial" w:cs="Arial" w:eastAsia="Arial" w:hAnsi="Arial"/>
          <w:sz w:val="24"/>
          <w:szCs w:val="24"/>
        </w:rPr>
        <w:t xml:space="preserve">AlphaFold2 &amp; FoldX (protein structure prediction, thermodynamic stability, domain folding assessment)</w:t>
      </w:r>
    </w:p>
    <w:p>
      <w:pPr>
        <w:pStyle w:val="ListParagraph"/>
        <w:numPr>
          <w:ilvl w:val="0"/>
          <w:numId w:val="2"/>
        </w:numPr>
        <w:spacing w:after="100" w:line="360"/>
      </w:pPr>
      <w:r>
        <w:rPr>
          <w:rFonts w:ascii="Arial" w:cs="Arial" w:eastAsia="Arial" w:hAnsi="Arial"/>
          <w:sz w:val="24"/>
          <w:szCs w:val="24"/>
        </w:rPr>
        <w:t xml:space="preserve">Reactome &amp; KEGG (pathway annotation, mechanistic understanding, cascade modeling)</w:t>
      </w:r>
    </w:p>
    <w:p>
      <w:pPr>
        <w:pStyle w:val="ListParagraph"/>
        <w:numPr>
          <w:ilvl w:val="0"/>
          <w:numId w:val="2"/>
        </w:numPr>
        <w:spacing w:after="100" w:line="360"/>
      </w:pPr>
      <w:r>
        <w:rPr>
          <w:rFonts w:ascii="Arial" w:cs="Arial" w:eastAsia="Arial" w:hAnsi="Arial"/>
          <w:sz w:val="24"/>
          <w:szCs w:val="24"/>
        </w:rPr>
        <w:t xml:space="preserve">Deep Learning Models (ToxNet, selectivity predictors, phenotype rescuers; ML-based predictions)</w:t>
      </w:r>
    </w:p>
    <w:p>
      <w:pPr>
        <w:pStyle w:val="ListParagraph"/>
        <w:numPr>
          <w:ilvl w:val="0"/>
          <w:numId w:val="2"/>
        </w:numPr>
        <w:spacing w:after="100" w:line="360"/>
      </w:pPr>
      <w:r>
        <w:rPr>
          <w:rFonts w:ascii="Arial" w:cs="Arial" w:eastAsia="Arial" w:hAnsi="Arial"/>
          <w:sz w:val="24"/>
          <w:szCs w:val="24"/>
        </w:rPr>
        <w:t xml:space="preserve">Systems Biology Toolbox (ODE modeling, pathway dynamics simulation, dose-response fitting)</w:t>
      </w:r>
    </w:p>
    <w:p>
      <w:pPr>
        <w:pStyle w:val="ListParagraph"/>
        <w:numPr>
          <w:ilvl w:val="0"/>
          <w:numId w:val="2"/>
        </w:numPr>
        <w:spacing w:after="100" w:line="360"/>
      </w:pPr>
      <w:r>
        <w:rPr>
          <w:rFonts w:ascii="Arial" w:cs="Arial" w:eastAsia="Arial" w:hAnsi="Arial"/>
          <w:sz w:val="24"/>
          <w:szCs w:val="24"/>
        </w:rPr>
        <w:t xml:space="preserve">SpliceAI &amp; RNA structure tools (splicing prediction, exon-skipping modeling, splicing optimization)</w:t>
      </w:r>
    </w:p>
    <w:p>
      <w:pPr>
        <w:pStyle w:val="ListParagraph"/>
        <w:numPr>
          <w:ilvl w:val="0"/>
          <w:numId w:val="2"/>
        </w:numPr>
        <w:spacing w:after="100" w:line="360"/>
      </w:pPr>
      <w:r>
        <w:rPr>
          <w:rFonts w:ascii="Arial" w:cs="Arial" w:eastAsia="Arial" w:hAnsi="Arial"/>
          <w:sz w:val="24"/>
          <w:szCs w:val="24"/>
        </w:rPr>
        <w:t xml:space="preserve">Sapphire Integrated Modules (EP phenotyping, transcript/dose-response database, safety validation)</w:t>
      </w:r>
    </w:p>
    <w:p>
      <w:pPr>
        <w:pStyle w:val="ListParagraph"/>
        <w:numPr>
          <w:ilvl w:val="0"/>
          <w:numId w:val="2"/>
        </w:numPr>
        <w:spacing w:after="100" w:line="360"/>
      </w:pPr>
      <w:r>
        <w:rPr>
          <w:rFonts w:ascii="Arial" w:cs="Arial" w:eastAsia="Arial" w:hAnsi="Arial"/>
          <w:sz w:val="24"/>
          <w:szCs w:val="24"/>
        </w:rPr>
        <w:t xml:space="preserve">GEO/ArrayExpress (transcriptomic datasets, expression patterns, disease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2026-03-04T17:44:07.417Z</dcterms:created>
  <dcterms:modified xsi:type="dcterms:W3CDTF">2026-03-04T17:44:07.417Z</dcterms:modified>
</cp:coreProperties>
</file>

<file path=docProps/custom.xml><?xml version="1.0" encoding="utf-8"?>
<Properties xmlns="http://schemas.openxmlformats.org/officeDocument/2006/custom-properties" xmlns:vt="http://schemas.openxmlformats.org/officeDocument/2006/docPropsVTypes"/>
</file>