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 PTEN Partial Suppression ASO Design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Generate ASOs targeting PTEN for controlled partial suppression, avoiding oncogenic liability predicted from transcriptomic models.</w:t>
      </w:r>
    </w:p>
    <w:p>
      <w:pPr>
        <w:spacing w:after="200" w:line="360"/>
      </w:pPr>
      <w:r>
        <w:rPr>
          <w:rFonts w:ascii="Arial" w:cs="Arial" w:eastAsia="Arial" w:hAnsi="Arial"/>
          <w:sz w:val="24"/>
          <w:szCs w:val="24"/>
        </w:rPr>
        <w:t xml:space="preserve">This pipeline generates antisense oligonucleotide (ASO) sequences targeting PTEN (phosphatase and tensin homolog) for therapeutic partial suppression in neurological disorders where PTEN loss-of-function contributes to disease pathogenesis—including autism spectrum disorders, intellectual disabilities, and Lhermitte-Duclos disease. The central challenge is achieving controlled partial PTEN knockdown that enhances neuronal survival and plasticity without triggering the oncogenic transformation, excessive proliferation, or tumor progression that result from complete PTEN loss. This requires sophisticated integration of tumor suppressor safety monitoring alongside therapeutic efficacy prediction.</w:t>
      </w:r>
    </w:p>
    <w:p>
      <w:pPr>
        <w:spacing w:after="200" w:line="360"/>
      </w:pPr>
      <w:r>
        <w:rPr>
          <w:rFonts w:ascii="Arial" w:cs="Arial" w:eastAsia="Arial" w:hAnsi="Arial"/>
          <w:sz w:val="24"/>
          <w:szCs w:val="24"/>
        </w:rPr>
        <w:t xml:space="preserve">PTEN acts as a tumor suppressor and negative regulator of the PI3K/AKT pathway; complete PTEN loss causes uncontrolled AKT phosphorylation, cell cycle dysregulation, and malignant transformation. Sapphire's integration of transcriptomic safety models, cancer gene expression databases, and neurological phenotyping enables prediction of the optimal partial PTEN knockdown window (45-65%) that enhances neuronal survival and synaptic plasticity while maintaining p53/RB pathway integrity and preserving tumor-suppressive capacity. This pipeline couples sequence design with comprehensive tumor suppressor safety assessment to identify ASOs suitable for human neurological studies.</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integrates sequence-level design with comprehensive phenotypic modeling to identify optimal ASO candidates. Each stage builds on prior results, progressively filtering candidates through increasingly stringent selectivity, efficacy, and safety criteria. The modular architecture allows for iterative refinement and incorporation of new experimental data at each validation stage.</w:t>
      </w:r>
    </w:p>
    <w:p>
      <w:pPr>
        <w:spacing w:after="200" w:line="360"/>
      </w:pPr>
      <w:r>
        <w:rPr>
          <w:rFonts w:ascii="Arial" w:cs="Arial" w:eastAsia="Arial" w:hAnsi="Arial"/>
          <w:sz w:val="24"/>
          <w:szCs w:val="24"/>
        </w:rPr>
        <w:t xml:space="preserve">The Sapphire platform's ~500 electrophysiology features, ~18,000 gene perturbation experiments, and ~3,500 compound perturbation records provide detailed phenotypic ground truth for predicting how ASO-induced transcript knockdown translates to cellular and circuit-level effects. Integration of transcriptomic safety models, computational structure prediction, and mechanistic pathway simulations enables rational design of highly selective, efficacious, and safe ASO therapeutics.</w:t>
      </w:r>
    </w:p>
    <w:p>
      <w:pPr>
        <w:pStyle w:val="Heading2"/>
        <w:spacing w:after="200" w:before="200"/>
      </w:pPr>
      <w:r>
        <w:rPr>
          <w:rFonts w:ascii="Arial" w:cs="Arial" w:eastAsia="Arial" w:hAnsi="Arial"/>
          <w:b/>
          <w:bCs/>
          <w:sz w:val="28"/>
          <w:szCs w:val="28"/>
        </w:rPr>
        <w:t xml:space="preserve">Stage 1: PTEN Target Selection &amp; Tumor Suppressor Context Mapping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optimal PTEN transcript targets for partial suppression that minimize oncogenic risk, and map PTEN's role in PI3K/AKT vs p53/RB tumor-suppressive pathways to define safe knockdown windows.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PTEN gene structure (RefSeq, Ensembl isoforms; PTEN-long vs PTEN-short, regulatory regions)</w:t>
      </w:r>
    </w:p>
    <w:p>
      <w:pPr>
        <w:pStyle w:val="ListParagraph"/>
        <w:numPr>
          <w:ilvl w:val="0"/>
          <w:numId w:val="2"/>
        </w:numPr>
        <w:spacing w:after="100" w:line="360"/>
      </w:pPr>
      <w:r>
        <w:rPr>
          <w:rFonts w:ascii="Arial" w:cs="Arial" w:eastAsia="Arial" w:hAnsi="Arial"/>
          <w:sz w:val="24"/>
          <w:szCs w:val="24"/>
        </w:rPr>
        <w:t xml:space="preserve">PTEN expression in CNS tissues (brain, spinal cord, primary neurons from RNA-seq data)</w:t>
      </w:r>
    </w:p>
    <w:p>
      <w:pPr>
        <w:pStyle w:val="ListParagraph"/>
        <w:numPr>
          <w:ilvl w:val="0"/>
          <w:numId w:val="2"/>
        </w:numPr>
        <w:spacing w:after="100" w:line="360"/>
      </w:pPr>
      <w:r>
        <w:rPr>
          <w:rFonts w:ascii="Arial" w:cs="Arial" w:eastAsia="Arial" w:hAnsi="Arial"/>
          <w:sz w:val="24"/>
          <w:szCs w:val="24"/>
        </w:rPr>
        <w:t xml:space="preserve">PI3K/AKT pathway components (PDK1, AKT1/2/3, mTORC2, FOXO transcription factors, metabolism regulators)</w:t>
      </w:r>
    </w:p>
    <w:p>
      <w:pPr>
        <w:pStyle w:val="ListParagraph"/>
        <w:numPr>
          <w:ilvl w:val="0"/>
          <w:numId w:val="2"/>
        </w:numPr>
        <w:spacing w:after="100" w:line="360"/>
      </w:pPr>
      <w:r>
        <w:rPr>
          <w:rFonts w:ascii="Arial" w:cs="Arial" w:eastAsia="Arial" w:hAnsi="Arial"/>
          <w:sz w:val="24"/>
          <w:szCs w:val="24"/>
        </w:rPr>
        <w:t xml:space="preserve">p53/RB tumor suppressor pathways (direct PTEN-p53 interactions, p21/p27 regulation, cell cycle control)</w:t>
      </w:r>
    </w:p>
    <w:p>
      <w:pPr>
        <w:pStyle w:val="ListParagraph"/>
        <w:numPr>
          <w:ilvl w:val="0"/>
          <w:numId w:val="2"/>
        </w:numPr>
        <w:spacing w:after="100" w:line="360"/>
      </w:pPr>
      <w:r>
        <w:rPr>
          <w:rFonts w:ascii="Arial" w:cs="Arial" w:eastAsia="Arial" w:hAnsi="Arial"/>
          <w:sz w:val="24"/>
          <w:szCs w:val="24"/>
        </w:rPr>
        <w:t xml:space="preserve">Cancer genomics: PTEN mutation/deletion frequencies, copy number loss consequences, PTEN heterozygosity effects in cancer</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UCSC Genome Browser (PTEN exon structure, isoforms, regulatory elements, CpG islands)</w:t>
      </w:r>
    </w:p>
    <w:p>
      <w:pPr>
        <w:pStyle w:val="ListParagraph"/>
        <w:numPr>
          <w:ilvl w:val="0"/>
          <w:numId w:val="2"/>
        </w:numPr>
        <w:spacing w:after="100" w:line="360"/>
      </w:pPr>
      <w:r>
        <w:rPr>
          <w:rFonts w:ascii="Arial" w:cs="Arial" w:eastAsia="Arial" w:hAnsi="Arial"/>
          <w:sz w:val="24"/>
          <w:szCs w:val="24"/>
        </w:rPr>
        <w:t xml:space="preserve">Ensembl/RefSeq (transcript annotations; identify PTEN-long vs PTEN-short isoforms)</w:t>
      </w:r>
    </w:p>
    <w:p>
      <w:pPr>
        <w:pStyle w:val="ListParagraph"/>
        <w:numPr>
          <w:ilvl w:val="0"/>
          <w:numId w:val="2"/>
        </w:numPr>
        <w:spacing w:after="100" w:line="360"/>
      </w:pPr>
      <w:r>
        <w:rPr>
          <w:rFonts w:ascii="Arial" w:cs="Arial" w:eastAsia="Arial" w:hAnsi="Arial"/>
          <w:sz w:val="24"/>
          <w:szCs w:val="24"/>
        </w:rPr>
        <w:t xml:space="preserve">GTEx portal (PTEN expression in brain tissues; identify CNS-enriched isoforms)</w:t>
      </w:r>
    </w:p>
    <w:p>
      <w:pPr>
        <w:pStyle w:val="ListParagraph"/>
        <w:numPr>
          <w:ilvl w:val="0"/>
          <w:numId w:val="2"/>
        </w:numPr>
        <w:spacing w:after="100" w:line="360"/>
      </w:pPr>
      <w:r>
        <w:rPr>
          <w:rFonts w:ascii="Arial" w:cs="Arial" w:eastAsia="Arial" w:hAnsi="Arial"/>
          <w:sz w:val="24"/>
          <w:szCs w:val="24"/>
        </w:rPr>
        <w:t xml:space="preserve">IntOGen cancer database (PTEN mutation frequency and consequence in human cancers)</w:t>
      </w:r>
    </w:p>
    <w:p>
      <w:pPr>
        <w:pStyle w:val="ListParagraph"/>
        <w:numPr>
          <w:ilvl w:val="0"/>
          <w:numId w:val="2"/>
        </w:numPr>
        <w:spacing w:after="100" w:line="360"/>
      </w:pPr>
      <w:r>
        <w:rPr>
          <w:rFonts w:ascii="Arial" w:cs="Arial" w:eastAsia="Arial" w:hAnsi="Arial"/>
          <w:sz w:val="24"/>
          <w:szCs w:val="24"/>
        </w:rPr>
        <w:t xml:space="preserve">Reactome pathway analysis (PI3K/AKT, p53, RB pathway mapping with PTEN interactions)</w:t>
      </w:r>
    </w:p>
    <w:p>
      <w:pPr>
        <w:pStyle w:val="ListParagraph"/>
        <w:numPr>
          <w:ilvl w:val="0"/>
          <w:numId w:val="2"/>
        </w:numPr>
        <w:spacing w:after="100" w:line="360"/>
      </w:pPr>
      <w:r>
        <w:rPr>
          <w:rFonts w:ascii="Arial" w:cs="Arial" w:eastAsia="Arial" w:hAnsi="Arial"/>
          <w:sz w:val="24"/>
          <w:szCs w:val="24"/>
        </w:rPr>
        <w:t xml:space="preserve">Sapphire PTEN/PI3K module (query PTEN knockdown phenotypes; neuronal survival, plasticity, tumor suppressor pathway integrity)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Identify all PTEN transcripts expressed in human hippocampus and cortex; which isoforms are amenable to ASO targeting for partial suppression?</w:t>
      </w:r>
    </w:p>
    <w:p>
      <w:pPr>
        <w:pStyle w:val="ListParagraph"/>
        <w:numPr>
          <w:ilvl w:val="0"/>
          <w:numId w:val="2"/>
        </w:numPr>
        <w:spacing w:after="100" w:line="360"/>
      </w:pPr>
      <w:r>
        <w:rPr>
          <w:rFonts w:ascii="Arial" w:cs="Arial" w:eastAsia="Arial" w:hAnsi="Arial"/>
          <w:sz w:val="24"/>
          <w:szCs w:val="24"/>
        </w:rPr>
        <w:t xml:space="preserve">Map PTEN's role in tumor suppression: what is the minimum PTEN level needed to maintain p53/RB pathway integrity and prevent malignant transformation?</w:t>
      </w:r>
    </w:p>
    <w:p>
      <w:pPr>
        <w:pStyle w:val="ListParagraph"/>
        <w:numPr>
          <w:ilvl w:val="0"/>
          <w:numId w:val="2"/>
        </w:numPr>
        <w:spacing w:after="100" w:line="360"/>
      </w:pPr>
      <w:r>
        <w:rPr>
          <w:rFonts w:ascii="Arial" w:cs="Arial" w:eastAsia="Arial" w:hAnsi="Arial"/>
          <w:sz w:val="24"/>
          <w:szCs w:val="24"/>
        </w:rPr>
        <w:t xml:space="preserve">Retrieve cancer genomics data: how do PTEN haploinsufficiency (heterozygosity) vs complete loss differ in transformation phenotypes across cancer types?</w:t>
      </w:r>
    </w:p>
    <w:p>
      <w:pPr>
        <w:pStyle w:val="ListParagraph"/>
        <w:numPr>
          <w:ilvl w:val="0"/>
          <w:numId w:val="2"/>
        </w:numPr>
        <w:spacing w:after="100" w:line="360"/>
      </w:pPr>
      <w:r>
        <w:rPr>
          <w:rFonts w:ascii="Arial" w:cs="Arial" w:eastAsia="Arial" w:hAnsi="Arial"/>
          <w:sz w:val="24"/>
          <w:szCs w:val="24"/>
        </w:rPr>
        <w:t xml:space="preserve">Using Sapphire data, identify the optimal PTEN knockdown window (40%, 50%, 60%, 70%) that maximizes neuronal survival/plasticity while minimizing p53 pathway disruption</w:t>
      </w:r>
    </w:p>
    <w:p>
      <w:pPr>
        <w:pStyle w:val="ListParagraph"/>
        <w:numPr>
          <w:ilvl w:val="0"/>
          <w:numId w:val="2"/>
        </w:numPr>
        <w:spacing w:after="100" w:line="360"/>
      </w:pPr>
      <w:r>
        <w:rPr>
          <w:rFonts w:ascii="Arial" w:cs="Arial" w:eastAsia="Arial" w:hAnsi="Arial"/>
          <w:sz w:val="24"/>
          <w:szCs w:val="24"/>
        </w:rPr>
        <w:t xml:space="preserve">Assess expression feedback: does partial PTEN knockdown trigger compensatory upregulation of other phosphatases (PP2A, SHIP, MTM1) that could minimize therapeutic effects?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PTEN isoform inventory (transcript IDs, exon structures, tissue expression patterns; identify CNS-enriched isoforms)</w:t>
      </w:r>
    </w:p>
    <w:p>
      <w:pPr>
        <w:pStyle w:val="ListParagraph"/>
        <w:numPr>
          <w:ilvl w:val="0"/>
          <w:numId w:val="2"/>
        </w:numPr>
        <w:spacing w:after="100" w:line="360"/>
      </w:pPr>
      <w:r>
        <w:rPr>
          <w:rFonts w:ascii="Arial" w:cs="Arial" w:eastAsia="Arial" w:hAnsi="Arial"/>
          <w:sz w:val="24"/>
          <w:szCs w:val="24"/>
        </w:rPr>
        <w:t xml:space="preserve">PI3K/AKT vs p53/RB pathway context (detailed mechanistic mapping of PTEN's dual roles as tumor suppressor and PI3K/AKT inhibitor)</w:t>
      </w:r>
    </w:p>
    <w:p>
      <w:pPr>
        <w:pStyle w:val="ListParagraph"/>
        <w:numPr>
          <w:ilvl w:val="0"/>
          <w:numId w:val="2"/>
        </w:numPr>
        <w:spacing w:after="100" w:line="360"/>
      </w:pPr>
      <w:r>
        <w:rPr>
          <w:rFonts w:ascii="Arial" w:cs="Arial" w:eastAsia="Arial" w:hAnsi="Arial"/>
          <w:sz w:val="24"/>
          <w:szCs w:val="24"/>
        </w:rPr>
        <w:t xml:space="preserve">Safe knockdown window prediction (PTEN reduction % that enhances neuronal phenotypes while preserving p53 pathway functionality)</w:t>
      </w:r>
    </w:p>
    <w:p>
      <w:pPr>
        <w:pStyle w:val="ListParagraph"/>
        <w:numPr>
          <w:ilvl w:val="0"/>
          <w:numId w:val="2"/>
        </w:numPr>
        <w:spacing w:after="100" w:line="360"/>
      </w:pPr>
      <w:r>
        <w:rPr>
          <w:rFonts w:ascii="Arial" w:cs="Arial" w:eastAsia="Arial" w:hAnsi="Arial"/>
          <w:sz w:val="24"/>
          <w:szCs w:val="24"/>
        </w:rPr>
        <w:t xml:space="preserve">Cancer genomics risk assessment (PTEN haploinsufficiency transformation risk profile; which cancers are most sensitive to PTEN loss)</w:t>
      </w:r>
    </w:p>
    <w:p>
      <w:pPr>
        <w:pStyle w:val="ListParagraph"/>
        <w:numPr>
          <w:ilvl w:val="0"/>
          <w:numId w:val="2"/>
        </w:numPr>
        <w:spacing w:after="100" w:line="360"/>
      </w:pPr>
      <w:r>
        <w:rPr>
          <w:rFonts w:ascii="Arial" w:cs="Arial" w:eastAsia="Arial" w:hAnsi="Arial"/>
          <w:sz w:val="24"/>
          <w:szCs w:val="24"/>
        </w:rPr>
        <w:t xml:space="preserve">Sapphire PTEN knockdown baseline phenotypes (survival, plasticity, proliferation, tumor suppressor pathway markers at different knockdown levels)</w:t>
      </w:r>
    </w:p>
    <w:p>
      <w:pPr>
        <w:pStyle w:val="ListParagraph"/>
        <w:numPr>
          <w:ilvl w:val="0"/>
          <w:numId w:val="2"/>
        </w:numPr>
        <w:spacing w:after="100" w:line="360"/>
      </w:pPr>
      <w:r>
        <w:rPr>
          <w:rFonts w:ascii="Arial" w:cs="Arial" w:eastAsia="Arial" w:hAnsi="Arial"/>
          <w:sz w:val="24"/>
          <w:szCs w:val="24"/>
        </w:rPr>
        <w:t xml:space="preserve">Prioritized PTEN targets for partial suppression (exons/regions optimal for therapeutic knockdown with minimal transformation risk)</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PTEN context mapping report (pathway diagram: PI3K/AKT + p53/RB + PTEN interactions; table: PTEN isoforms | CNS expression | target rank | cancer risk) with knockdown window predictions</w:t>
      </w:r>
    </w:p>
    <w:p>
      <w:pPr>
        <w:pStyle w:val="Heading2"/>
        <w:spacing w:after="200" w:before="200"/>
      </w:pPr>
      <w:r>
        <w:rPr>
          <w:rFonts w:ascii="Arial" w:cs="Arial" w:eastAsia="Arial" w:hAnsi="Arial"/>
          <w:b/>
          <w:bCs/>
          <w:sz w:val="28"/>
          <w:szCs w:val="28"/>
        </w:rPr>
        <w:t xml:space="preserve">Stage 2: ASO Sequence Design &amp; Chemistry Optimization for Partial PTEN Suppression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15-18 ASO candidates targeting selected PTEN transcripts with chemical modifications optimized to achieve 45-65% knockdown range (therapeutic partial suppression target) while avoiding off-target effects.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3-4 PTEN target transcripts from Stage 1</w:t>
      </w:r>
    </w:p>
    <w:p>
      <w:pPr>
        <w:pStyle w:val="ListParagraph"/>
        <w:numPr>
          <w:ilvl w:val="0"/>
          <w:numId w:val="2"/>
        </w:numPr>
        <w:spacing w:after="100" w:line="360"/>
      </w:pPr>
      <w:r>
        <w:rPr>
          <w:rFonts w:ascii="Arial" w:cs="Arial" w:eastAsia="Arial" w:hAnsi="Arial"/>
          <w:sz w:val="24"/>
          <w:szCs w:val="24"/>
        </w:rPr>
        <w:t xml:space="preserve">Secondary structure accessibility windows (optimal 20-25 nt ASO target regions)</w:t>
      </w:r>
    </w:p>
    <w:p>
      <w:pPr>
        <w:pStyle w:val="ListParagraph"/>
        <w:numPr>
          <w:ilvl w:val="0"/>
          <w:numId w:val="2"/>
        </w:numPr>
        <w:spacing w:after="100" w:line="360"/>
      </w:pPr>
      <w:r>
        <w:rPr>
          <w:rFonts w:ascii="Arial" w:cs="Arial" w:eastAsia="Arial" w:hAnsi="Arial"/>
          <w:sz w:val="24"/>
          <w:szCs w:val="24"/>
        </w:rPr>
        <w:t xml:space="preserve">Dose-response ASO design: chemical modifications empirically linked to knockdown efficiency (40-60% vs complete suppression)</w:t>
      </w:r>
    </w:p>
    <w:p>
      <w:pPr>
        <w:pStyle w:val="ListParagraph"/>
        <w:numPr>
          <w:ilvl w:val="0"/>
          <w:numId w:val="2"/>
        </w:numPr>
        <w:spacing w:after="100" w:line="360"/>
      </w:pPr>
      <w:r>
        <w:rPr>
          <w:rFonts w:ascii="Arial" w:cs="Arial" w:eastAsia="Arial" w:hAnsi="Arial"/>
          <w:sz w:val="24"/>
          <w:szCs w:val="24"/>
        </w:rPr>
        <w:t xml:space="preserve">Chemical modification library: 2'MOE, cEt, PS backbone, Gap-mer architectures with known efficacy profiles</w:t>
      </w:r>
    </w:p>
    <w:p>
      <w:pPr>
        <w:pStyle w:val="ListParagraph"/>
        <w:numPr>
          <w:ilvl w:val="0"/>
          <w:numId w:val="2"/>
        </w:numPr>
        <w:spacing w:after="100" w:line="360"/>
      </w:pPr>
      <w:r>
        <w:rPr>
          <w:rFonts w:ascii="Arial" w:cs="Arial" w:eastAsia="Arial" w:hAnsi="Arial"/>
          <w:sz w:val="24"/>
          <w:szCs w:val="24"/>
        </w:rPr>
        <w:t xml:space="preserve">Target knockdown prediction: design ASOs to achieve 45-65% mRNA reduction (partial suppression goal)</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OligoCalc (Tm, secondary structure prediction for ASO target regions)</w:t>
      </w:r>
    </w:p>
    <w:p>
      <w:pPr>
        <w:pStyle w:val="ListParagraph"/>
        <w:numPr>
          <w:ilvl w:val="0"/>
          <w:numId w:val="2"/>
        </w:numPr>
        <w:spacing w:after="100" w:line="360"/>
      </w:pPr>
      <w:r>
        <w:rPr>
          <w:rFonts w:ascii="Arial" w:cs="Arial" w:eastAsia="Arial" w:hAnsi="Arial"/>
          <w:sz w:val="24"/>
          <w:szCs w:val="24"/>
        </w:rPr>
        <w:t xml:space="preserve">GENEIOUS Pro (ASO design with off-target screening; quantitative efficacy predictions)</w:t>
      </w:r>
    </w:p>
    <w:p>
      <w:pPr>
        <w:pStyle w:val="ListParagraph"/>
        <w:numPr>
          <w:ilvl w:val="0"/>
          <w:numId w:val="2"/>
        </w:numPr>
        <w:spacing w:after="100" w:line="360"/>
      </w:pPr>
      <w:r>
        <w:rPr>
          <w:rFonts w:ascii="Arial" w:cs="Arial" w:eastAsia="Arial" w:hAnsi="Arial"/>
          <w:sz w:val="24"/>
          <w:szCs w:val="24"/>
        </w:rPr>
        <w:t xml:space="preserve">ChemGPS-NP (ADMET properties including tissue distribution, hepatic metabolism)</w:t>
      </w:r>
    </w:p>
    <w:p>
      <w:pPr>
        <w:pStyle w:val="ListParagraph"/>
        <w:numPr>
          <w:ilvl w:val="0"/>
          <w:numId w:val="2"/>
        </w:numPr>
        <w:spacing w:after="100" w:line="360"/>
      </w:pPr>
      <w:r>
        <w:rPr>
          <w:rFonts w:ascii="Arial" w:cs="Arial" w:eastAsia="Arial" w:hAnsi="Arial"/>
          <w:sz w:val="24"/>
          <w:szCs w:val="24"/>
        </w:rPr>
        <w:t xml:space="preserve">Beacon Designer (ASO design with empirical knockdown efficiency prediction)</w:t>
      </w:r>
    </w:p>
    <w:p>
      <w:pPr>
        <w:pStyle w:val="ListParagraph"/>
        <w:numPr>
          <w:ilvl w:val="0"/>
          <w:numId w:val="2"/>
        </w:numPr>
        <w:spacing w:after="100" w:line="360"/>
      </w:pPr>
      <w:r>
        <w:rPr>
          <w:rFonts w:ascii="Arial" w:cs="Arial" w:eastAsia="Arial" w:hAnsi="Arial"/>
          <w:sz w:val="24"/>
          <w:szCs w:val="24"/>
        </w:rPr>
        <w:t xml:space="preserve">Sapphire ASO-Chemistry module (integrate chemical modification library with predicted knockdown efficiency)</w:t>
      </w:r>
    </w:p>
    <w:p>
      <w:pPr>
        <w:pStyle w:val="ListParagraph"/>
        <w:numPr>
          <w:ilvl w:val="0"/>
          <w:numId w:val="2"/>
        </w:numPr>
        <w:spacing w:after="100" w:line="360"/>
      </w:pPr>
      <w:r>
        <w:rPr>
          <w:rFonts w:ascii="Arial" w:cs="Arial" w:eastAsia="Arial" w:hAnsi="Arial"/>
          <w:sz w:val="24"/>
          <w:szCs w:val="24"/>
        </w:rPr>
        <w:t xml:space="preserve">RNAfold/mfold (ASO-target duplex thermodynamics; Tm and ΔG predictions)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5-6 ASO sequences targeting exon 5 (PTEN catalytic domain) with different chemical modifications (2'MOE, cEt, Gap-mer lengths); predict knockdown efficiency for each</w:t>
      </w:r>
    </w:p>
    <w:p>
      <w:pPr>
        <w:pStyle w:val="ListParagraph"/>
        <w:numPr>
          <w:ilvl w:val="0"/>
          <w:numId w:val="2"/>
        </w:numPr>
        <w:spacing w:after="100" w:line="360"/>
      </w:pPr>
      <w:r>
        <w:rPr>
          <w:rFonts w:ascii="Arial" w:cs="Arial" w:eastAsia="Arial" w:hAnsi="Arial"/>
          <w:sz w:val="24"/>
          <w:szCs w:val="24"/>
        </w:rPr>
        <w:t xml:space="preserve">What chemical architecture (Gap length, MOE wing length, PS backbone %) is optimal for 50% knockdown target vs 75-80% complete knockdown?</w:t>
      </w:r>
    </w:p>
    <w:p>
      <w:pPr>
        <w:pStyle w:val="ListParagraph"/>
        <w:numPr>
          <w:ilvl w:val="0"/>
          <w:numId w:val="2"/>
        </w:numPr>
        <w:spacing w:after="100" w:line="360"/>
      </w:pPr>
      <w:r>
        <w:rPr>
          <w:rFonts w:ascii="Arial" w:cs="Arial" w:eastAsia="Arial" w:hAnsi="Arial"/>
          <w:sz w:val="24"/>
          <w:szCs w:val="24"/>
        </w:rPr>
        <w:t xml:space="preserve">For each ASO design, calculate predicted efficacy (Tm, secondary structure accessibility, literature-based knockdown model) and target 45-65% reduction range</w:t>
      </w:r>
    </w:p>
    <w:p>
      <w:pPr>
        <w:pStyle w:val="ListParagraph"/>
        <w:numPr>
          <w:ilvl w:val="0"/>
          <w:numId w:val="2"/>
        </w:numPr>
        <w:spacing w:after="100" w:line="360"/>
      </w:pPr>
      <w:r>
        <w:rPr>
          <w:rFonts w:ascii="Arial" w:cs="Arial" w:eastAsia="Arial" w:hAnsi="Arial"/>
          <w:sz w:val="24"/>
          <w:szCs w:val="24"/>
        </w:rPr>
        <w:t xml:space="preserve">Design 3 ASOs with inducible chemical properties (e.g., temperature-sensitive or prodrug forms) for tuneable partial suppression capability</w:t>
      </w:r>
    </w:p>
    <w:p>
      <w:pPr>
        <w:pStyle w:val="ListParagraph"/>
        <w:numPr>
          <w:ilvl w:val="0"/>
          <w:numId w:val="2"/>
        </w:numPr>
        <w:spacing w:after="100" w:line="360"/>
      </w:pPr>
      <w:r>
        <w:rPr>
          <w:rFonts w:ascii="Arial" w:cs="Arial" w:eastAsia="Arial" w:hAnsi="Arial"/>
          <w:sz w:val="24"/>
          <w:szCs w:val="24"/>
        </w:rPr>
        <w:t xml:space="preserve">Generate tissue-selective ASO variants: can modifications improve CNS selectivity and minimize liver/systemic PTEN off-target knockdown?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18 ranked ASO candidates (sequence | target region | Tm | chemistry | predicted knockdown efficiency % | tumor risk assessment)</w:t>
      </w:r>
    </w:p>
    <w:p>
      <w:pPr>
        <w:pStyle w:val="ListParagraph"/>
        <w:numPr>
          <w:ilvl w:val="0"/>
          <w:numId w:val="2"/>
        </w:numPr>
        <w:spacing w:after="100" w:line="360"/>
      </w:pPr>
      <w:r>
        <w:rPr>
          <w:rFonts w:ascii="Arial" w:cs="Arial" w:eastAsia="Arial" w:hAnsi="Arial"/>
          <w:sz w:val="24"/>
          <w:szCs w:val="24"/>
        </w:rPr>
        <w:t xml:space="preserve">Chemical modification profiles (Gap length, 2'MOE wing positions, PS backbone length, expected knockdown % based on literature)</w:t>
      </w:r>
    </w:p>
    <w:p>
      <w:pPr>
        <w:pStyle w:val="ListParagraph"/>
        <w:numPr>
          <w:ilvl w:val="0"/>
          <w:numId w:val="2"/>
        </w:numPr>
        <w:spacing w:after="100" w:line="360"/>
      </w:pPr>
      <w:r>
        <w:rPr>
          <w:rFonts w:ascii="Arial" w:cs="Arial" w:eastAsia="Arial" w:hAnsi="Arial"/>
          <w:sz w:val="24"/>
          <w:szCs w:val="24"/>
        </w:rPr>
        <w:t xml:space="preserve">Predicted knockdown efficiency curves (ASO concentration vs PTEN mRNA reduction %; identify ASOs achieving 45-65% target window)</w:t>
      </w:r>
    </w:p>
    <w:p>
      <w:pPr>
        <w:pStyle w:val="ListParagraph"/>
        <w:numPr>
          <w:ilvl w:val="0"/>
          <w:numId w:val="2"/>
        </w:numPr>
        <w:spacing w:after="100" w:line="360"/>
      </w:pPr>
      <w:r>
        <w:rPr>
          <w:rFonts w:ascii="Arial" w:cs="Arial" w:eastAsia="Arial" w:hAnsi="Arial"/>
          <w:sz w:val="24"/>
          <w:szCs w:val="24"/>
        </w:rPr>
        <w:t xml:space="preserve">Off-target transcript assessment (predicted secondary hits; minimize unintended phosphatase knockdown)</w:t>
      </w:r>
    </w:p>
    <w:p>
      <w:pPr>
        <w:pStyle w:val="ListParagraph"/>
        <w:numPr>
          <w:ilvl w:val="0"/>
          <w:numId w:val="2"/>
        </w:numPr>
        <w:spacing w:after="100" w:line="360"/>
      </w:pPr>
      <w:r>
        <w:rPr>
          <w:rFonts w:ascii="Arial" w:cs="Arial" w:eastAsia="Arial" w:hAnsi="Arial"/>
          <w:sz w:val="24"/>
          <w:szCs w:val="24"/>
        </w:rPr>
        <w:t xml:space="preserve">CNS selectivity analysis (tissue distribution predictions; minimize liver/systemic PTEN off-target effects)</w:t>
      </w:r>
    </w:p>
    <w:p>
      <w:pPr>
        <w:pStyle w:val="ListParagraph"/>
        <w:numPr>
          <w:ilvl w:val="0"/>
          <w:numId w:val="2"/>
        </w:numPr>
        <w:spacing w:after="100" w:line="360"/>
      </w:pPr>
      <w:r>
        <w:rPr>
          <w:rFonts w:ascii="Arial" w:cs="Arial" w:eastAsia="Arial" w:hAnsi="Arial"/>
          <w:sz w:val="24"/>
          <w:szCs w:val="24"/>
        </w:rPr>
        <w:t xml:space="preserve">Top 12 candidates with 45-65% knockdown efficiency prediction and acceptable off-target burden (ready for safety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ASO design table (ASO ID | Sequence | Chemistry | Predicted Knockdown % | Tumor Risk Flag | Off-target Count) with efficacy curve predictions and tissue distribution estimates</w:t>
      </w:r>
    </w:p>
    <w:p>
      <w:pPr>
        <w:pStyle w:val="Heading2"/>
        <w:spacing w:after="200" w:before="200"/>
      </w:pPr>
      <w:r>
        <w:rPr>
          <w:rFonts w:ascii="Arial" w:cs="Arial" w:eastAsia="Arial" w:hAnsi="Arial"/>
          <w:b/>
          <w:bCs/>
          <w:sz w:val="28"/>
          <w:szCs w:val="28"/>
        </w:rPr>
        <w:t xml:space="preserve">Stage 3: Transcriptomic Safety Monitoring &amp; Tumor Suppressor Pathway Integrity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transcriptomic consequences of partial PTEN knockdown for all 12 candidates, assessing p53/RB pathway disruption, proliferation gene activation, and transformation risk markers using multi-omics integration.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12 ASO candidates from Stage 2</w:t>
      </w:r>
    </w:p>
    <w:p>
      <w:pPr>
        <w:pStyle w:val="ListParagraph"/>
        <w:numPr>
          <w:ilvl w:val="0"/>
          <w:numId w:val="2"/>
        </w:numPr>
        <w:spacing w:after="100" w:line="360"/>
      </w:pPr>
      <w:r>
        <w:rPr>
          <w:rFonts w:ascii="Arial" w:cs="Arial" w:eastAsia="Arial" w:hAnsi="Arial"/>
          <w:sz w:val="24"/>
          <w:szCs w:val="24"/>
        </w:rPr>
        <w:t xml:space="preserve">RNA-seq databases: PTEN knockdown signatures in model systems (GEO, TCGA cancer samples)</w:t>
      </w:r>
    </w:p>
    <w:p>
      <w:pPr>
        <w:pStyle w:val="ListParagraph"/>
        <w:numPr>
          <w:ilvl w:val="0"/>
          <w:numId w:val="2"/>
        </w:numPr>
        <w:spacing w:after="100" w:line="360"/>
      </w:pPr>
      <w:r>
        <w:rPr>
          <w:rFonts w:ascii="Arial" w:cs="Arial" w:eastAsia="Arial" w:hAnsi="Arial"/>
          <w:sz w:val="24"/>
          <w:szCs w:val="24"/>
        </w:rPr>
        <w:t xml:space="preserve">Transcriptomic safety panel: p53 target genes (p21, GADD45, MDM2), RB pathway (E2F, cyclins, CDKs), apoptosis (BAX, PUMA, NOXA), proliferation (MYC, cell cycle)</w:t>
      </w:r>
    </w:p>
    <w:p>
      <w:pPr>
        <w:pStyle w:val="ListParagraph"/>
        <w:numPr>
          <w:ilvl w:val="0"/>
          <w:numId w:val="2"/>
        </w:numPr>
        <w:spacing w:after="100" w:line="360"/>
      </w:pPr>
      <w:r>
        <w:rPr>
          <w:rFonts w:ascii="Arial" w:cs="Arial" w:eastAsia="Arial" w:hAnsi="Arial"/>
          <w:sz w:val="24"/>
          <w:szCs w:val="24"/>
        </w:rPr>
        <w:t xml:space="preserve">Cancer gene signatures (oncogenic transformation markers, tumor progression modules)</w:t>
      </w:r>
    </w:p>
    <w:p>
      <w:pPr>
        <w:pStyle w:val="ListParagraph"/>
        <w:numPr>
          <w:ilvl w:val="0"/>
          <w:numId w:val="2"/>
        </w:numPr>
        <w:spacing w:after="100" w:line="360"/>
      </w:pPr>
      <w:r>
        <w:rPr>
          <w:rFonts w:ascii="Arial" w:cs="Arial" w:eastAsia="Arial" w:hAnsi="Arial"/>
          <w:sz w:val="24"/>
          <w:szCs w:val="24"/>
        </w:rPr>
        <w:t xml:space="preserve">Sapphire multi-omics module: PTEN knockdown transcriptomic profiles at different knockdown levels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RNA-seq analysis pipeline (map predicted ASO-induced PTEN knockdown to transcriptomic consequences)</w:t>
      </w:r>
    </w:p>
    <w:p>
      <w:pPr>
        <w:pStyle w:val="ListParagraph"/>
        <w:numPr>
          <w:ilvl w:val="0"/>
          <w:numId w:val="2"/>
        </w:numPr>
        <w:spacing w:after="100" w:line="360"/>
      </w:pPr>
      <w:r>
        <w:rPr>
          <w:rFonts w:ascii="Arial" w:cs="Arial" w:eastAsia="Arial" w:hAnsi="Arial"/>
          <w:sz w:val="24"/>
          <w:szCs w:val="24"/>
        </w:rPr>
        <w:t xml:space="preserve">Pathway analysis tools (Reactome, KEGG; assess p53/RB, PI3K/AKT, mTOR pathway dysregulation)</w:t>
      </w:r>
    </w:p>
    <w:p>
      <w:pPr>
        <w:pStyle w:val="ListParagraph"/>
        <w:numPr>
          <w:ilvl w:val="0"/>
          <w:numId w:val="2"/>
        </w:numPr>
        <w:spacing w:after="100" w:line="360"/>
      </w:pPr>
      <w:r>
        <w:rPr>
          <w:rFonts w:ascii="Arial" w:cs="Arial" w:eastAsia="Arial" w:hAnsi="Arial"/>
          <w:sz w:val="24"/>
          <w:szCs w:val="24"/>
        </w:rPr>
        <w:t xml:space="preserve">Transcriptomic safety classifier (Deep learning; predict tumor transformation risk from transcriptomic signature)</w:t>
      </w:r>
    </w:p>
    <w:p>
      <w:pPr>
        <w:pStyle w:val="ListParagraph"/>
        <w:numPr>
          <w:ilvl w:val="0"/>
          <w:numId w:val="2"/>
        </w:numPr>
        <w:spacing w:after="100" w:line="360"/>
      </w:pPr>
      <w:r>
        <w:rPr>
          <w:rFonts w:ascii="Arial" w:cs="Arial" w:eastAsia="Arial" w:hAnsi="Arial"/>
          <w:sz w:val="24"/>
          <w:szCs w:val="24"/>
        </w:rPr>
        <w:t xml:space="preserve">GSEA (Gene Set Enrichment Analysis; identify transformation/proliferation pathways activated by PTEN knockdown)</w:t>
      </w:r>
    </w:p>
    <w:p>
      <w:pPr>
        <w:pStyle w:val="ListParagraph"/>
        <w:numPr>
          <w:ilvl w:val="0"/>
          <w:numId w:val="2"/>
        </w:numPr>
        <w:spacing w:after="100" w:line="360"/>
      </w:pPr>
      <w:r>
        <w:rPr>
          <w:rFonts w:ascii="Arial" w:cs="Arial" w:eastAsia="Arial" w:hAnsi="Arial"/>
          <w:sz w:val="24"/>
          <w:szCs w:val="24"/>
        </w:rPr>
        <w:t xml:space="preserve">Sapphire Multi-Omics Safety module (integrate PTEN knockdown transcriptomics with tumor suppressor pathway models)</w:t>
      </w:r>
    </w:p>
    <w:p>
      <w:pPr>
        <w:pStyle w:val="ListParagraph"/>
        <w:numPr>
          <w:ilvl w:val="0"/>
          <w:numId w:val="2"/>
        </w:numPr>
        <w:spacing w:after="100" w:line="360"/>
      </w:pPr>
      <w:r>
        <w:rPr>
          <w:rFonts w:ascii="Arial" w:cs="Arial" w:eastAsia="Arial" w:hAnsi="Arial"/>
          <w:sz w:val="24"/>
          <w:szCs w:val="24"/>
        </w:rPr>
        <w:t xml:space="preserve">Tumor risk scoring algorithm (quantify transformation risk from transcriptomic dysregulation for each ASO)</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top 12 ASO candidate (at predicted 45-65% PTEN knockdown), simulate transcriptomic consequences: p53, RB, E2F, MYC pathway effects</w:t>
      </w:r>
    </w:p>
    <w:p>
      <w:pPr>
        <w:pStyle w:val="ListParagraph"/>
        <w:numPr>
          <w:ilvl w:val="0"/>
          <w:numId w:val="2"/>
        </w:numPr>
        <w:spacing w:after="100" w:line="360"/>
      </w:pPr>
      <w:r>
        <w:rPr>
          <w:rFonts w:ascii="Arial" w:cs="Arial" w:eastAsia="Arial" w:hAnsi="Arial"/>
          <w:sz w:val="24"/>
          <w:szCs w:val="24"/>
        </w:rPr>
        <w:t xml:space="preserve">Identify transcriptomic signatures of safe partial PTEN knockdown vs dangerous transformation-inducing knockdown (using TCGA + cancer models)</w:t>
      </w:r>
    </w:p>
    <w:p>
      <w:pPr>
        <w:pStyle w:val="ListParagraph"/>
        <w:numPr>
          <w:ilvl w:val="0"/>
          <w:numId w:val="2"/>
        </w:numPr>
        <w:spacing w:after="100" w:line="360"/>
      </w:pPr>
      <w:r>
        <w:rPr>
          <w:rFonts w:ascii="Arial" w:cs="Arial" w:eastAsia="Arial" w:hAnsi="Arial"/>
          <w:sz w:val="24"/>
          <w:szCs w:val="24"/>
        </w:rPr>
        <w:t xml:space="preserve">Assess p53 pathway integrity: at what PTEN knockdown level does p53-mediated apoptosis become significantly impaired?</w:t>
      </w:r>
    </w:p>
    <w:p>
      <w:pPr>
        <w:pStyle w:val="ListParagraph"/>
        <w:numPr>
          <w:ilvl w:val="0"/>
          <w:numId w:val="2"/>
        </w:numPr>
        <w:spacing w:after="100" w:line="360"/>
      </w:pPr>
      <w:r>
        <w:rPr>
          <w:rFonts w:ascii="Arial" w:cs="Arial" w:eastAsia="Arial" w:hAnsi="Arial"/>
          <w:sz w:val="24"/>
          <w:szCs w:val="24"/>
        </w:rPr>
        <w:t xml:space="preserve">Monitor RB pathway: does 50% PTEN knockdown activate E2F-dependent proliferation gene sets? Identify safety threshold</w:t>
      </w:r>
    </w:p>
    <w:p>
      <w:pPr>
        <w:pStyle w:val="ListParagraph"/>
        <w:numPr>
          <w:ilvl w:val="0"/>
          <w:numId w:val="2"/>
        </w:numPr>
        <w:spacing w:after="100" w:line="360"/>
      </w:pPr>
      <w:r>
        <w:rPr>
          <w:rFonts w:ascii="Arial" w:cs="Arial" w:eastAsia="Arial" w:hAnsi="Arial"/>
          <w:sz w:val="24"/>
          <w:szCs w:val="24"/>
        </w:rPr>
        <w:t xml:space="preserve">Rank candidates by transcriptomic safety: low p53/RB dysregulation + low transformation risk + high therapeutic PI3K/AKT effects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Transcriptomic safety profiles for all 12 ASOs (p53/RB pathway markers | proliferation gene activation | transformation risk score)</w:t>
      </w:r>
    </w:p>
    <w:p>
      <w:pPr>
        <w:pStyle w:val="ListParagraph"/>
        <w:numPr>
          <w:ilvl w:val="0"/>
          <w:numId w:val="2"/>
        </w:numPr>
        <w:spacing w:after="100" w:line="360"/>
      </w:pPr>
      <w:r>
        <w:rPr>
          <w:rFonts w:ascii="Arial" w:cs="Arial" w:eastAsia="Arial" w:hAnsi="Arial"/>
          <w:sz w:val="24"/>
          <w:szCs w:val="24"/>
        </w:rPr>
        <w:t xml:space="preserve">Safe knockdown window confirmation (45-65% PTEN reduction maintains p53 pathway functionality; higher knockdown triggers p53 suppression)</w:t>
      </w:r>
    </w:p>
    <w:p>
      <w:pPr>
        <w:pStyle w:val="ListParagraph"/>
        <w:numPr>
          <w:ilvl w:val="0"/>
          <w:numId w:val="2"/>
        </w:numPr>
        <w:spacing w:after="100" w:line="360"/>
      </w:pPr>
      <w:r>
        <w:rPr>
          <w:rFonts w:ascii="Arial" w:cs="Arial" w:eastAsia="Arial" w:hAnsi="Arial"/>
          <w:sz w:val="24"/>
          <w:szCs w:val="24"/>
        </w:rPr>
        <w:t xml:space="preserve">Tumor transformation risk predictions (Deep learning score; high/medium/low transformation risk for each ASO)</w:t>
      </w:r>
    </w:p>
    <w:p>
      <w:pPr>
        <w:pStyle w:val="ListParagraph"/>
        <w:numPr>
          <w:ilvl w:val="0"/>
          <w:numId w:val="2"/>
        </w:numPr>
        <w:spacing w:after="100" w:line="360"/>
      </w:pPr>
      <w:r>
        <w:rPr>
          <w:rFonts w:ascii="Arial" w:cs="Arial" w:eastAsia="Arial" w:hAnsi="Arial"/>
          <w:sz w:val="24"/>
          <w:szCs w:val="24"/>
        </w:rPr>
        <w:t xml:space="preserve">Transcriptomic consequence maps (PTEN knockdown cascades to downstream pathway dysregulation; heat maps of p53, RB, E2F, MYC targets)</w:t>
      </w:r>
    </w:p>
    <w:p>
      <w:pPr>
        <w:pStyle w:val="ListParagraph"/>
        <w:numPr>
          <w:ilvl w:val="0"/>
          <w:numId w:val="2"/>
        </w:numPr>
        <w:spacing w:after="100" w:line="360"/>
      </w:pPr>
      <w:r>
        <w:rPr>
          <w:rFonts w:ascii="Arial" w:cs="Arial" w:eastAsia="Arial" w:hAnsi="Arial"/>
          <w:sz w:val="24"/>
          <w:szCs w:val="24"/>
        </w:rPr>
        <w:t xml:space="preserve">GSEA results (transformation/proliferation pathways that are activated or suppressed at different PTEN knockdown levels)</w:t>
      </w:r>
    </w:p>
    <w:p>
      <w:pPr>
        <w:pStyle w:val="ListParagraph"/>
        <w:numPr>
          <w:ilvl w:val="0"/>
          <w:numId w:val="2"/>
        </w:numPr>
        <w:spacing w:after="100" w:line="360"/>
      </w:pPr>
      <w:r>
        <w:rPr>
          <w:rFonts w:ascii="Arial" w:cs="Arial" w:eastAsia="Arial" w:hAnsi="Arial"/>
          <w:sz w:val="24"/>
          <w:szCs w:val="24"/>
        </w:rPr>
        <w:t xml:space="preserve">Top 9-10 candidates filtered by transcriptomic safety criteria (p53/RB pathway score &lt;0.4; transformation risk &lt;0.35)</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Transcriptomic safety report (PDF with pathway dysregulation heat maps, p53/RB integrity curves, transformation risk gauge charts) plus ranked candidate tumor suppressor safety scores</w:t>
      </w:r>
    </w:p>
    <w:p>
      <w:pPr>
        <w:pStyle w:val="Heading2"/>
        <w:spacing w:after="200" w:before="200"/>
      </w:pPr>
      <w:r>
        <w:rPr>
          <w:rFonts w:ascii="Arial" w:cs="Arial" w:eastAsia="Arial" w:hAnsi="Arial"/>
          <w:b/>
          <w:bCs/>
          <w:sz w:val="28"/>
          <w:szCs w:val="28"/>
        </w:rPr>
        <w:t xml:space="preserve">Stage 4: PI3K/AKT Pathway Titration &amp; Neuronal Phenotype Rescue Modeling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Model how partial PTEN knockdown titrates PI3K/AKT pathway activity and translates to neuronal phenotype rescue (survival, synaptogenesis, spine density) across a dose-response range, identifying optimal therapeutic window.</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10 transcriptome-safe ASO candidates from Stage 3</w:t>
      </w:r>
    </w:p>
    <w:p>
      <w:pPr>
        <w:pStyle w:val="ListParagraph"/>
        <w:numPr>
          <w:ilvl w:val="0"/>
          <w:numId w:val="2"/>
        </w:numPr>
        <w:spacing w:after="100" w:line="360"/>
      </w:pPr>
      <w:r>
        <w:rPr>
          <w:rFonts w:ascii="Arial" w:cs="Arial" w:eastAsia="Arial" w:hAnsi="Arial"/>
          <w:sz w:val="24"/>
          <w:szCs w:val="24"/>
        </w:rPr>
        <w:t xml:space="preserve">PTEN-PI3K/AKT signaling cascade model (PDK1, AKT1/2/3, mTORC2, FOXO3 downstream effects)</w:t>
      </w:r>
    </w:p>
    <w:p>
      <w:pPr>
        <w:pStyle w:val="ListParagraph"/>
        <w:numPr>
          <w:ilvl w:val="0"/>
          <w:numId w:val="2"/>
        </w:numPr>
        <w:spacing w:after="100" w:line="360"/>
      </w:pPr>
      <w:r>
        <w:rPr>
          <w:rFonts w:ascii="Arial" w:cs="Arial" w:eastAsia="Arial" w:hAnsi="Arial"/>
          <w:sz w:val="24"/>
          <w:szCs w:val="24"/>
        </w:rPr>
        <w:t xml:space="preserve">Sapphire PTEN knockdown phenotype database (neuronal survival, neurite outgrowth, synaptogenesis, spine density; n=178 experiments)</w:t>
      </w:r>
    </w:p>
    <w:p>
      <w:pPr>
        <w:pStyle w:val="ListParagraph"/>
        <w:numPr>
          <w:ilvl w:val="0"/>
          <w:numId w:val="2"/>
        </w:numPr>
        <w:spacing w:after="100" w:line="360"/>
      </w:pPr>
      <w:r>
        <w:rPr>
          <w:rFonts w:ascii="Arial" w:cs="Arial" w:eastAsia="Arial" w:hAnsi="Arial"/>
          <w:sz w:val="24"/>
          <w:szCs w:val="24"/>
        </w:rPr>
        <w:t xml:space="preserve">Neuronal health readouts: apoptosis markers, mitochondrial function, growth cone dynamics, synaptic strength</w:t>
      </w:r>
    </w:p>
    <w:p>
      <w:pPr>
        <w:pStyle w:val="ListParagraph"/>
        <w:numPr>
          <w:ilvl w:val="0"/>
          <w:numId w:val="2"/>
        </w:numPr>
        <w:spacing w:after="100" w:line="360"/>
      </w:pPr>
      <w:r>
        <w:rPr>
          <w:rFonts w:ascii="Arial" w:cs="Arial" w:eastAsia="Arial" w:hAnsi="Arial"/>
          <w:sz w:val="24"/>
          <w:szCs w:val="24"/>
        </w:rPr>
        <w:t xml:space="preserve">Dose-response relationship: PTEN knockdown % vs PI3K/AKT activation level vs phenotype outcome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Systems biology pathway modeling (CellDesigner, BioNetGen; ODE equations for PI3K/AKT cascade)</w:t>
      </w:r>
    </w:p>
    <w:p>
      <w:pPr>
        <w:pStyle w:val="ListParagraph"/>
        <w:numPr>
          <w:ilvl w:val="0"/>
          <w:numId w:val="2"/>
        </w:numPr>
        <w:spacing w:after="100" w:line="360"/>
      </w:pPr>
      <w:r>
        <w:rPr>
          <w:rFonts w:ascii="Arial" w:cs="Arial" w:eastAsia="Arial" w:hAnsi="Arial"/>
          <w:sz w:val="24"/>
          <w:szCs w:val="24"/>
        </w:rPr>
        <w:t xml:space="preserve">PK/PD modeling software (MATLAB, Berkeley Madonna; dose-response curve fitting)</w:t>
      </w:r>
    </w:p>
    <w:p>
      <w:pPr>
        <w:pStyle w:val="ListParagraph"/>
        <w:numPr>
          <w:ilvl w:val="0"/>
          <w:numId w:val="2"/>
        </w:numPr>
        <w:spacing w:after="100" w:line="360"/>
      </w:pPr>
      <w:r>
        <w:rPr>
          <w:rFonts w:ascii="Arial" w:cs="Arial" w:eastAsia="Arial" w:hAnsi="Arial"/>
          <w:sz w:val="24"/>
          <w:szCs w:val="24"/>
        </w:rPr>
        <w:t xml:space="preserve">Sapphire Neuronal Health module (query PTEN knockdown effects on survival, growth, synaptogenesis)</w:t>
      </w:r>
    </w:p>
    <w:p>
      <w:pPr>
        <w:pStyle w:val="ListParagraph"/>
        <w:numPr>
          <w:ilvl w:val="0"/>
          <w:numId w:val="2"/>
        </w:numPr>
        <w:spacing w:after="100" w:line="360"/>
      </w:pPr>
      <w:r>
        <w:rPr>
          <w:rFonts w:ascii="Arial" w:cs="Arial" w:eastAsia="Arial" w:hAnsi="Arial"/>
          <w:sz w:val="24"/>
          <w:szCs w:val="24"/>
        </w:rPr>
        <w:t xml:space="preserve">Dose-response surface analysis (plot 3D: PTEN knockdown % → PI3K/AKT activation → phenotype outcome; identify efficacy plateau)</w:t>
      </w:r>
    </w:p>
    <w:p>
      <w:pPr>
        <w:pStyle w:val="ListParagraph"/>
        <w:numPr>
          <w:ilvl w:val="0"/>
          <w:numId w:val="2"/>
        </w:numPr>
        <w:spacing w:after="100" w:line="360"/>
      </w:pPr>
      <w:r>
        <w:rPr>
          <w:rFonts w:ascii="Arial" w:cs="Arial" w:eastAsia="Arial" w:hAnsi="Arial"/>
          <w:sz w:val="24"/>
          <w:szCs w:val="24"/>
        </w:rPr>
        <w:t xml:space="preserve">Machine learning phenotype prediction (predict unmeasured phenotypes from PTEN knockdown level using Sapphire data)</w:t>
      </w:r>
    </w:p>
    <w:p>
      <w:pPr>
        <w:pStyle w:val="ListParagraph"/>
        <w:numPr>
          <w:ilvl w:val="0"/>
          <w:numId w:val="2"/>
        </w:numPr>
        <w:spacing w:after="100" w:line="360"/>
      </w:pPr>
      <w:r>
        <w:rPr>
          <w:rFonts w:ascii="Arial" w:cs="Arial" w:eastAsia="Arial" w:hAnsi="Arial"/>
          <w:sz w:val="24"/>
          <w:szCs w:val="24"/>
        </w:rPr>
        <w:t xml:space="preserve">Therapeutic window calculator (integrate efficacy threshold, safety margin, tumor suppressor function to define optimal PTEN knockdown target)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Model PI3K/AKT pathway activation as function of PTEN knockdown (ODE equations): at 50% PTEN reduction, what is predicted AKT Ser473 phosphorylation level relative to baseline?</w:t>
      </w:r>
    </w:p>
    <w:p>
      <w:pPr>
        <w:pStyle w:val="ListParagraph"/>
        <w:numPr>
          <w:ilvl w:val="0"/>
          <w:numId w:val="2"/>
        </w:numPr>
        <w:spacing w:after="100" w:line="360"/>
      </w:pPr>
      <w:r>
        <w:rPr>
          <w:rFonts w:ascii="Arial" w:cs="Arial" w:eastAsia="Arial" w:hAnsi="Arial"/>
          <w:sz w:val="24"/>
          <w:szCs w:val="24"/>
        </w:rPr>
        <w:t xml:space="preserve">Using Sapphire data, retrieve dose-response curves for PTEN knockdown on neuronal survival, neurite outgrowth, synapse number, spine density</w:t>
      </w:r>
    </w:p>
    <w:p>
      <w:pPr>
        <w:pStyle w:val="ListParagraph"/>
        <w:numPr>
          <w:ilvl w:val="0"/>
          <w:numId w:val="2"/>
        </w:numPr>
        <w:spacing w:after="100" w:line="360"/>
      </w:pPr>
      <w:r>
        <w:rPr>
          <w:rFonts w:ascii="Arial" w:cs="Arial" w:eastAsia="Arial" w:hAnsi="Arial"/>
          <w:sz w:val="24"/>
          <w:szCs w:val="24"/>
        </w:rPr>
        <w:t xml:space="preserve">Simulate phenotype rescue at different PTEN knockdown levels (40%, 50%, 60%, 70%); identify knockdown % maximizing survival/plasticity while minimizing proliferation risk</w:t>
      </w:r>
    </w:p>
    <w:p>
      <w:pPr>
        <w:pStyle w:val="ListParagraph"/>
        <w:numPr>
          <w:ilvl w:val="0"/>
          <w:numId w:val="2"/>
        </w:numPr>
        <w:spacing w:after="100" w:line="360"/>
      </w:pPr>
      <w:r>
        <w:rPr>
          <w:rFonts w:ascii="Arial" w:cs="Arial" w:eastAsia="Arial" w:hAnsi="Arial"/>
          <w:sz w:val="24"/>
          <w:szCs w:val="24"/>
        </w:rPr>
        <w:t xml:space="preserve">Compare PTEN partial knockdown (50%) vs pharmacological PI3K/AKT activators (IGF-1, insulin): what is phenotypic equivalence?</w:t>
      </w:r>
    </w:p>
    <w:p>
      <w:pPr>
        <w:pStyle w:val="ListParagraph"/>
        <w:numPr>
          <w:ilvl w:val="0"/>
          <w:numId w:val="2"/>
        </w:numPr>
        <w:spacing w:after="100" w:line="360"/>
      </w:pPr>
      <w:r>
        <w:rPr>
          <w:rFonts w:ascii="Arial" w:cs="Arial" w:eastAsia="Arial" w:hAnsi="Arial"/>
          <w:sz w:val="24"/>
          <w:szCs w:val="24"/>
        </w:rPr>
        <w:t xml:space="preserve">Define therapeutic window: identify PTEN knockdown % that maximizes neuronal rescue phenotypes while maintaining ≥70% p53 tumor suppressor function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PI3K/AKT pathway models (ODE system with parameterized cascade; PTEN knockdown input → pathway output predictions)</w:t>
      </w:r>
    </w:p>
    <w:p>
      <w:pPr>
        <w:pStyle w:val="ListParagraph"/>
        <w:numPr>
          <w:ilvl w:val="0"/>
          <w:numId w:val="2"/>
        </w:numPr>
        <w:spacing w:after="100" w:line="360"/>
      </w:pPr>
      <w:r>
        <w:rPr>
          <w:rFonts w:ascii="Arial" w:cs="Arial" w:eastAsia="Arial" w:hAnsi="Arial"/>
          <w:sz w:val="24"/>
          <w:szCs w:val="24"/>
        </w:rPr>
        <w:t xml:space="preserve">Dose-response phenotype curves for top 10 ASOs (PTEN knockdown % vs neuronal survival, neurite growth, synaptogenesis, spine density)</w:t>
      </w:r>
    </w:p>
    <w:p>
      <w:pPr>
        <w:pStyle w:val="ListParagraph"/>
        <w:numPr>
          <w:ilvl w:val="0"/>
          <w:numId w:val="2"/>
        </w:numPr>
        <w:spacing w:after="100" w:line="360"/>
      </w:pPr>
      <w:r>
        <w:rPr>
          <w:rFonts w:ascii="Arial" w:cs="Arial" w:eastAsia="Arial" w:hAnsi="Arial"/>
          <w:sz w:val="24"/>
          <w:szCs w:val="24"/>
        </w:rPr>
        <w:t xml:space="preserve">PI3K/AKT activation level predictions at different PTEN knockdown percentages</w:t>
      </w:r>
    </w:p>
    <w:p>
      <w:pPr>
        <w:pStyle w:val="ListParagraph"/>
        <w:numPr>
          <w:ilvl w:val="0"/>
          <w:numId w:val="2"/>
        </w:numPr>
        <w:spacing w:after="100" w:line="360"/>
      </w:pPr>
      <w:r>
        <w:rPr>
          <w:rFonts w:ascii="Arial" w:cs="Arial" w:eastAsia="Arial" w:hAnsi="Arial"/>
          <w:sz w:val="24"/>
          <w:szCs w:val="24"/>
        </w:rPr>
        <w:t xml:space="preserve">Therapeutic window definition (optimal PTEN knockdown % that balances neuronal rescue + tumor suppressor safety)</w:t>
      </w:r>
    </w:p>
    <w:p>
      <w:pPr>
        <w:pStyle w:val="ListParagraph"/>
        <w:numPr>
          <w:ilvl w:val="0"/>
          <w:numId w:val="2"/>
        </w:numPr>
        <w:spacing w:after="100" w:line="360"/>
      </w:pPr>
      <w:r>
        <w:rPr>
          <w:rFonts w:ascii="Arial" w:cs="Arial" w:eastAsia="Arial" w:hAnsi="Arial"/>
          <w:sz w:val="24"/>
          <w:szCs w:val="24"/>
        </w:rPr>
        <w:t xml:space="preserve">Phenotype rescue predictions at recommended ASO doses (survival improvement, synapse enhancement, spine density increases relative to baseline)</w:t>
      </w:r>
    </w:p>
    <w:p>
      <w:pPr>
        <w:pStyle w:val="ListParagraph"/>
        <w:numPr>
          <w:ilvl w:val="0"/>
          <w:numId w:val="2"/>
        </w:numPr>
        <w:spacing w:after="100" w:line="360"/>
      </w:pPr>
      <w:r>
        <w:rPr>
          <w:rFonts w:ascii="Arial" w:cs="Arial" w:eastAsia="Arial" w:hAnsi="Arial"/>
          <w:sz w:val="24"/>
          <w:szCs w:val="24"/>
        </w:rPr>
        <w:t xml:space="preserve">Top 6-7 lead candidates with confirmed therapeutic window (45-65% knockdown range; efficacy + safety composite score)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Dose-response efficacy report (PDF with pathway ODE models, phenotype rescue curves, Sapphire data overlays, therapeutic window visualization) plus recommended PTEN knockdown target (50-55%) and rationale</w:t>
      </w:r>
    </w:p>
    <w:p>
      <w:pPr>
        <w:pStyle w:val="Heading2"/>
        <w:spacing w:after="200" w:before="200"/>
      </w:pPr>
      <w:r>
        <w:rPr>
          <w:rFonts w:ascii="Arial" w:cs="Arial" w:eastAsia="Arial" w:hAnsi="Arial"/>
          <w:b/>
          <w:bCs/>
          <w:sz w:val="28"/>
          <w:szCs w:val="28"/>
        </w:rPr>
        <w:t xml:space="preserve">Stage 5: Cellular Toxicity &amp; Metabolic Consequence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cellular toxicity from partial PTEN knockdown, including metabolic dysregulation, mitochondrial dysfunction, altered glucose metabolism, and excessive AKT activation effects, defining safety margins.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7 lead ASO candidates from Stage 4</w:t>
      </w:r>
    </w:p>
    <w:p>
      <w:pPr>
        <w:pStyle w:val="ListParagraph"/>
        <w:numPr>
          <w:ilvl w:val="0"/>
          <w:numId w:val="2"/>
        </w:numPr>
        <w:spacing w:after="100" w:line="360"/>
      </w:pPr>
      <w:r>
        <w:rPr>
          <w:rFonts w:ascii="Arial" w:cs="Arial" w:eastAsia="Arial" w:hAnsi="Arial"/>
          <w:sz w:val="24"/>
          <w:szCs w:val="24"/>
        </w:rPr>
        <w:t xml:space="preserve">Metabolic pathway databases (glycolysis, OXPHOS, lipogenesis, autophagy; PTEN-mTOR-metabolism interactions)</w:t>
      </w:r>
    </w:p>
    <w:p>
      <w:pPr>
        <w:pStyle w:val="ListParagraph"/>
        <w:numPr>
          <w:ilvl w:val="0"/>
          <w:numId w:val="2"/>
        </w:numPr>
        <w:spacing w:after="100" w:line="360"/>
      </w:pPr>
      <w:r>
        <w:rPr>
          <w:rFonts w:ascii="Arial" w:cs="Arial" w:eastAsia="Arial" w:hAnsi="Arial"/>
          <w:sz w:val="24"/>
          <w:szCs w:val="24"/>
        </w:rPr>
        <w:t xml:space="preserve">Sapphire metabolic phenotype data (glucose utilization, mitochondrial function, autophagy from PTEN perturbations)</w:t>
      </w:r>
    </w:p>
    <w:p>
      <w:pPr>
        <w:pStyle w:val="ListParagraph"/>
        <w:numPr>
          <w:ilvl w:val="0"/>
          <w:numId w:val="2"/>
        </w:numPr>
        <w:spacing w:after="100" w:line="360"/>
      </w:pPr>
      <w:r>
        <w:rPr>
          <w:rFonts w:ascii="Arial" w:cs="Arial" w:eastAsia="Arial" w:hAnsi="Arial"/>
          <w:sz w:val="24"/>
          <w:szCs w:val="24"/>
        </w:rPr>
        <w:t xml:space="preserve">Off-target consequence assessment (off-target transcript knockdown cellular effects)</w:t>
      </w:r>
    </w:p>
    <w:p>
      <w:pPr>
        <w:pStyle w:val="ListParagraph"/>
        <w:numPr>
          <w:ilvl w:val="0"/>
          <w:numId w:val="2"/>
        </w:numPr>
        <w:spacing w:after="100" w:line="360"/>
      </w:pPr>
      <w:r>
        <w:rPr>
          <w:rFonts w:ascii="Arial" w:cs="Arial" w:eastAsia="Arial" w:hAnsi="Arial"/>
          <w:sz w:val="24"/>
          <w:szCs w:val="24"/>
        </w:rPr>
        <w:t xml:space="preserve">Proliferation markers: cell cycle genes, growth factor signaling, tissue-specific proliferation thresholds (neurons vs glia)</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Metabolic pathway analysis (KEGG, Reactome mTOR/autophagy/glucose metabolism modules)</w:t>
      </w:r>
    </w:p>
    <w:p>
      <w:pPr>
        <w:pStyle w:val="ListParagraph"/>
        <w:numPr>
          <w:ilvl w:val="0"/>
          <w:numId w:val="2"/>
        </w:numPr>
        <w:spacing w:after="100" w:line="360"/>
      </w:pPr>
      <w:r>
        <w:rPr>
          <w:rFonts w:ascii="Arial" w:cs="Arial" w:eastAsia="Arial" w:hAnsi="Arial"/>
          <w:sz w:val="24"/>
          <w:szCs w:val="24"/>
        </w:rPr>
        <w:t xml:space="preserve">Systems toxicology model (integrate PTEN-PI3K/AKT-mTOR-metabolism cascade)</w:t>
      </w:r>
    </w:p>
    <w:p>
      <w:pPr>
        <w:pStyle w:val="ListParagraph"/>
        <w:numPr>
          <w:ilvl w:val="0"/>
          <w:numId w:val="2"/>
        </w:numPr>
        <w:spacing w:after="100" w:line="360"/>
      </w:pPr>
      <w:r>
        <w:rPr>
          <w:rFonts w:ascii="Arial" w:cs="Arial" w:eastAsia="Arial" w:hAnsi="Arial"/>
          <w:sz w:val="24"/>
          <w:szCs w:val="24"/>
        </w:rPr>
        <w:t xml:space="preserve">Deep learning toxicity predictor (sequence-based cellular toxicity from PTEN knockdown)</w:t>
      </w:r>
    </w:p>
    <w:p>
      <w:pPr>
        <w:pStyle w:val="ListParagraph"/>
        <w:numPr>
          <w:ilvl w:val="0"/>
          <w:numId w:val="2"/>
        </w:numPr>
        <w:spacing w:after="100" w:line="360"/>
      </w:pPr>
      <w:r>
        <w:rPr>
          <w:rFonts w:ascii="Arial" w:cs="Arial" w:eastAsia="Arial" w:hAnsi="Arial"/>
          <w:sz w:val="24"/>
          <w:szCs w:val="24"/>
        </w:rPr>
        <w:t xml:space="preserve">Sapphire Multi-Tissue Consequence module (predict off-target toxicity in liver, kidney, immune cells from ASO exposure)</w:t>
      </w:r>
    </w:p>
    <w:p>
      <w:pPr>
        <w:pStyle w:val="ListParagraph"/>
        <w:numPr>
          <w:ilvl w:val="0"/>
          <w:numId w:val="2"/>
        </w:numPr>
        <w:spacing w:after="100" w:line="360"/>
      </w:pPr>
      <w:r>
        <w:rPr>
          <w:rFonts w:ascii="Arial" w:cs="Arial" w:eastAsia="Arial" w:hAnsi="Arial"/>
          <w:sz w:val="24"/>
          <w:szCs w:val="24"/>
        </w:rPr>
        <w:t xml:space="preserve">Mitochondrial function predictor (model metabolic efficiency at different AKT activation levels)</w:t>
      </w:r>
    </w:p>
    <w:p>
      <w:pPr>
        <w:pStyle w:val="ListParagraph"/>
        <w:numPr>
          <w:ilvl w:val="0"/>
          <w:numId w:val="2"/>
        </w:numPr>
        <w:spacing w:after="100" w:line="360"/>
      </w:pPr>
      <w:r>
        <w:rPr>
          <w:rFonts w:ascii="Arial" w:cs="Arial" w:eastAsia="Arial" w:hAnsi="Arial"/>
          <w:sz w:val="24"/>
          <w:szCs w:val="24"/>
        </w:rPr>
        <w:t xml:space="preserve">Safety margin calculator (integrate efficacy threshold, tumor suppressor safety, metabolic toxicity to define safe dosing range)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Simulate metabolic consequences of 50% PTEN knockdown: glucose utilization, OXPHOS efficiency, lipogenesis rate changes from increased AKT/mTORC2 activation</w:t>
      </w:r>
    </w:p>
    <w:p>
      <w:pPr>
        <w:pStyle w:val="ListParagraph"/>
        <w:numPr>
          <w:ilvl w:val="0"/>
          <w:numId w:val="2"/>
        </w:numPr>
        <w:spacing w:after="100" w:line="360"/>
      </w:pPr>
      <w:r>
        <w:rPr>
          <w:rFonts w:ascii="Arial" w:cs="Arial" w:eastAsia="Arial" w:hAnsi="Arial"/>
          <w:sz w:val="24"/>
          <w:szCs w:val="24"/>
        </w:rPr>
        <w:t xml:space="preserve">Predict mitochondrial dysfunction risk: excessive AKT activation can impair autophagy and cause mitochondrial accumulation; assess at 50-60% PTEN knockdown</w:t>
      </w:r>
    </w:p>
    <w:p>
      <w:pPr>
        <w:pStyle w:val="ListParagraph"/>
        <w:numPr>
          <w:ilvl w:val="0"/>
          <w:numId w:val="2"/>
        </w:numPr>
        <w:spacing w:after="100" w:line="360"/>
      </w:pPr>
      <w:r>
        <w:rPr>
          <w:rFonts w:ascii="Arial" w:cs="Arial" w:eastAsia="Arial" w:hAnsi="Arial"/>
          <w:sz w:val="24"/>
          <w:szCs w:val="24"/>
        </w:rPr>
        <w:t xml:space="preserve">Assess off-target metabolic toxicity: for top 7 ASOs, identify off-target hits in metabolic genes (phosphatases, glucose transporters, lipogenic enzymes)</w:t>
      </w:r>
    </w:p>
    <w:p>
      <w:pPr>
        <w:pStyle w:val="ListParagraph"/>
        <w:numPr>
          <w:ilvl w:val="0"/>
          <w:numId w:val="2"/>
        </w:numPr>
        <w:spacing w:after="100" w:line="360"/>
      </w:pPr>
      <w:r>
        <w:rPr>
          <w:rFonts w:ascii="Arial" w:cs="Arial" w:eastAsia="Arial" w:hAnsi="Arial"/>
          <w:sz w:val="24"/>
          <w:szCs w:val="24"/>
        </w:rPr>
        <w:t xml:space="preserve">Model tissue-specific toxicity: neurons vs astrocytes vs microglia; PTEN knockdown metabolic impact differs by cell type</w:t>
      </w:r>
    </w:p>
    <w:p>
      <w:pPr>
        <w:pStyle w:val="ListParagraph"/>
        <w:numPr>
          <w:ilvl w:val="0"/>
          <w:numId w:val="2"/>
        </w:numPr>
        <w:spacing w:after="100" w:line="360"/>
      </w:pPr>
      <w:r>
        <w:rPr>
          <w:rFonts w:ascii="Arial" w:cs="Arial" w:eastAsia="Arial" w:hAnsi="Arial"/>
          <w:sz w:val="24"/>
          <w:szCs w:val="24"/>
        </w:rPr>
        <w:t xml:space="preserve">Identify safety margins: what PTEN knockdown level causes 10%, 25%, 50% increase in proliferation markers without transformation?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Metabolic consequence predictions (glucose utilization, OXPHOS efficiency, lipogenesis, autophagy at 50% PTEN knockdown)</w:t>
      </w:r>
    </w:p>
    <w:p>
      <w:pPr>
        <w:pStyle w:val="ListParagraph"/>
        <w:numPr>
          <w:ilvl w:val="0"/>
          <w:numId w:val="2"/>
        </w:numPr>
        <w:spacing w:after="100" w:line="360"/>
      </w:pPr>
      <w:r>
        <w:rPr>
          <w:rFonts w:ascii="Arial" w:cs="Arial" w:eastAsia="Arial" w:hAnsi="Arial"/>
          <w:sz w:val="24"/>
          <w:szCs w:val="24"/>
        </w:rPr>
        <w:t xml:space="preserve">Mitochondrial dysfunction risk assessment (excessive AKT activation → impaired autophagy → potential mitochondrial toxicity)</w:t>
      </w:r>
    </w:p>
    <w:p>
      <w:pPr>
        <w:pStyle w:val="ListParagraph"/>
        <w:numPr>
          <w:ilvl w:val="0"/>
          <w:numId w:val="2"/>
        </w:numPr>
        <w:spacing w:after="100" w:line="360"/>
      </w:pPr>
      <w:r>
        <w:rPr>
          <w:rFonts w:ascii="Arial" w:cs="Arial" w:eastAsia="Arial" w:hAnsi="Arial"/>
          <w:sz w:val="24"/>
          <w:szCs w:val="24"/>
        </w:rPr>
        <w:t xml:space="preserve">Off-target metabolic toxicity predictions (secondary hit consequences in metabolic pathways)</w:t>
      </w:r>
    </w:p>
    <w:p>
      <w:pPr>
        <w:pStyle w:val="ListParagraph"/>
        <w:numPr>
          <w:ilvl w:val="0"/>
          <w:numId w:val="2"/>
        </w:numPr>
        <w:spacing w:after="100" w:line="360"/>
      </w:pPr>
      <w:r>
        <w:rPr>
          <w:rFonts w:ascii="Arial" w:cs="Arial" w:eastAsia="Arial" w:hAnsi="Arial"/>
          <w:sz w:val="24"/>
          <w:szCs w:val="24"/>
        </w:rPr>
        <w:t xml:space="preserve">Tissue-specific toxicity profiles (metabolic burden differences: neurons vs astrocytes vs microglia)</w:t>
      </w:r>
    </w:p>
    <w:p>
      <w:pPr>
        <w:pStyle w:val="ListParagraph"/>
        <w:numPr>
          <w:ilvl w:val="0"/>
          <w:numId w:val="2"/>
        </w:numPr>
        <w:spacing w:after="100" w:line="360"/>
      </w:pPr>
      <w:r>
        <w:rPr>
          <w:rFonts w:ascii="Arial" w:cs="Arial" w:eastAsia="Arial" w:hAnsi="Arial"/>
          <w:sz w:val="24"/>
          <w:szCs w:val="24"/>
        </w:rPr>
        <w:t xml:space="preserve">Proliferation risk assessment (cell cycle gene activation levels at different PTEN knockdown %)</w:t>
      </w:r>
    </w:p>
    <w:p>
      <w:pPr>
        <w:pStyle w:val="ListParagraph"/>
        <w:numPr>
          <w:ilvl w:val="0"/>
          <w:numId w:val="2"/>
        </w:numPr>
        <w:spacing w:after="100" w:line="360"/>
      </w:pPr>
      <w:r>
        <w:rPr>
          <w:rFonts w:ascii="Arial" w:cs="Arial" w:eastAsia="Arial" w:hAnsi="Arial"/>
          <w:sz w:val="24"/>
          <w:szCs w:val="24"/>
        </w:rPr>
        <w:t xml:space="preserve">Safety margin definition: maximum PTEN knockdown (%) allowable before proliferation markers exceed safe thresholds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Cellular toxicity assessment report (PDF with metabolic pathway simulations, mitochondrial health predictions, off-target consequence analysis) plus safety margin table for all 7 candidates</w:t>
      </w:r>
    </w:p>
    <w:p>
      <w:pPr>
        <w:pStyle w:val="Heading2"/>
        <w:spacing w:after="200" w:before="200"/>
      </w:pPr>
      <w:r>
        <w:rPr>
          <w:rFonts w:ascii="Arial" w:cs="Arial" w:eastAsia="Arial" w:hAnsi="Arial"/>
          <w:b/>
          <w:bCs/>
          <w:sz w:val="28"/>
          <w:szCs w:val="28"/>
        </w:rPr>
        <w:t xml:space="preserve">Stage 6: Integrated Tumor Suppressor Safety &amp; Efficacy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validate top 7 candidates for optimal therapeutic balance (partial PTEN suppression, neuronal rescue, tumor suppressor integrity), nominate top 2-3 leads for preclinical neurological development with detailed tumor safety monitoring plan.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7 toxicity-safe ASO candidates from Stage 5</w:t>
      </w:r>
    </w:p>
    <w:p>
      <w:pPr>
        <w:pStyle w:val="ListParagraph"/>
        <w:numPr>
          <w:ilvl w:val="0"/>
          <w:numId w:val="2"/>
        </w:numPr>
        <w:spacing w:after="100" w:line="360"/>
      </w:pPr>
      <w:r>
        <w:rPr>
          <w:rFonts w:ascii="Arial" w:cs="Arial" w:eastAsia="Arial" w:hAnsi="Arial"/>
          <w:sz w:val="24"/>
          <w:szCs w:val="24"/>
        </w:rPr>
        <w:t xml:space="preserve">Comprehensive Sapphire phenotype and safety database (integrate all stages 1-5 data)</w:t>
      </w:r>
    </w:p>
    <w:p>
      <w:pPr>
        <w:pStyle w:val="ListParagraph"/>
        <w:numPr>
          <w:ilvl w:val="0"/>
          <w:numId w:val="2"/>
        </w:numPr>
        <w:spacing w:after="100" w:line="360"/>
      </w:pPr>
      <w:r>
        <w:rPr>
          <w:rFonts w:ascii="Arial" w:cs="Arial" w:eastAsia="Arial" w:hAnsi="Arial"/>
          <w:sz w:val="24"/>
          <w:szCs w:val="24"/>
        </w:rPr>
        <w:t xml:space="preserve">Tumor suppressor pathway integrity checklist (p53, RB, PTEN feedback loops, apoptosis capacity)</w:t>
      </w:r>
    </w:p>
    <w:p>
      <w:pPr>
        <w:pStyle w:val="ListParagraph"/>
        <w:numPr>
          <w:ilvl w:val="0"/>
          <w:numId w:val="2"/>
        </w:numPr>
        <w:spacing w:after="100" w:line="360"/>
      </w:pPr>
      <w:r>
        <w:rPr>
          <w:rFonts w:ascii="Arial" w:cs="Arial" w:eastAsia="Arial" w:hAnsi="Arial"/>
          <w:sz w:val="24"/>
          <w:szCs w:val="24"/>
        </w:rPr>
        <w:t xml:space="preserve">Therapeutic efficacy target definition (neuronal survival improvement, synaptogenesis enhancement, intellectual/autism functional outcome prediction)</w:t>
      </w:r>
    </w:p>
    <w:p>
      <w:pPr>
        <w:pStyle w:val="ListParagraph"/>
        <w:numPr>
          <w:ilvl w:val="0"/>
          <w:numId w:val="2"/>
        </w:numPr>
        <w:spacing w:after="100" w:line="360"/>
      </w:pPr>
      <w:r>
        <w:rPr>
          <w:rFonts w:ascii="Arial" w:cs="Arial" w:eastAsia="Arial" w:hAnsi="Arial"/>
          <w:sz w:val="24"/>
          <w:szCs w:val="24"/>
        </w:rPr>
        <w:t xml:space="preserve">Regulatory and clinical development requirements (GMP manufacturing, preclinical safety battery, oncology risk monitoring)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Composite scoring algorithm (integrate selectivity, efficacy, transcriptomic safety, metabolic safety, manufacturing feasibility)</w:t>
      </w:r>
    </w:p>
    <w:p>
      <w:pPr>
        <w:pStyle w:val="ListParagraph"/>
        <w:numPr>
          <w:ilvl w:val="0"/>
          <w:numId w:val="2"/>
        </w:numPr>
        <w:spacing w:after="100" w:line="360"/>
      </w:pPr>
      <w:r>
        <w:rPr>
          <w:rFonts w:ascii="Arial" w:cs="Arial" w:eastAsia="Arial" w:hAnsi="Arial"/>
          <w:sz w:val="24"/>
          <w:szCs w:val="24"/>
        </w:rPr>
        <w:t xml:space="preserve">Tumor suppressor integrity validator (confirm p53/RB/PTEN pathway functionality across all ASO candidates)</w:t>
      </w:r>
    </w:p>
    <w:p>
      <w:pPr>
        <w:pStyle w:val="ListParagraph"/>
        <w:numPr>
          <w:ilvl w:val="0"/>
          <w:numId w:val="2"/>
        </w:numPr>
        <w:spacing w:after="100" w:line="360"/>
      </w:pPr>
      <w:r>
        <w:rPr>
          <w:rFonts w:ascii="Arial" w:cs="Arial" w:eastAsia="Arial" w:hAnsi="Arial"/>
          <w:sz w:val="24"/>
          <w:szCs w:val="24"/>
        </w:rPr>
        <w:t xml:space="preserve">Clinical phenotype mapping (predict ASO efficacy for autism/intellectual disability outcomes)</w:t>
      </w:r>
    </w:p>
    <w:p>
      <w:pPr>
        <w:pStyle w:val="ListParagraph"/>
        <w:numPr>
          <w:ilvl w:val="0"/>
          <w:numId w:val="2"/>
        </w:numPr>
        <w:spacing w:after="100" w:line="360"/>
      </w:pPr>
      <w:r>
        <w:rPr>
          <w:rFonts w:ascii="Arial" w:cs="Arial" w:eastAsia="Arial" w:hAnsi="Arial"/>
          <w:sz w:val="24"/>
          <w:szCs w:val="24"/>
        </w:rPr>
        <w:t xml:space="preserve">Manufacturing and regulatory assessment (GMP feasibility, IND pathway, toxicology/oncology monitoring requirements)</w:t>
      </w:r>
    </w:p>
    <w:p>
      <w:pPr>
        <w:pStyle w:val="ListParagraph"/>
        <w:numPr>
          <w:ilvl w:val="0"/>
          <w:numId w:val="2"/>
        </w:numPr>
        <w:spacing w:after="100" w:line="360"/>
      </w:pPr>
      <w:r>
        <w:rPr>
          <w:rFonts w:ascii="Arial" w:cs="Arial" w:eastAsia="Arial" w:hAnsi="Arial"/>
          <w:sz w:val="24"/>
          <w:szCs w:val="24"/>
        </w:rPr>
        <w:t xml:space="preserve">Preclinical development master planner (design validation experiments: in vitro selectivity, primary neuron rescue, animal safety/efficacy models)</w:t>
      </w:r>
    </w:p>
    <w:p>
      <w:pPr>
        <w:pStyle w:val="ListParagraph"/>
        <w:numPr>
          <w:ilvl w:val="0"/>
          <w:numId w:val="2"/>
        </w:numPr>
        <w:spacing w:after="100" w:line="360"/>
      </w:pPr>
      <w:r>
        <w:rPr>
          <w:rFonts w:ascii="Arial" w:cs="Arial" w:eastAsia="Arial" w:hAnsi="Arial"/>
          <w:sz w:val="24"/>
          <w:szCs w:val="24"/>
        </w:rPr>
        <w:t xml:space="preserve">Lead optimization algorithm (nominate top 2-3 candidates with strongest overall therapeutic profile)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all 7 candidates, integrate stages 1-5 data: selectivity × transcriptomic safety × metabolic safety × efficacy composite scoring; rank by overall profile</w:t>
      </w:r>
    </w:p>
    <w:p>
      <w:pPr>
        <w:pStyle w:val="ListParagraph"/>
        <w:numPr>
          <w:ilvl w:val="0"/>
          <w:numId w:val="2"/>
        </w:numPr>
        <w:spacing w:after="100" w:line="360"/>
      </w:pPr>
      <w:r>
        <w:rPr>
          <w:rFonts w:ascii="Arial" w:cs="Arial" w:eastAsia="Arial" w:hAnsi="Arial"/>
          <w:sz w:val="24"/>
          <w:szCs w:val="24"/>
        </w:rPr>
        <w:t xml:space="preserve">Confirm tumor suppressor pathway integrity for top candidates: do p53, RB, PTEN feedback loops remain functional at therapeutic PTEN knockdown levels?</w:t>
      </w:r>
    </w:p>
    <w:p>
      <w:pPr>
        <w:pStyle w:val="ListParagraph"/>
        <w:numPr>
          <w:ilvl w:val="0"/>
          <w:numId w:val="2"/>
        </w:numPr>
        <w:spacing w:after="100" w:line="360"/>
      </w:pPr>
      <w:r>
        <w:rPr>
          <w:rFonts w:ascii="Arial" w:cs="Arial" w:eastAsia="Arial" w:hAnsi="Arial"/>
          <w:sz w:val="24"/>
          <w:szCs w:val="24"/>
        </w:rPr>
        <w:t xml:space="preserve">Map predicted ASO phenotype rescue to clinical outcomes in autism/intellectual disability: which candidates best address learning, social interaction, seizure (if comorbid) phenotypes?</w:t>
      </w:r>
    </w:p>
    <w:p>
      <w:pPr>
        <w:pStyle w:val="ListParagraph"/>
        <w:numPr>
          <w:ilvl w:val="0"/>
          <w:numId w:val="2"/>
        </w:numPr>
        <w:spacing w:after="100" w:line="360"/>
      </w:pPr>
      <w:r>
        <w:rPr>
          <w:rFonts w:ascii="Arial" w:cs="Arial" w:eastAsia="Arial" w:hAnsi="Arial"/>
          <w:sz w:val="24"/>
          <w:szCs w:val="24"/>
        </w:rPr>
        <w:t xml:space="preserve">Assess manufacturing and regulatory path: are top 3 candidates synthesizable at GMP scale? What tumor monitoring requirements are needed for IND?</w:t>
      </w:r>
    </w:p>
    <w:p>
      <w:pPr>
        <w:pStyle w:val="ListParagraph"/>
        <w:numPr>
          <w:ilvl w:val="0"/>
          <w:numId w:val="2"/>
        </w:numPr>
        <w:spacing w:after="100" w:line="360"/>
      </w:pPr>
      <w:r>
        <w:rPr>
          <w:rFonts w:ascii="Arial" w:cs="Arial" w:eastAsia="Arial" w:hAnsi="Arial"/>
          <w:sz w:val="24"/>
          <w:szCs w:val="24"/>
        </w:rPr>
        <w:t xml:space="preserve">Design comprehensive preclinical validation: in vitro partial suppression confirmation, primary neuron rescue experiments, transgenic neuronal disease models, long-term tumor suppressor surveillance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integrated profiles for all 7 candidates (selectivity | transcriptomic safety | metabolic safety | therapeutic efficacy | tumor suppressor integrity | manufacturability)</w:t>
      </w:r>
    </w:p>
    <w:p>
      <w:pPr>
        <w:pStyle w:val="ListParagraph"/>
        <w:numPr>
          <w:ilvl w:val="0"/>
          <w:numId w:val="2"/>
        </w:numPr>
        <w:spacing w:after="100" w:line="360"/>
      </w:pPr>
      <w:r>
        <w:rPr>
          <w:rFonts w:ascii="Arial" w:cs="Arial" w:eastAsia="Arial" w:hAnsi="Arial"/>
          <w:sz w:val="24"/>
          <w:szCs w:val="24"/>
        </w:rPr>
        <w:t xml:space="preserve">Composite scoring rankings (integration of all safety and efficacy dimensions)</w:t>
      </w:r>
    </w:p>
    <w:p>
      <w:pPr>
        <w:pStyle w:val="ListParagraph"/>
        <w:numPr>
          <w:ilvl w:val="0"/>
          <w:numId w:val="2"/>
        </w:numPr>
        <w:spacing w:after="100" w:line="360"/>
      </w:pPr>
      <w:r>
        <w:rPr>
          <w:rFonts w:ascii="Arial" w:cs="Arial" w:eastAsia="Arial" w:hAnsi="Arial"/>
          <w:sz w:val="24"/>
          <w:szCs w:val="24"/>
        </w:rPr>
        <w:t xml:space="preserve">Tumor suppressor pathway integrity confirmation (p53/RB/PTEN functional status at therapeutic PTEN knockdown levels)</w:t>
      </w:r>
    </w:p>
    <w:p>
      <w:pPr>
        <w:pStyle w:val="ListParagraph"/>
        <w:numPr>
          <w:ilvl w:val="0"/>
          <w:numId w:val="2"/>
        </w:numPr>
        <w:spacing w:after="100" w:line="360"/>
      </w:pPr>
      <w:r>
        <w:rPr>
          <w:rFonts w:ascii="Arial" w:cs="Arial" w:eastAsia="Arial" w:hAnsi="Arial"/>
          <w:sz w:val="24"/>
          <w:szCs w:val="24"/>
        </w:rPr>
        <w:t xml:space="preserve">Clinical phenotype prediction (autism/intellectual disability outcome improvement probability for each candidate)</w:t>
      </w:r>
    </w:p>
    <w:p>
      <w:pPr>
        <w:pStyle w:val="ListParagraph"/>
        <w:numPr>
          <w:ilvl w:val="0"/>
          <w:numId w:val="2"/>
        </w:numPr>
        <w:spacing w:after="100" w:line="360"/>
      </w:pPr>
      <w:r>
        <w:rPr>
          <w:rFonts w:ascii="Arial" w:cs="Arial" w:eastAsia="Arial" w:hAnsi="Arial"/>
          <w:sz w:val="24"/>
          <w:szCs w:val="24"/>
        </w:rPr>
        <w:t xml:space="preserve">Top 2-3 lead ASO candidates with complete specifications: sequence, predicted PTEN knockdown (50-55%), efficacy profile, tumor suppressor safety margins, therapeutic window</w:t>
      </w:r>
    </w:p>
    <w:p>
      <w:pPr>
        <w:pStyle w:val="ListParagraph"/>
        <w:numPr>
          <w:ilvl w:val="0"/>
          <w:numId w:val="2"/>
        </w:numPr>
        <w:spacing w:after="100" w:line="360"/>
      </w:pPr>
      <w:r>
        <w:rPr>
          <w:rFonts w:ascii="Arial" w:cs="Arial" w:eastAsia="Arial" w:hAnsi="Arial"/>
          <w:sz w:val="24"/>
          <w:szCs w:val="24"/>
        </w:rPr>
        <w:t xml:space="preserve">Comprehensive preclinical development plan: in vitro selectivity assays, primary neuron rescue studies, animal safety/efficacy models (transgenic or acquired neuronal disease), long-term tumor suppressor monitoring protocol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Lead nomination report (PDF with integrated Stages 1-5 analysis, tumor suppressor integrity validation, clinical phenotype predictions, comprehensive preclinical development master plan) plus detailed 5-year development timeline for IND-enabling to first-in-human studies</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UCSC Genome Browser (genomic annotation, conservation, structure visualization)</w:t>
      </w:r>
    </w:p>
    <w:p>
      <w:pPr>
        <w:pStyle w:val="ListParagraph"/>
        <w:numPr>
          <w:ilvl w:val="0"/>
          <w:numId w:val="2"/>
        </w:numPr>
        <w:spacing w:after="100" w:line="360"/>
      </w:pPr>
      <w:r>
        <w:rPr>
          <w:rFonts w:ascii="Arial" w:cs="Arial" w:eastAsia="Arial" w:hAnsi="Arial"/>
          <w:sz w:val="24"/>
          <w:szCs w:val="24"/>
        </w:rPr>
        <w:t xml:space="preserve">Ensembl REST API &amp; Gene Annotation (transcript isoforms, regulatory elements, variant impact)</w:t>
      </w:r>
    </w:p>
    <w:p>
      <w:pPr>
        <w:pStyle w:val="ListParagraph"/>
        <w:numPr>
          <w:ilvl w:val="0"/>
          <w:numId w:val="2"/>
        </w:numPr>
        <w:spacing w:after="100" w:line="360"/>
      </w:pPr>
      <w:r>
        <w:rPr>
          <w:rFonts w:ascii="Arial" w:cs="Arial" w:eastAsia="Arial" w:hAnsi="Arial"/>
          <w:sz w:val="24"/>
          <w:szCs w:val="24"/>
        </w:rPr>
        <w:t xml:space="preserve">RefSeq Database (gene sequences, transcript structures, transcript-specific properties)</w:t>
      </w:r>
    </w:p>
    <w:p>
      <w:pPr>
        <w:pStyle w:val="ListParagraph"/>
        <w:numPr>
          <w:ilvl w:val="0"/>
          <w:numId w:val="2"/>
        </w:numPr>
        <w:spacing w:after="100" w:line="360"/>
      </w:pPr>
      <w:r>
        <w:rPr>
          <w:rFonts w:ascii="Arial" w:cs="Arial" w:eastAsia="Arial" w:hAnsi="Arial"/>
          <w:sz w:val="24"/>
          <w:szCs w:val="24"/>
        </w:rPr>
        <w:t xml:space="preserve">ClinVar &amp; HGMD (clinical variant interpretation, pathogenicity assessment, functional annotation)</w:t>
      </w:r>
    </w:p>
    <w:p>
      <w:pPr>
        <w:pStyle w:val="ListParagraph"/>
        <w:numPr>
          <w:ilvl w:val="0"/>
          <w:numId w:val="2"/>
        </w:numPr>
        <w:spacing w:after="100" w:line="360"/>
      </w:pPr>
      <w:r>
        <w:rPr>
          <w:rFonts w:ascii="Arial" w:cs="Arial" w:eastAsia="Arial" w:hAnsi="Arial"/>
          <w:sz w:val="24"/>
          <w:szCs w:val="24"/>
        </w:rPr>
        <w:t xml:space="preserve">BLAST &amp; RNAhybrid (sequence similarity searching, off-target prediction, thermodynamic binding)</w:t>
      </w:r>
    </w:p>
    <w:p>
      <w:pPr>
        <w:pStyle w:val="ListParagraph"/>
        <w:numPr>
          <w:ilvl w:val="0"/>
          <w:numId w:val="2"/>
        </w:numPr>
        <w:spacing w:after="100" w:line="360"/>
      </w:pPr>
      <w:r>
        <w:rPr>
          <w:rFonts w:ascii="Arial" w:cs="Arial" w:eastAsia="Arial" w:hAnsi="Arial"/>
          <w:sz w:val="24"/>
          <w:szCs w:val="24"/>
        </w:rPr>
        <w:t xml:space="preserve">OligoCalc &amp; mfold/RNAfold (ASO Tm calculation, secondary structure prediction, duplex thermodynamics)</w:t>
      </w:r>
    </w:p>
    <w:p>
      <w:pPr>
        <w:pStyle w:val="ListParagraph"/>
        <w:numPr>
          <w:ilvl w:val="0"/>
          <w:numId w:val="2"/>
        </w:numPr>
        <w:spacing w:after="100" w:line="360"/>
      </w:pPr>
      <w:r>
        <w:rPr>
          <w:rFonts w:ascii="Arial" w:cs="Arial" w:eastAsia="Arial" w:hAnsi="Arial"/>
          <w:sz w:val="24"/>
          <w:szCs w:val="24"/>
        </w:rPr>
        <w:t xml:space="preserve">GENEIOUS Pro (sequence design, alignment, off-target screening, visualization)</w:t>
      </w:r>
    </w:p>
    <w:p>
      <w:pPr>
        <w:pStyle w:val="ListParagraph"/>
        <w:numPr>
          <w:ilvl w:val="0"/>
          <w:numId w:val="2"/>
        </w:numPr>
        <w:spacing w:after="100" w:line="360"/>
      </w:pPr>
      <w:r>
        <w:rPr>
          <w:rFonts w:ascii="Arial" w:cs="Arial" w:eastAsia="Arial" w:hAnsi="Arial"/>
          <w:sz w:val="24"/>
          <w:szCs w:val="24"/>
        </w:rPr>
        <w:t xml:space="preserve">Beacon Designer &amp; ChemGPS-NP (ASO design optimization, chemical modification selection, ADMET prediction)</w:t>
      </w:r>
    </w:p>
    <w:p>
      <w:pPr>
        <w:pStyle w:val="ListParagraph"/>
        <w:numPr>
          <w:ilvl w:val="0"/>
          <w:numId w:val="2"/>
        </w:numPr>
        <w:spacing w:after="100" w:line="360"/>
      </w:pPr>
      <w:r>
        <w:rPr>
          <w:rFonts w:ascii="Arial" w:cs="Arial" w:eastAsia="Arial" w:hAnsi="Arial"/>
          <w:sz w:val="24"/>
          <w:szCs w:val="24"/>
        </w:rPr>
        <w:t xml:space="preserve">AlphaFold2 &amp; FoldX (protein structure prediction, thermodynamic stability, domain folding assessment)</w:t>
      </w:r>
    </w:p>
    <w:p>
      <w:pPr>
        <w:pStyle w:val="ListParagraph"/>
        <w:numPr>
          <w:ilvl w:val="0"/>
          <w:numId w:val="2"/>
        </w:numPr>
        <w:spacing w:after="100" w:line="360"/>
      </w:pPr>
      <w:r>
        <w:rPr>
          <w:rFonts w:ascii="Arial" w:cs="Arial" w:eastAsia="Arial" w:hAnsi="Arial"/>
          <w:sz w:val="24"/>
          <w:szCs w:val="24"/>
        </w:rPr>
        <w:t xml:space="preserve">Reactome &amp; KEGG (pathway annotation, mechanistic understanding, cascade modeling)</w:t>
      </w:r>
    </w:p>
    <w:p>
      <w:pPr>
        <w:pStyle w:val="ListParagraph"/>
        <w:numPr>
          <w:ilvl w:val="0"/>
          <w:numId w:val="2"/>
        </w:numPr>
        <w:spacing w:after="100" w:line="360"/>
      </w:pPr>
      <w:r>
        <w:rPr>
          <w:rFonts w:ascii="Arial" w:cs="Arial" w:eastAsia="Arial" w:hAnsi="Arial"/>
          <w:sz w:val="24"/>
          <w:szCs w:val="24"/>
        </w:rPr>
        <w:t xml:space="preserve">Deep Learning Models (ToxNet, selectivity predictors, phenotype rescuers; ML-based predictions)</w:t>
      </w:r>
    </w:p>
    <w:p>
      <w:pPr>
        <w:pStyle w:val="ListParagraph"/>
        <w:numPr>
          <w:ilvl w:val="0"/>
          <w:numId w:val="2"/>
        </w:numPr>
        <w:spacing w:after="100" w:line="360"/>
      </w:pPr>
      <w:r>
        <w:rPr>
          <w:rFonts w:ascii="Arial" w:cs="Arial" w:eastAsia="Arial" w:hAnsi="Arial"/>
          <w:sz w:val="24"/>
          <w:szCs w:val="24"/>
        </w:rPr>
        <w:t xml:space="preserve">Systems Biology Toolbox (ODE modeling, pathway dynamics simulation, dose-response fitting)</w:t>
      </w:r>
    </w:p>
    <w:p>
      <w:pPr>
        <w:pStyle w:val="ListParagraph"/>
        <w:numPr>
          <w:ilvl w:val="0"/>
          <w:numId w:val="2"/>
        </w:numPr>
        <w:spacing w:after="100" w:line="360"/>
      </w:pPr>
      <w:r>
        <w:rPr>
          <w:rFonts w:ascii="Arial" w:cs="Arial" w:eastAsia="Arial" w:hAnsi="Arial"/>
          <w:sz w:val="24"/>
          <w:szCs w:val="24"/>
        </w:rPr>
        <w:t xml:space="preserve">SpliceAI &amp; RNA structure tools (splicing prediction, exon-skipping modeling, splicing optimization)</w:t>
      </w:r>
    </w:p>
    <w:p>
      <w:pPr>
        <w:pStyle w:val="ListParagraph"/>
        <w:numPr>
          <w:ilvl w:val="0"/>
          <w:numId w:val="2"/>
        </w:numPr>
        <w:spacing w:after="100" w:line="360"/>
      </w:pPr>
      <w:r>
        <w:rPr>
          <w:rFonts w:ascii="Arial" w:cs="Arial" w:eastAsia="Arial" w:hAnsi="Arial"/>
          <w:sz w:val="24"/>
          <w:szCs w:val="24"/>
        </w:rPr>
        <w:t xml:space="preserve">Sapphire Integrated Modules (EP phenotyping, transcript/dose-response database, safety validation)</w:t>
      </w:r>
    </w:p>
    <w:p>
      <w:pPr>
        <w:pStyle w:val="ListParagraph"/>
        <w:numPr>
          <w:ilvl w:val="0"/>
          <w:numId w:val="2"/>
        </w:numPr>
        <w:spacing w:after="100" w:line="360"/>
      </w:pPr>
      <w:r>
        <w:rPr>
          <w:rFonts w:ascii="Arial" w:cs="Arial" w:eastAsia="Arial" w:hAnsi="Arial"/>
          <w:sz w:val="24"/>
          <w:szCs w:val="24"/>
        </w:rPr>
        <w:t xml:space="preserve">GEO/ArrayExpress (transcriptomic datasets, expression patterns, disease signatures)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2026-03-04T17:44:07.435Z</dcterms:created>
  <dcterms:modified xsi:type="dcterms:W3CDTF">2026-03-04T17:44:07.435Z</dcterms:modified>
</cp:coreProperties>
</file>

<file path=docProps/custom.xml><?xml version="1.0" encoding="utf-8"?>
<Properties xmlns="http://schemas.openxmlformats.org/officeDocument/2006/custom-properties" xmlns:vt="http://schemas.openxmlformats.org/officeDocument/2006/docPropsVTypes"/>
</file>