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pPr>
      <w:r>
        <w:rPr>
          <w:rFonts w:ascii="Arial" w:cs="Arial" w:eastAsia="Arial" w:hAnsi="Arial"/>
          <w:b/>
          <w:bCs/>
          <w:sz w:val="32"/>
          <w:szCs w:val="32"/>
        </w:rPr>
        <w:t xml:space="preserve">Sapphire Pipeline Workflow: TSC1 Exon-Skipping ASO for Truncating Mutations</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Design exon-skipping ASOs for a TSC1 truncating mutation to restore reading frame and evaluate predicted EP rescue.</w:t>
      </w:r>
    </w:p>
    <w:p>
      <w:pPr>
        <w:spacing w:after="200" w:line="360"/>
      </w:pPr>
      <w:r>
        <w:rPr>
          <w:rFonts w:ascii="Arial" w:cs="Arial" w:eastAsia="Arial" w:hAnsi="Arial"/>
          <w:sz w:val="24"/>
          <w:szCs w:val="24"/>
        </w:rPr>
        <w:t xml:space="preserve">This pipeline generates antisense oligonucleotide (ASO) sequences designed to induce exon-skipping in TSC1 (tuberous sclerosis complex 1) transcripts carrying truncating mutations that disrupt the reading frame. By removing the exon containing (or immediately adjacent to) the truncating mutation, the downstream reading frame can be restored, enabling translation of a shortened but functional TSC1 protein capable of hamartin-tuberin complex assembly and tumorigenic suppression of mTORC1. This approach is particularly valuable for frameshift and nonsense mutations that otherwise produce non-functional truncated proteins or trigger nonsense-mediated decay.</w:t>
      </w:r>
    </w:p>
    <w:p>
      <w:pPr>
        <w:spacing w:after="200" w:line="360"/>
      </w:pPr>
      <w:r>
        <w:rPr>
          <w:rFonts w:ascii="Arial" w:cs="Arial" w:eastAsia="Arial" w:hAnsi="Arial"/>
          <w:sz w:val="24"/>
          <w:szCs w:val="24"/>
        </w:rPr>
        <w:t xml:space="preserve">Tuberous sclerosis (TS) is caused by mutations in TSC1 or TSC2 and manifests with seizures, autism, intellectual disability, and uncontrolled cellular proliferation (neuronal hamartomas, renal angiomyolipomas, cardiac rhabdomyomas). This pipeline integrates sequence design for robust exon-skipping (targeting ESE/ESS motifs), reading frame prediction, and Sapphire's comprehensive neuronal and seizure phenotyping data (~500 features, ~3,500 compound perturbations) to predict how TSC1 restoration via exon-skipping rescues the tuberous sclerosis neurological phenotype (seizure susceptibility, neuronal hyperexcitability, mTOR pathway dysregulation).</w:t>
      </w:r>
    </w:p>
    <w:p>
      <w:pPr>
        <w:pStyle w:val="Heading2"/>
        <w:spacing w:after="200" w:before="200"/>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This pipeline integrates sequence-level design with comprehensive phenotypic modeling to identify optimal ASO candidates. Each stage builds on prior results, progressively filtering candidates through increasingly stringent selectivity, efficacy, and safety criteria. The modular architecture allows for iterative refinement and incorporation of new experimental data at each validation stage.</w:t>
      </w:r>
    </w:p>
    <w:p>
      <w:pPr>
        <w:spacing w:after="200" w:line="360"/>
      </w:pPr>
      <w:r>
        <w:rPr>
          <w:rFonts w:ascii="Arial" w:cs="Arial" w:eastAsia="Arial" w:hAnsi="Arial"/>
          <w:sz w:val="24"/>
          <w:szCs w:val="24"/>
        </w:rPr>
        <w:t xml:space="preserve">The Sapphire platform's ~500 electrophysiology features, ~18,000 gene perturbation experiments, and ~3,500 compound perturbation records provide detailed phenotypic ground truth for predicting how ASO-induced transcript knockdown translates to cellular and circuit-level effects. Integration of transcriptomic safety models, computational structure prediction, and mechanistic pathway simulations enables rational design of highly selective, efficacious, and safe ASO therapeutics.</w:t>
      </w:r>
    </w:p>
    <w:p>
      <w:pPr>
        <w:pStyle w:val="Heading2"/>
        <w:spacing w:after="200" w:before="200"/>
      </w:pPr>
      <w:r>
        <w:rPr>
          <w:rFonts w:ascii="Arial" w:cs="Arial" w:eastAsia="Arial" w:hAnsi="Arial"/>
          <w:b/>
          <w:bCs/>
          <w:sz w:val="28"/>
          <w:szCs w:val="28"/>
        </w:rPr>
        <w:t xml:space="preserve">Stage 1: TSC1 Mutation &amp; Exon-Skipping Strategy Selection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Analyze TSC1 truncating mutation(s) in target patient/cohort, define optimal exon-skipping strategy to restore reading frame, and predict resulting TSC1 protein functionality and hamartin-tuberin complex assembly capability.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TSC1 gene structure (RefSeq, Ensembl; 23 exons, coding sequence organization)</w:t>
      </w:r>
    </w:p>
    <w:p>
      <w:pPr>
        <w:pStyle w:val="ListParagraph"/>
        <w:numPr>
          <w:ilvl w:val="0"/>
          <w:numId w:val="2"/>
        </w:numPr>
        <w:spacing w:after="100" w:line="360"/>
      </w:pPr>
      <w:r>
        <w:rPr>
          <w:rFonts w:ascii="Arial" w:cs="Arial" w:eastAsia="Arial" w:hAnsi="Arial"/>
          <w:sz w:val="24"/>
          <w:szCs w:val="24"/>
        </w:rPr>
        <w:t xml:space="preserve">Patient TSC1 truncating mutation(s): position, frameshift/nonsense type, exon location</w:t>
      </w:r>
    </w:p>
    <w:p>
      <w:pPr>
        <w:pStyle w:val="ListParagraph"/>
        <w:numPr>
          <w:ilvl w:val="0"/>
          <w:numId w:val="2"/>
        </w:numPr>
        <w:spacing w:after="100" w:line="360"/>
      </w:pPr>
      <w:r>
        <w:rPr>
          <w:rFonts w:ascii="Arial" w:cs="Arial" w:eastAsia="Arial" w:hAnsi="Arial"/>
          <w:sz w:val="24"/>
          <w:szCs w:val="24"/>
        </w:rPr>
        <w:t xml:space="preserve">TSC1 domain structure: GAP domain (Arg-Asp active site), TSC2 binding regions, NLS, regulatory phosphorylation sites</w:t>
      </w:r>
    </w:p>
    <w:p>
      <w:pPr>
        <w:pStyle w:val="ListParagraph"/>
        <w:numPr>
          <w:ilvl w:val="0"/>
          <w:numId w:val="2"/>
        </w:numPr>
        <w:spacing w:after="100" w:line="360"/>
      </w:pPr>
      <w:r>
        <w:rPr>
          <w:rFonts w:ascii="Arial" w:cs="Arial" w:eastAsia="Arial" w:hAnsi="Arial"/>
          <w:sz w:val="24"/>
          <w:szCs w:val="24"/>
        </w:rPr>
        <w:t xml:space="preserve">Exon definition elements (ESE, ESS): splicing regulatory sequences in TSC1 exons</w:t>
      </w:r>
    </w:p>
    <w:p>
      <w:pPr>
        <w:pStyle w:val="ListParagraph"/>
        <w:numPr>
          <w:ilvl w:val="0"/>
          <w:numId w:val="2"/>
        </w:numPr>
        <w:spacing w:after="100" w:line="360"/>
      </w:pPr>
      <w:r>
        <w:rPr>
          <w:rFonts w:ascii="Arial" w:cs="Arial" w:eastAsia="Arial" w:hAnsi="Arial"/>
          <w:sz w:val="24"/>
          <w:szCs w:val="24"/>
        </w:rPr>
        <w:t xml:space="preserve">Sapphire TSC/mTOR dysregulation phenotypes (seizure susceptibility, neuronal hyperexcitability, mTORC1 overactivation signatures; n=189 experiments)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UCSC Genome Browser (TSC1 exon structure, intron-exon boundaries, conservation scores)</w:t>
      </w:r>
    </w:p>
    <w:p>
      <w:pPr>
        <w:pStyle w:val="ListParagraph"/>
        <w:numPr>
          <w:ilvl w:val="0"/>
          <w:numId w:val="2"/>
        </w:numPr>
        <w:spacing w:after="100" w:line="360"/>
      </w:pPr>
      <w:r>
        <w:rPr>
          <w:rFonts w:ascii="Arial" w:cs="Arial" w:eastAsia="Arial" w:hAnsi="Arial"/>
          <w:sz w:val="24"/>
          <w:szCs w:val="24"/>
        </w:rPr>
        <w:t xml:space="preserve">ESEfinder (identify exonic splicing enhancers; predict exon inclusion/exclusion upon ASO-induced skipping)</w:t>
      </w:r>
    </w:p>
    <w:p>
      <w:pPr>
        <w:pStyle w:val="ListParagraph"/>
        <w:numPr>
          <w:ilvl w:val="0"/>
          <w:numId w:val="2"/>
        </w:numPr>
        <w:spacing w:after="100" w:line="360"/>
      </w:pPr>
      <w:r>
        <w:rPr>
          <w:rFonts w:ascii="Arial" w:cs="Arial" w:eastAsia="Arial" w:hAnsi="Arial"/>
          <w:sz w:val="24"/>
          <w:szCs w:val="24"/>
        </w:rPr>
        <w:t xml:space="preserve">SpliceAI (deep learning splicing prediction; predict reading frame restoration after exon skipping)</w:t>
      </w:r>
    </w:p>
    <w:p>
      <w:pPr>
        <w:pStyle w:val="ListParagraph"/>
        <w:numPr>
          <w:ilvl w:val="0"/>
          <w:numId w:val="2"/>
        </w:numPr>
        <w:spacing w:after="100" w:line="360"/>
      </w:pPr>
      <w:r>
        <w:rPr>
          <w:rFonts w:ascii="Arial" w:cs="Arial" w:eastAsia="Arial" w:hAnsi="Arial"/>
          <w:sz w:val="24"/>
          <w:szCs w:val="24"/>
        </w:rPr>
        <w:t xml:space="preserve">PROVEAN/FoldX (predict functionality of shortened TSC1 protein from exon-skipping-induced truncation)</w:t>
      </w:r>
    </w:p>
    <w:p>
      <w:pPr>
        <w:pStyle w:val="ListParagraph"/>
        <w:numPr>
          <w:ilvl w:val="0"/>
          <w:numId w:val="2"/>
        </w:numPr>
        <w:spacing w:after="100" w:line="360"/>
      </w:pPr>
      <w:r>
        <w:rPr>
          <w:rFonts w:ascii="Arial" w:cs="Arial" w:eastAsia="Arial" w:hAnsi="Arial"/>
          <w:sz w:val="24"/>
          <w:szCs w:val="24"/>
        </w:rPr>
        <w:t xml:space="preserve">InterPro/Pfam (map TSC1 protein domains; assess whether skipped exon removal preserves critical domains)</w:t>
      </w:r>
    </w:p>
    <w:p>
      <w:pPr>
        <w:pStyle w:val="ListParagraph"/>
        <w:numPr>
          <w:ilvl w:val="0"/>
          <w:numId w:val="2"/>
        </w:numPr>
        <w:spacing w:after="100" w:line="360"/>
      </w:pPr>
      <w:r>
        <w:rPr>
          <w:rFonts w:ascii="Arial" w:cs="Arial" w:eastAsia="Arial" w:hAnsi="Arial"/>
          <w:sz w:val="24"/>
          <w:szCs w:val="24"/>
        </w:rPr>
        <w:t xml:space="preserve">Sapphire TSC/mTOR module (query TSC1/TSC2 loss-of-function phenotypes; mTORC1 overactivation, seizure susceptibility signatures)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For the patient TSC1 truncating mutation, identify which exon(s) contain/flank the frameshift/nonsense variant</w:t>
      </w:r>
    </w:p>
    <w:p>
      <w:pPr>
        <w:pStyle w:val="ListParagraph"/>
        <w:numPr>
          <w:ilvl w:val="0"/>
          <w:numId w:val="2"/>
        </w:numPr>
        <w:spacing w:after="100" w:line="360"/>
      </w:pPr>
      <w:r>
        <w:rPr>
          <w:rFonts w:ascii="Arial" w:cs="Arial" w:eastAsia="Arial" w:hAnsi="Arial"/>
          <w:sz w:val="24"/>
          <w:szCs w:val="24"/>
        </w:rPr>
        <w:t xml:space="preserve">Design exon-skipping strategy: which single exon (or pair of exons) can be skipped to restore the reading frame downstream of the mutation?</w:t>
      </w:r>
    </w:p>
    <w:p>
      <w:pPr>
        <w:pStyle w:val="ListParagraph"/>
        <w:numPr>
          <w:ilvl w:val="0"/>
          <w:numId w:val="2"/>
        </w:numPr>
        <w:spacing w:after="100" w:line="360"/>
      </w:pPr>
      <w:r>
        <w:rPr>
          <w:rFonts w:ascii="Arial" w:cs="Arial" w:eastAsia="Arial" w:hAnsi="Arial"/>
          <w:sz w:val="24"/>
          <w:szCs w:val="24"/>
        </w:rPr>
        <w:t xml:space="preserve">Predict the shortened TSC1 protein product: which functional domains are preserved after exon skipping? Will hamartin-tuberin complex assembly be maintained?</w:t>
      </w:r>
    </w:p>
    <w:p>
      <w:pPr>
        <w:pStyle w:val="ListParagraph"/>
        <w:numPr>
          <w:ilvl w:val="0"/>
          <w:numId w:val="2"/>
        </w:numPr>
        <w:spacing w:after="100" w:line="360"/>
      </w:pPr>
      <w:r>
        <w:rPr>
          <w:rFonts w:ascii="Arial" w:cs="Arial" w:eastAsia="Arial" w:hAnsi="Arial"/>
          <w:sz w:val="24"/>
          <w:szCs w:val="24"/>
        </w:rPr>
        <w:t xml:space="preserve">Use ESEfinder/SpliceAI: design ASO target sequences (ESS regions) to promote exon skipping; predict splicing outcome probability</w:t>
      </w:r>
    </w:p>
    <w:p>
      <w:pPr>
        <w:pStyle w:val="ListParagraph"/>
        <w:numPr>
          <w:ilvl w:val="0"/>
          <w:numId w:val="2"/>
        </w:numPr>
        <w:spacing w:after="100" w:line="360"/>
      </w:pPr>
      <w:r>
        <w:rPr>
          <w:rFonts w:ascii="Arial" w:cs="Arial" w:eastAsia="Arial" w:hAnsi="Arial"/>
          <w:sz w:val="24"/>
          <w:szCs w:val="24"/>
        </w:rPr>
        <w:t xml:space="preserve">Using Sapphire data, identify the TSC1 loss-of-function phenotype (mTORC1 overactivation severity, seizure susceptibility magnitude) that the exon-skipping approach should reverse</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TSC1 mutation analysis (mutation position, type, frameshift analysis; exon context)</w:t>
      </w:r>
    </w:p>
    <w:p>
      <w:pPr>
        <w:pStyle w:val="ListParagraph"/>
        <w:numPr>
          <w:ilvl w:val="0"/>
          <w:numId w:val="2"/>
        </w:numPr>
        <w:spacing w:after="100" w:line="360"/>
      </w:pPr>
      <w:r>
        <w:rPr>
          <w:rFonts w:ascii="Arial" w:cs="Arial" w:eastAsia="Arial" w:hAnsi="Arial"/>
          <w:sz w:val="24"/>
          <w:szCs w:val="24"/>
        </w:rPr>
        <w:t xml:space="preserve">Exon-skipping strategy definition (exon(s) to skip for reading frame restoration; rationale for choice)</w:t>
      </w:r>
    </w:p>
    <w:p>
      <w:pPr>
        <w:pStyle w:val="ListParagraph"/>
        <w:numPr>
          <w:ilvl w:val="0"/>
          <w:numId w:val="2"/>
        </w:numPr>
        <w:spacing w:after="100" w:line="360"/>
      </w:pPr>
      <w:r>
        <w:rPr>
          <w:rFonts w:ascii="Arial" w:cs="Arial" w:eastAsia="Arial" w:hAnsi="Arial"/>
          <w:sz w:val="24"/>
          <w:szCs w:val="24"/>
        </w:rPr>
        <w:t xml:space="preserve">Predicted shortened TSC1 protein (domain structure; functional preservation assessment; hamartin-tuberin binding capacity prediction)</w:t>
      </w:r>
    </w:p>
    <w:p>
      <w:pPr>
        <w:pStyle w:val="ListParagraph"/>
        <w:numPr>
          <w:ilvl w:val="0"/>
          <w:numId w:val="2"/>
        </w:numPr>
        <w:spacing w:after="100" w:line="360"/>
      </w:pPr>
      <w:r>
        <w:rPr>
          <w:rFonts w:ascii="Arial" w:cs="Arial" w:eastAsia="Arial" w:hAnsi="Arial"/>
          <w:sz w:val="24"/>
          <w:szCs w:val="24"/>
        </w:rPr>
        <w:t xml:space="preserve">ESE/ESS motif mapping (splicing regulatory elements in target exon; ASO design opportunity identification)</w:t>
      </w:r>
    </w:p>
    <w:p>
      <w:pPr>
        <w:pStyle w:val="ListParagraph"/>
        <w:numPr>
          <w:ilvl w:val="0"/>
          <w:numId w:val="2"/>
        </w:numPr>
        <w:spacing w:after="100" w:line="360"/>
      </w:pPr>
      <w:r>
        <w:rPr>
          <w:rFonts w:ascii="Arial" w:cs="Arial" w:eastAsia="Arial" w:hAnsi="Arial"/>
          <w:sz w:val="24"/>
          <w:szCs w:val="24"/>
        </w:rPr>
        <w:t xml:space="preserve">SpliceAI prediction (probability of successful exon skipping with different ASO target sites)</w:t>
      </w:r>
    </w:p>
    <w:p>
      <w:pPr>
        <w:pStyle w:val="ListParagraph"/>
        <w:numPr>
          <w:ilvl w:val="0"/>
          <w:numId w:val="2"/>
        </w:numPr>
        <w:spacing w:after="100" w:line="360"/>
      </w:pPr>
      <w:r>
        <w:rPr>
          <w:rFonts w:ascii="Arial" w:cs="Arial" w:eastAsia="Arial" w:hAnsi="Arial"/>
          <w:sz w:val="24"/>
          <w:szCs w:val="24"/>
        </w:rPr>
        <w:t xml:space="preserve">Sapphire phenotype baseline (TSC1 loss-of-function mTORC1 dysregulation and seizure phenotype severity for this patient/cohort)</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TSC1 mutation analysis report (PDF with exon structure diagram showing mutation and skipping strategy, domain preservation prediction for shortened protein, ESE/ESS map) plus SpliceAI probability score for reading frame restoration</w:t>
      </w:r>
    </w:p>
    <w:p>
      <w:pPr>
        <w:pStyle w:val="Heading2"/>
        <w:spacing w:after="200" w:before="200"/>
      </w:pPr>
      <w:r>
        <w:rPr>
          <w:rFonts w:ascii="Arial" w:cs="Arial" w:eastAsia="Arial" w:hAnsi="Arial"/>
          <w:b/>
          <w:bCs/>
          <w:sz w:val="28"/>
          <w:szCs w:val="28"/>
        </w:rPr>
        <w:t xml:space="preserve">Stage 2: Exon-Skipping ASO Design &amp; Splicing Optimization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Design 12-15 exon-skipping ASO candidates targeting TSC1 ESS (exonic splicing silencer) elements to maximize exon inclusion-skipping upon ASO binding, ensuring robust exon removal and reading frame restoration.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Target exon for skipping from Stage 1</w:t>
      </w:r>
    </w:p>
    <w:p>
      <w:pPr>
        <w:pStyle w:val="ListParagraph"/>
        <w:numPr>
          <w:ilvl w:val="0"/>
          <w:numId w:val="2"/>
        </w:numPr>
        <w:spacing w:after="100" w:line="360"/>
      </w:pPr>
      <w:r>
        <w:rPr>
          <w:rFonts w:ascii="Arial" w:cs="Arial" w:eastAsia="Arial" w:hAnsi="Arial"/>
          <w:sz w:val="24"/>
          <w:szCs w:val="24"/>
        </w:rPr>
        <w:t xml:space="preserve">ESS element positions within target exon (exonic splicing silencers; targets for ASO-induced skipping)</w:t>
      </w:r>
    </w:p>
    <w:p>
      <w:pPr>
        <w:pStyle w:val="ListParagraph"/>
        <w:numPr>
          <w:ilvl w:val="0"/>
          <w:numId w:val="2"/>
        </w:numPr>
        <w:spacing w:after="100" w:line="360"/>
      </w:pPr>
      <w:r>
        <w:rPr>
          <w:rFonts w:ascii="Arial" w:cs="Arial" w:eastAsia="Arial" w:hAnsi="Arial"/>
          <w:sz w:val="24"/>
          <w:szCs w:val="24"/>
        </w:rPr>
        <w:t xml:space="preserve">TSC1 exon-intron sequences (±50 nt context for secondary structure prediction)</w:t>
      </w:r>
    </w:p>
    <w:p>
      <w:pPr>
        <w:pStyle w:val="ListParagraph"/>
        <w:numPr>
          <w:ilvl w:val="0"/>
          <w:numId w:val="2"/>
        </w:numPr>
        <w:spacing w:after="100" w:line="360"/>
      </w:pPr>
      <w:r>
        <w:rPr>
          <w:rFonts w:ascii="Arial" w:cs="Arial" w:eastAsia="Arial" w:hAnsi="Arial"/>
          <w:sz w:val="24"/>
          <w:szCs w:val="24"/>
        </w:rPr>
        <w:t xml:space="preserve">Splicing factor binding motifs (hnRNPA1, hnRNPF, TRA2, SRSF proteins; understand splicing regulation)</w:t>
      </w:r>
    </w:p>
    <w:p>
      <w:pPr>
        <w:pStyle w:val="ListParagraph"/>
        <w:numPr>
          <w:ilvl w:val="0"/>
          <w:numId w:val="2"/>
        </w:numPr>
        <w:spacing w:after="100" w:line="360"/>
      </w:pPr>
      <w:r>
        <w:rPr>
          <w:rFonts w:ascii="Arial" w:cs="Arial" w:eastAsia="Arial" w:hAnsi="Arial"/>
          <w:sz w:val="24"/>
          <w:szCs w:val="24"/>
        </w:rPr>
        <w:t xml:space="preserve">Exon-skipping ASO design rules (optimal ESS targeting, secondary structure accessibility, off-target avoidance)</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ESEfinder &amp; RESCUE-ESE (identify ESS and ESE motifs within target exon)</w:t>
      </w:r>
    </w:p>
    <w:p>
      <w:pPr>
        <w:pStyle w:val="ListParagraph"/>
        <w:numPr>
          <w:ilvl w:val="0"/>
          <w:numId w:val="2"/>
        </w:numPr>
        <w:spacing w:after="100" w:line="360"/>
      </w:pPr>
      <w:r>
        <w:rPr>
          <w:rFonts w:ascii="Arial" w:cs="Arial" w:eastAsia="Arial" w:hAnsi="Arial"/>
          <w:sz w:val="24"/>
          <w:szCs w:val="24"/>
        </w:rPr>
        <w:t xml:space="preserve">RNAstructure &amp; RNAfold (predict TSC1 exon secondary structure; identify ASO-accessible regions)</w:t>
      </w:r>
    </w:p>
    <w:p>
      <w:pPr>
        <w:pStyle w:val="ListParagraph"/>
        <w:numPr>
          <w:ilvl w:val="0"/>
          <w:numId w:val="2"/>
        </w:numPr>
        <w:spacing w:after="100" w:line="360"/>
      </w:pPr>
      <w:r>
        <w:rPr>
          <w:rFonts w:ascii="Arial" w:cs="Arial" w:eastAsia="Arial" w:hAnsi="Arial"/>
          <w:sz w:val="24"/>
          <w:szCs w:val="24"/>
        </w:rPr>
        <w:t xml:space="preserve">OligoCalc (Tm calculations for ESS-targeting ASOs)</w:t>
      </w:r>
    </w:p>
    <w:p>
      <w:pPr>
        <w:pStyle w:val="ListParagraph"/>
        <w:numPr>
          <w:ilvl w:val="0"/>
          <w:numId w:val="2"/>
        </w:numPr>
        <w:spacing w:after="100" w:line="360"/>
      </w:pPr>
      <w:r>
        <w:rPr>
          <w:rFonts w:ascii="Arial" w:cs="Arial" w:eastAsia="Arial" w:hAnsi="Arial"/>
          <w:sz w:val="24"/>
          <w:szCs w:val="24"/>
        </w:rPr>
        <w:t xml:space="preserve">GENEIOUS Pro (ASO design with exon-skipping optimization; cross-homology check)</w:t>
      </w:r>
    </w:p>
    <w:p>
      <w:pPr>
        <w:pStyle w:val="ListParagraph"/>
        <w:numPr>
          <w:ilvl w:val="0"/>
          <w:numId w:val="2"/>
        </w:numPr>
        <w:spacing w:after="100" w:line="360"/>
      </w:pPr>
      <w:r>
        <w:rPr>
          <w:rFonts w:ascii="Arial" w:cs="Arial" w:eastAsia="Arial" w:hAnsi="Arial"/>
          <w:sz w:val="24"/>
          <w:szCs w:val="24"/>
        </w:rPr>
        <w:t xml:space="preserve">Beacon Designer exon-skipping module (specialized exon-skipping ASO design presets)</w:t>
      </w:r>
    </w:p>
    <w:p>
      <w:pPr>
        <w:pStyle w:val="ListParagraph"/>
        <w:numPr>
          <w:ilvl w:val="0"/>
          <w:numId w:val="2"/>
        </w:numPr>
        <w:spacing w:after="100" w:line="360"/>
      </w:pPr>
      <w:r>
        <w:rPr>
          <w:rFonts w:ascii="Arial" w:cs="Arial" w:eastAsia="Arial" w:hAnsi="Arial"/>
          <w:sz w:val="24"/>
          <w:szCs w:val="24"/>
        </w:rPr>
        <w:t xml:space="preserve">SpliceAI + Spatula (predict splicing outcome for ASO-induced ESS disruption; quantify exon-skipping probability)</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Map ESS motifs within target TSC1 exon (hnRNPA1, hnRNPF, SRSF protein binding sites); design ASOs targeting these sites</w:t>
      </w:r>
    </w:p>
    <w:p>
      <w:pPr>
        <w:pStyle w:val="ListParagraph"/>
        <w:numPr>
          <w:ilvl w:val="0"/>
          <w:numId w:val="2"/>
        </w:numPr>
        <w:spacing w:after="100" w:line="360"/>
      </w:pPr>
      <w:r>
        <w:rPr>
          <w:rFonts w:ascii="Arial" w:cs="Arial" w:eastAsia="Arial" w:hAnsi="Arial"/>
          <w:sz w:val="24"/>
          <w:szCs w:val="24"/>
        </w:rPr>
        <w:t xml:space="preserve">Design 5-6 ASO sequences targeting different ESS positions within the exon; predict splicing outcome (exon skipping probability) for each using SpliceAI</w:t>
      </w:r>
    </w:p>
    <w:p>
      <w:pPr>
        <w:pStyle w:val="ListParagraph"/>
        <w:numPr>
          <w:ilvl w:val="0"/>
          <w:numId w:val="2"/>
        </w:numPr>
        <w:spacing w:after="100" w:line="360"/>
      </w:pPr>
      <w:r>
        <w:rPr>
          <w:rFonts w:ascii="Arial" w:cs="Arial" w:eastAsia="Arial" w:hAnsi="Arial"/>
          <w:sz w:val="24"/>
          <w:szCs w:val="24"/>
        </w:rPr>
        <w:t xml:space="preserve">Assess secondary structure: ensure ESS-targeting regions are solvent-exposed and accessible for ASO binding; avoid hairpin structures that shield ESS motifs</w:t>
      </w:r>
    </w:p>
    <w:p>
      <w:pPr>
        <w:pStyle w:val="ListParagraph"/>
        <w:numPr>
          <w:ilvl w:val="0"/>
          <w:numId w:val="2"/>
        </w:numPr>
        <w:spacing w:after="100" w:line="360"/>
      </w:pPr>
      <w:r>
        <w:rPr>
          <w:rFonts w:ascii="Arial" w:cs="Arial" w:eastAsia="Arial" w:hAnsi="Arial"/>
          <w:sz w:val="24"/>
          <w:szCs w:val="24"/>
        </w:rPr>
        <w:t xml:space="preserve">For each ASO design, predict off-target ESS sites in the transcriptome (ESEfinder scan); minimize unintended exon-skipping elsewhere</w:t>
      </w:r>
    </w:p>
    <w:p>
      <w:pPr>
        <w:pStyle w:val="ListParagraph"/>
        <w:numPr>
          <w:ilvl w:val="0"/>
          <w:numId w:val="2"/>
        </w:numPr>
        <w:spacing w:after="100" w:line="360"/>
      </w:pPr>
      <w:r>
        <w:rPr>
          <w:rFonts w:ascii="Arial" w:cs="Arial" w:eastAsia="Arial" w:hAnsi="Arial"/>
          <w:sz w:val="24"/>
          <w:szCs w:val="24"/>
        </w:rPr>
        <w:t xml:space="preserve">Design 2-3 'dual-targeting' ASOs that hit multiple ESS sites within target exon (cooperative exon-skipping enhancement)</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15 ranked exon-skipping ASO candidates (sequence | target ESS motif | Tm | predicted splicing outcome probability)</w:t>
      </w:r>
    </w:p>
    <w:p>
      <w:pPr>
        <w:pStyle w:val="ListParagraph"/>
        <w:numPr>
          <w:ilvl w:val="0"/>
          <w:numId w:val="2"/>
        </w:numPr>
        <w:spacing w:after="100" w:line="360"/>
      </w:pPr>
      <w:r>
        <w:rPr>
          <w:rFonts w:ascii="Arial" w:cs="Arial" w:eastAsia="Arial" w:hAnsi="Arial"/>
          <w:sz w:val="24"/>
          <w:szCs w:val="24"/>
        </w:rPr>
        <w:t xml:space="preserve">ESS/ESE motif map (TSC1 exon diagram with ASO target sites, competing splicing factor binding regions)</w:t>
      </w:r>
    </w:p>
    <w:p>
      <w:pPr>
        <w:pStyle w:val="ListParagraph"/>
        <w:numPr>
          <w:ilvl w:val="0"/>
          <w:numId w:val="2"/>
        </w:numPr>
        <w:spacing w:after="100" w:line="360"/>
      </w:pPr>
      <w:r>
        <w:rPr>
          <w:rFonts w:ascii="Arial" w:cs="Arial" w:eastAsia="Arial" w:hAnsi="Arial"/>
          <w:sz w:val="24"/>
          <w:szCs w:val="24"/>
        </w:rPr>
        <w:t xml:space="preserve">Secondary structure analysis (TSC1 exon accessibility map; confirm ESS-targeting regions are exposed)</w:t>
      </w:r>
    </w:p>
    <w:p>
      <w:pPr>
        <w:pStyle w:val="ListParagraph"/>
        <w:numPr>
          <w:ilvl w:val="0"/>
          <w:numId w:val="2"/>
        </w:numPr>
        <w:spacing w:after="100" w:line="360"/>
      </w:pPr>
      <w:r>
        <w:rPr>
          <w:rFonts w:ascii="Arial" w:cs="Arial" w:eastAsia="Arial" w:hAnsi="Arial"/>
          <w:sz w:val="24"/>
          <w:szCs w:val="24"/>
        </w:rPr>
        <w:t xml:space="preserve">SpliceAI predictions (exon-skipping probability for each ASO; identify ASOs with &gt;70% predicted skipping efficiency)</w:t>
      </w:r>
    </w:p>
    <w:p>
      <w:pPr>
        <w:pStyle w:val="ListParagraph"/>
        <w:numPr>
          <w:ilvl w:val="0"/>
          <w:numId w:val="2"/>
        </w:numPr>
        <w:spacing w:after="100" w:line="360"/>
      </w:pPr>
      <w:r>
        <w:rPr>
          <w:rFonts w:ascii="Arial" w:cs="Arial" w:eastAsia="Arial" w:hAnsi="Arial"/>
          <w:sz w:val="24"/>
          <w:szCs w:val="24"/>
        </w:rPr>
        <w:t xml:space="preserve">Off-target ESS assessment (predicted unintended exon-skipping at other genomic loci; minimize secondary splicing effects)</w:t>
      </w:r>
    </w:p>
    <w:p>
      <w:pPr>
        <w:pStyle w:val="ListParagraph"/>
        <w:numPr>
          <w:ilvl w:val="0"/>
          <w:numId w:val="2"/>
        </w:numPr>
        <w:spacing w:after="100" w:line="360"/>
      </w:pPr>
      <w:r>
        <w:rPr>
          <w:rFonts w:ascii="Arial" w:cs="Arial" w:eastAsia="Arial" w:hAnsi="Arial"/>
          <w:sz w:val="24"/>
          <w:szCs w:val="24"/>
        </w:rPr>
        <w:t xml:space="preserve">Top 12 candidates with high exon-skipping probability (&gt;70% SpliceAI score) and minimal off-target ESS hits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Exon-skipping ASO design table (ASO ID | Sequence | ESS Target | Tm | SpliceAI Skipping % | Off-Target ESS Count) with TSC1 exon structure diagram and secondary structure accessibility maps</w:t>
      </w:r>
    </w:p>
    <w:p>
      <w:pPr>
        <w:pStyle w:val="Heading2"/>
        <w:spacing w:after="200" w:before="200"/>
      </w:pPr>
      <w:r>
        <w:rPr>
          <w:rFonts w:ascii="Arial" w:cs="Arial" w:eastAsia="Arial" w:hAnsi="Arial"/>
          <w:b/>
          <w:bCs/>
          <w:sz w:val="28"/>
          <w:szCs w:val="28"/>
        </w:rPr>
        <w:t xml:space="preserve">Stage 3: Reading Frame Restoration &amp; TSC1 Protein Functionality Prediction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Validate that designed ASOs will induce correct reading frame restoration after exon skipping, and predict the functional capacity of the resulting shortened TSC1 protein for hamartin-tuberin complex assembly and mTORC1 suppression.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12 exon-skipping ASO candidates from Stage 2</w:t>
      </w:r>
    </w:p>
    <w:p>
      <w:pPr>
        <w:pStyle w:val="ListParagraph"/>
        <w:numPr>
          <w:ilvl w:val="0"/>
          <w:numId w:val="2"/>
        </w:numPr>
        <w:spacing w:after="100" w:line="360"/>
      </w:pPr>
      <w:r>
        <w:rPr>
          <w:rFonts w:ascii="Arial" w:cs="Arial" w:eastAsia="Arial" w:hAnsi="Arial"/>
          <w:sz w:val="24"/>
          <w:szCs w:val="24"/>
        </w:rPr>
        <w:t xml:space="preserve">TSC1 exon structure &amp; reading frame (position of start codon, target exon position, reading frame phase at exon boundaries)</w:t>
      </w:r>
    </w:p>
    <w:p>
      <w:pPr>
        <w:pStyle w:val="ListParagraph"/>
        <w:numPr>
          <w:ilvl w:val="0"/>
          <w:numId w:val="2"/>
        </w:numPr>
        <w:spacing w:after="100" w:line="360"/>
      </w:pPr>
      <w:r>
        <w:rPr>
          <w:rFonts w:ascii="Arial" w:cs="Arial" w:eastAsia="Arial" w:hAnsi="Arial"/>
          <w:sz w:val="24"/>
          <w:szCs w:val="24"/>
        </w:rPr>
        <w:t xml:space="preserve">TSC1 protein domains: GAP catalytic domain, TSC2-binding regions, NLS, kinase phosphorylation sites</w:t>
      </w:r>
    </w:p>
    <w:p>
      <w:pPr>
        <w:pStyle w:val="ListParagraph"/>
        <w:numPr>
          <w:ilvl w:val="0"/>
          <w:numId w:val="2"/>
        </w:numPr>
        <w:spacing w:after="100" w:line="360"/>
      </w:pPr>
      <w:r>
        <w:rPr>
          <w:rFonts w:ascii="Arial" w:cs="Arial" w:eastAsia="Arial" w:hAnsi="Arial"/>
          <w:sz w:val="24"/>
          <w:szCs w:val="24"/>
        </w:rPr>
        <w:t xml:space="preserve">TSC1/TSC2 complex structure and assembly requirements (structural biology databases: PDB, AlphaFold)</w:t>
      </w:r>
    </w:p>
    <w:p>
      <w:pPr>
        <w:pStyle w:val="ListParagraph"/>
        <w:numPr>
          <w:ilvl w:val="0"/>
          <w:numId w:val="2"/>
        </w:numPr>
        <w:spacing w:after="100" w:line="360"/>
      </w:pPr>
      <w:r>
        <w:rPr>
          <w:rFonts w:ascii="Arial" w:cs="Arial" w:eastAsia="Arial" w:hAnsi="Arial"/>
          <w:sz w:val="24"/>
          <w:szCs w:val="24"/>
        </w:rPr>
        <w:t xml:space="preserve">mTORC1 suppression mechanism (GAP-catalyzed TSC2 GTPase activity on Rheb-GTP; complex stoichiometry requirements)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Custom reading frame calculator (exon skip → downstream exon phase matching → reading frame continuity verification)</w:t>
      </w:r>
    </w:p>
    <w:p>
      <w:pPr>
        <w:pStyle w:val="ListParagraph"/>
        <w:numPr>
          <w:ilvl w:val="0"/>
          <w:numId w:val="2"/>
        </w:numPr>
        <w:spacing w:after="100" w:line="360"/>
      </w:pPr>
      <w:r>
        <w:rPr>
          <w:rFonts w:ascii="Arial" w:cs="Arial" w:eastAsia="Arial" w:hAnsi="Arial"/>
          <w:sz w:val="24"/>
          <w:szCs w:val="24"/>
        </w:rPr>
        <w:t xml:space="preserve">AlphaFold2 structure prediction (predict shortened TSC1 protein structure after exon skipping; assess domain folding)</w:t>
      </w:r>
    </w:p>
    <w:p>
      <w:pPr>
        <w:pStyle w:val="ListParagraph"/>
        <w:numPr>
          <w:ilvl w:val="0"/>
          <w:numId w:val="2"/>
        </w:numPr>
        <w:spacing w:after="100" w:line="360"/>
      </w:pPr>
      <w:r>
        <w:rPr>
          <w:rFonts w:ascii="Arial" w:cs="Arial" w:eastAsia="Arial" w:hAnsi="Arial"/>
          <w:sz w:val="24"/>
          <w:szCs w:val="24"/>
        </w:rPr>
        <w:t xml:space="preserve">FoldX (thermodynamic prediction of TSC1 protein stability after exon-skipping-induced truncation)</w:t>
      </w:r>
    </w:p>
    <w:p>
      <w:pPr>
        <w:pStyle w:val="ListParagraph"/>
        <w:numPr>
          <w:ilvl w:val="0"/>
          <w:numId w:val="2"/>
        </w:numPr>
        <w:spacing w:after="100" w:line="360"/>
      </w:pPr>
      <w:r>
        <w:rPr>
          <w:rFonts w:ascii="Arial" w:cs="Arial" w:eastAsia="Arial" w:hAnsi="Arial"/>
          <w:sz w:val="24"/>
          <w:szCs w:val="24"/>
        </w:rPr>
        <w:t xml:space="preserve">PPI prediction tools (IntAct, STRING; predict TSC1-TSC2 complex assembly capacity for shortened TSC1)</w:t>
      </w:r>
    </w:p>
    <w:p>
      <w:pPr>
        <w:pStyle w:val="ListParagraph"/>
        <w:numPr>
          <w:ilvl w:val="0"/>
          <w:numId w:val="2"/>
        </w:numPr>
        <w:spacing w:after="100" w:line="360"/>
      </w:pPr>
      <w:r>
        <w:rPr>
          <w:rFonts w:ascii="Arial" w:cs="Arial" w:eastAsia="Arial" w:hAnsi="Arial"/>
          <w:sz w:val="24"/>
          <w:szCs w:val="24"/>
        </w:rPr>
        <w:t xml:space="preserve">Molecular dynamics simulation (MD; predict GAP domain catalytic function of shortened TSC1 protein)</w:t>
      </w:r>
    </w:p>
    <w:p>
      <w:pPr>
        <w:pStyle w:val="ListParagraph"/>
        <w:numPr>
          <w:ilvl w:val="0"/>
          <w:numId w:val="2"/>
        </w:numPr>
        <w:spacing w:after="100" w:line="360"/>
      </w:pPr>
      <w:r>
        <w:rPr>
          <w:rFonts w:ascii="Arial" w:cs="Arial" w:eastAsia="Arial" w:hAnsi="Arial"/>
          <w:sz w:val="24"/>
          <w:szCs w:val="24"/>
        </w:rPr>
        <w:t xml:space="preserve">Sapphire TSC/mTOR Rescue module (predict mTORC1 suppression capacity from shortened TSC1 protein; scale to wild-type TSC1 benchmark)</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For each of top 12 ASOs, verify reading frame restoration: after exon skipping, do downstream exon boundaries align to maintain continuous reading frame?</w:t>
      </w:r>
    </w:p>
    <w:p>
      <w:pPr>
        <w:pStyle w:val="ListParagraph"/>
        <w:numPr>
          <w:ilvl w:val="0"/>
          <w:numId w:val="2"/>
        </w:numPr>
        <w:spacing w:after="100" w:line="360"/>
      </w:pPr>
      <w:r>
        <w:rPr>
          <w:rFonts w:ascii="Arial" w:cs="Arial" w:eastAsia="Arial" w:hAnsi="Arial"/>
          <w:sz w:val="24"/>
          <w:szCs w:val="24"/>
        </w:rPr>
        <w:t xml:space="preserve">Predict the length and amino acid sequence of shortened TSC1 protein produced from each exon-skipping event; identify preserved vs deleted domains</w:t>
      </w:r>
    </w:p>
    <w:p>
      <w:pPr>
        <w:pStyle w:val="ListParagraph"/>
        <w:numPr>
          <w:ilvl w:val="0"/>
          <w:numId w:val="2"/>
        </w:numPr>
        <w:spacing w:after="100" w:line="360"/>
      </w:pPr>
      <w:r>
        <w:rPr>
          <w:rFonts w:ascii="Arial" w:cs="Arial" w:eastAsia="Arial" w:hAnsi="Arial"/>
          <w:sz w:val="24"/>
          <w:szCs w:val="24"/>
        </w:rPr>
        <w:t xml:space="preserve">Use AlphaFold2: predict 3D structure of shortened TSC1 protein; assess whether GAP catalytic domain remains properly folded</w:t>
      </w:r>
    </w:p>
    <w:p>
      <w:pPr>
        <w:pStyle w:val="ListParagraph"/>
        <w:numPr>
          <w:ilvl w:val="0"/>
          <w:numId w:val="2"/>
        </w:numPr>
        <w:spacing w:after="100" w:line="360"/>
      </w:pPr>
      <w:r>
        <w:rPr>
          <w:rFonts w:ascii="Arial" w:cs="Arial" w:eastAsia="Arial" w:hAnsi="Arial"/>
          <w:sz w:val="24"/>
          <w:szCs w:val="24"/>
        </w:rPr>
        <w:t xml:space="preserve">Assess TSC1-TSC2 complex assembly: does shortened TSC1 retain TSC2-binding regions and NLS? Will hamartin-tuberin complex form and translocate to lysosomes?</w:t>
      </w:r>
    </w:p>
    <w:p>
      <w:pPr>
        <w:pStyle w:val="ListParagraph"/>
        <w:numPr>
          <w:ilvl w:val="0"/>
          <w:numId w:val="2"/>
        </w:numPr>
        <w:spacing w:after="100" w:line="360"/>
      </w:pPr>
      <w:r>
        <w:rPr>
          <w:rFonts w:ascii="Arial" w:cs="Arial" w:eastAsia="Arial" w:hAnsi="Arial"/>
          <w:sz w:val="24"/>
          <w:szCs w:val="24"/>
        </w:rPr>
        <w:t xml:space="preserve">Predict mTORC1 suppression capacity: model how much of wild-type TSC1 GAP activity is preserved in shortened protein; quantify rescue potential</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Reading frame verification for all 12 ASOs (exon skipping → downstream exon phase matching → continuous reading frame confirmation)</w:t>
      </w:r>
    </w:p>
    <w:p>
      <w:pPr>
        <w:pStyle w:val="ListParagraph"/>
        <w:numPr>
          <w:ilvl w:val="0"/>
          <w:numId w:val="2"/>
        </w:numPr>
        <w:spacing w:after="100" w:line="360"/>
      </w:pPr>
      <w:r>
        <w:rPr>
          <w:rFonts w:ascii="Arial" w:cs="Arial" w:eastAsia="Arial" w:hAnsi="Arial"/>
          <w:sz w:val="24"/>
          <w:szCs w:val="24"/>
        </w:rPr>
        <w:t xml:space="preserve">Shortened TSC1 protein predictions (amino acid sequence, length, domain preservation, functional domain retention %)</w:t>
      </w:r>
    </w:p>
    <w:p>
      <w:pPr>
        <w:pStyle w:val="ListParagraph"/>
        <w:numPr>
          <w:ilvl w:val="0"/>
          <w:numId w:val="2"/>
        </w:numPr>
        <w:spacing w:after="100" w:line="360"/>
      </w:pPr>
      <w:r>
        <w:rPr>
          <w:rFonts w:ascii="Arial" w:cs="Arial" w:eastAsia="Arial" w:hAnsi="Arial"/>
          <w:sz w:val="24"/>
          <w:szCs w:val="24"/>
        </w:rPr>
        <w:t xml:space="preserve">AlphaFold2 structure predictions (3D models of shortened TSC1 proteins; GAP domain folding assessment, TSC2-binding interface integrity)</w:t>
      </w:r>
    </w:p>
    <w:p>
      <w:pPr>
        <w:pStyle w:val="ListParagraph"/>
        <w:numPr>
          <w:ilvl w:val="0"/>
          <w:numId w:val="2"/>
        </w:numPr>
        <w:spacing w:after="100" w:line="360"/>
      </w:pPr>
      <w:r>
        <w:rPr>
          <w:rFonts w:ascii="Arial" w:cs="Arial" w:eastAsia="Arial" w:hAnsi="Arial"/>
          <w:sz w:val="24"/>
          <w:szCs w:val="24"/>
        </w:rPr>
        <w:t xml:space="preserve">TSC1-TSC2 complex assembly predictions (TSC2-binding domain retention, NLS preservation, predicted complex formation probability)</w:t>
      </w:r>
    </w:p>
    <w:p>
      <w:pPr>
        <w:pStyle w:val="ListParagraph"/>
        <w:numPr>
          <w:ilvl w:val="0"/>
          <w:numId w:val="2"/>
        </w:numPr>
        <w:spacing w:after="100" w:line="360"/>
      </w:pPr>
      <w:r>
        <w:rPr>
          <w:rFonts w:ascii="Arial" w:cs="Arial" w:eastAsia="Arial" w:hAnsi="Arial"/>
          <w:sz w:val="24"/>
          <w:szCs w:val="24"/>
        </w:rPr>
        <w:t xml:space="preserve">mTORC1 suppression capacity predictions (shortened TSC1 GAP activity relative to wild-type; quantify rescue potential % for each ASO)</w:t>
      </w:r>
    </w:p>
    <w:p>
      <w:pPr>
        <w:pStyle w:val="ListParagraph"/>
        <w:numPr>
          <w:ilvl w:val="0"/>
          <w:numId w:val="2"/>
        </w:numPr>
        <w:spacing w:after="100" w:line="360"/>
      </w:pPr>
      <w:r>
        <w:rPr>
          <w:rFonts w:ascii="Arial" w:cs="Arial" w:eastAsia="Arial" w:hAnsi="Arial"/>
          <w:sz w:val="24"/>
          <w:szCs w:val="24"/>
        </w:rPr>
        <w:t xml:space="preserve">Top 8-9 candidates with confirmed reading frame restoration + functional TSC1 protein output (ready for mTOR phenotype modeling)</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Functional prediction report (PDF with reading frame diagrams, AlphaFold protein structures, domain preservation tables, TSC1-TSC2 assembly models) plus mTORC1 rescue potential quantification for each candidate</w:t>
      </w:r>
    </w:p>
    <w:p>
      <w:pPr>
        <w:pStyle w:val="Heading2"/>
        <w:spacing w:after="200" w:before="200"/>
      </w:pPr>
      <w:r>
        <w:rPr>
          <w:rFonts w:ascii="Arial" w:cs="Arial" w:eastAsia="Arial" w:hAnsi="Arial"/>
          <w:b/>
          <w:bCs/>
          <w:sz w:val="28"/>
          <w:szCs w:val="28"/>
        </w:rPr>
        <w:t xml:space="preserve">Stage 4: mTORC1 Pathway Restoration &amp; Seizure/Neuronal Phenotype Rescue</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Model how TSC1 protein restoration via exon-skipping rescues mTORC1 dysregulation and predicts reversal of tuberous sclerosis neurological phenotypes (seizure susceptibility, neuronal hyperexcitability, cell proliferation control).</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9 functionally valid ASO candidates from Stage 3</w:t>
      </w:r>
    </w:p>
    <w:p>
      <w:pPr>
        <w:pStyle w:val="ListParagraph"/>
        <w:numPr>
          <w:ilvl w:val="0"/>
          <w:numId w:val="2"/>
        </w:numPr>
        <w:spacing w:after="100" w:line="360"/>
      </w:pPr>
      <w:r>
        <w:rPr>
          <w:rFonts w:ascii="Arial" w:cs="Arial" w:eastAsia="Arial" w:hAnsi="Arial"/>
          <w:sz w:val="24"/>
          <w:szCs w:val="24"/>
        </w:rPr>
        <w:t xml:space="preserve">mTORC1 pathway model (Rheb-GTP/GDP, TSC1-TSC2 GAP activity, mTORC1 effectors: S6K, 4E-BP1)</w:t>
      </w:r>
    </w:p>
    <w:p>
      <w:pPr>
        <w:pStyle w:val="ListParagraph"/>
        <w:numPr>
          <w:ilvl w:val="0"/>
          <w:numId w:val="2"/>
        </w:numPr>
        <w:spacing w:after="100" w:line="360"/>
      </w:pPr>
      <w:r>
        <w:rPr>
          <w:rFonts w:ascii="Arial" w:cs="Arial" w:eastAsia="Arial" w:hAnsi="Arial"/>
          <w:sz w:val="24"/>
          <w:szCs w:val="24"/>
        </w:rPr>
        <w:t xml:space="preserve">Sapphire TSC/mTOR dysregulation database (seizure-like activity, neuronal hyperexcitability, cell proliferation from TSC1/2 loss; n=189 experiments)</w:t>
      </w:r>
    </w:p>
    <w:p>
      <w:pPr>
        <w:pStyle w:val="ListParagraph"/>
        <w:numPr>
          <w:ilvl w:val="0"/>
          <w:numId w:val="2"/>
        </w:numPr>
        <w:spacing w:after="100" w:line="360"/>
      </w:pPr>
      <w:r>
        <w:rPr>
          <w:rFonts w:ascii="Arial" w:cs="Arial" w:eastAsia="Arial" w:hAnsi="Arial"/>
          <w:sz w:val="24"/>
          <w:szCs w:val="24"/>
        </w:rPr>
        <w:t xml:space="preserve">Seizure phenotypes: spontaneous bursting activity, increased seizure threshold responsiveness, EEG-like abnormal activity patterns</w:t>
      </w:r>
    </w:p>
    <w:p>
      <w:pPr>
        <w:pStyle w:val="ListParagraph"/>
        <w:numPr>
          <w:ilvl w:val="0"/>
          <w:numId w:val="2"/>
        </w:numPr>
        <w:spacing w:after="100" w:line="360"/>
      </w:pPr>
      <w:r>
        <w:rPr>
          <w:rFonts w:ascii="Arial" w:cs="Arial" w:eastAsia="Arial" w:hAnsi="Arial"/>
          <w:sz w:val="24"/>
          <w:szCs w:val="24"/>
        </w:rPr>
        <w:t xml:space="preserve">Cell proliferation control: TSC1 loss leads to uncontrolled growth and hamartoma formation; measure control restoration</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mTORC1 pathway ODE model (Rheb-GTP regulation by TSC1/TSC2 GAP; mTORC1 kinase activity output)</w:t>
      </w:r>
    </w:p>
    <w:p>
      <w:pPr>
        <w:pStyle w:val="ListParagraph"/>
        <w:numPr>
          <w:ilvl w:val="0"/>
          <w:numId w:val="2"/>
        </w:numPr>
        <w:spacing w:after="100" w:line="360"/>
      </w:pPr>
      <w:r>
        <w:rPr>
          <w:rFonts w:ascii="Arial" w:cs="Arial" w:eastAsia="Arial" w:hAnsi="Arial"/>
          <w:sz w:val="24"/>
          <w:szCs w:val="24"/>
        </w:rPr>
        <w:t xml:space="preserve">Sapphire TSC Loss-of-Function module (query mTORC1 overactivation signatures; seizure, hyperexcitability, proliferation phenotypes)</w:t>
      </w:r>
    </w:p>
    <w:p>
      <w:pPr>
        <w:pStyle w:val="ListParagraph"/>
        <w:numPr>
          <w:ilvl w:val="0"/>
          <w:numId w:val="2"/>
        </w:numPr>
        <w:spacing w:after="100" w:line="360"/>
      </w:pPr>
      <w:r>
        <w:rPr>
          <w:rFonts w:ascii="Arial" w:cs="Arial" w:eastAsia="Arial" w:hAnsi="Arial"/>
          <w:sz w:val="24"/>
          <w:szCs w:val="24"/>
        </w:rPr>
        <w:t xml:space="preserve">Dose-response phenotype modeling (TSC1 protein level → mTORC1 activity → seizure/neuronal phenotype rescue)</w:t>
      </w:r>
    </w:p>
    <w:p>
      <w:pPr>
        <w:pStyle w:val="ListParagraph"/>
        <w:numPr>
          <w:ilvl w:val="0"/>
          <w:numId w:val="2"/>
        </w:numPr>
        <w:spacing w:after="100" w:line="360"/>
      </w:pPr>
      <w:r>
        <w:rPr>
          <w:rFonts w:ascii="Arial" w:cs="Arial" w:eastAsia="Arial" w:hAnsi="Arial"/>
          <w:sz w:val="24"/>
          <w:szCs w:val="24"/>
        </w:rPr>
        <w:t xml:space="preserve">Seizure susceptibility model (integrate mTORC1 activity with neuronal excitability; predict seizure threshold changes)</w:t>
      </w:r>
    </w:p>
    <w:p>
      <w:pPr>
        <w:pStyle w:val="ListParagraph"/>
        <w:numPr>
          <w:ilvl w:val="0"/>
          <w:numId w:val="2"/>
        </w:numPr>
        <w:spacing w:after="100" w:line="360"/>
      </w:pPr>
      <w:r>
        <w:rPr>
          <w:rFonts w:ascii="Arial" w:cs="Arial" w:eastAsia="Arial" w:hAnsi="Arial"/>
          <w:sz w:val="24"/>
          <w:szCs w:val="24"/>
        </w:rPr>
        <w:t xml:space="preserve">Machine learning phenotype prediction (predict unmeasured TSC-related phenotypes from TSC1 restoration level using Sapphire data)</w:t>
      </w:r>
    </w:p>
    <w:p>
      <w:pPr>
        <w:pStyle w:val="ListParagraph"/>
        <w:numPr>
          <w:ilvl w:val="0"/>
          <w:numId w:val="2"/>
        </w:numPr>
        <w:spacing w:after="100" w:line="360"/>
      </w:pPr>
      <w:r>
        <w:rPr>
          <w:rFonts w:ascii="Arial" w:cs="Arial" w:eastAsia="Arial" w:hAnsi="Arial"/>
          <w:sz w:val="24"/>
          <w:szCs w:val="24"/>
        </w:rPr>
        <w:t xml:space="preserve">Rescue validation tool (compare predicted ASO-induced TSC1 rescue phenotype to wild-type TSC1 baseline)</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Model mTORC1 pathway activation in TSC1-null neurons (baseline): Rheb-GTP level elevated, S6K/4E-BP1 phosphorylation high</w:t>
      </w:r>
    </w:p>
    <w:p>
      <w:pPr>
        <w:pStyle w:val="ListParagraph"/>
        <w:numPr>
          <w:ilvl w:val="0"/>
          <w:numId w:val="2"/>
        </w:numPr>
        <w:spacing w:after="100" w:line="360"/>
      </w:pPr>
      <w:r>
        <w:rPr>
          <w:rFonts w:ascii="Arial" w:cs="Arial" w:eastAsia="Arial" w:hAnsi="Arial"/>
          <w:sz w:val="24"/>
          <w:szCs w:val="24"/>
        </w:rPr>
        <w:t xml:space="preserve">For each top 9 ASO (different shortened TSC1 functional capacity), simulate restored mTORC1 suppression; predict Rheb-GTP, mTORC1 activity levels</w:t>
      </w:r>
    </w:p>
    <w:p>
      <w:pPr>
        <w:pStyle w:val="ListParagraph"/>
        <w:numPr>
          <w:ilvl w:val="0"/>
          <w:numId w:val="2"/>
        </w:numPr>
        <w:spacing w:after="100" w:line="360"/>
      </w:pPr>
      <w:r>
        <w:rPr>
          <w:rFonts w:ascii="Arial" w:cs="Arial" w:eastAsia="Arial" w:hAnsi="Arial"/>
          <w:sz w:val="24"/>
          <w:szCs w:val="24"/>
        </w:rPr>
        <w:t xml:space="preserve">Using Sapphire data, retrieve seizure and neuronal hyperexcitability signatures from TSC1 loss; predict how different levels of TSC1 restoration rescue these phenotypes</w:t>
      </w:r>
    </w:p>
    <w:p>
      <w:pPr>
        <w:pStyle w:val="ListParagraph"/>
        <w:numPr>
          <w:ilvl w:val="0"/>
          <w:numId w:val="2"/>
        </w:numPr>
        <w:spacing w:after="100" w:line="360"/>
      </w:pPr>
      <w:r>
        <w:rPr>
          <w:rFonts w:ascii="Arial" w:cs="Arial" w:eastAsia="Arial" w:hAnsi="Arial"/>
          <w:sz w:val="24"/>
          <w:szCs w:val="24"/>
        </w:rPr>
        <w:t xml:space="preserve">Model seizure susceptibility: how does TSC1-mediated mTORC1 restoration affect neuronal excitability balance and seizure threshold?</w:t>
      </w:r>
    </w:p>
    <w:p>
      <w:pPr>
        <w:pStyle w:val="ListParagraph"/>
        <w:numPr>
          <w:ilvl w:val="0"/>
          <w:numId w:val="2"/>
        </w:numPr>
        <w:spacing w:after="100" w:line="360"/>
      </w:pPr>
      <w:r>
        <w:rPr>
          <w:rFonts w:ascii="Arial" w:cs="Arial" w:eastAsia="Arial" w:hAnsi="Arial"/>
          <w:sz w:val="24"/>
          <w:szCs w:val="24"/>
        </w:rPr>
        <w:t xml:space="preserve">Predict cell proliferation control: TSC1 restoration suppresses mTORC1 → reduced protein synthesis, increased autophagy → hamartoma growth inhibition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mTORC1 pathway models (ODE equations: TSC1 level → Rheb-GTP → mTORC1 activity; simulate for each ASO-induced TSC1 restoration level)</w:t>
      </w:r>
    </w:p>
    <w:p>
      <w:pPr>
        <w:pStyle w:val="ListParagraph"/>
        <w:numPr>
          <w:ilvl w:val="0"/>
          <w:numId w:val="2"/>
        </w:numPr>
        <w:spacing w:after="100" w:line="360"/>
      </w:pPr>
      <w:r>
        <w:rPr>
          <w:rFonts w:ascii="Arial" w:cs="Arial" w:eastAsia="Arial" w:hAnsi="Arial"/>
          <w:sz w:val="24"/>
          <w:szCs w:val="24"/>
        </w:rPr>
        <w:t xml:space="preserve">mTORC1 rescue dose-response curves (TSC1 protein level % vs mTORC1 activity suppression; identify plateau at wild-type equivalent)</w:t>
      </w:r>
    </w:p>
    <w:p>
      <w:pPr>
        <w:pStyle w:val="ListParagraph"/>
        <w:numPr>
          <w:ilvl w:val="0"/>
          <w:numId w:val="2"/>
        </w:numPr>
        <w:spacing w:after="100" w:line="360"/>
      </w:pPr>
      <w:r>
        <w:rPr>
          <w:rFonts w:ascii="Arial" w:cs="Arial" w:eastAsia="Arial" w:hAnsi="Arial"/>
          <w:sz w:val="24"/>
          <w:szCs w:val="24"/>
        </w:rPr>
        <w:t xml:space="preserve">Seizure phenotype rescue predictions (TSC1 restoration level → seizure susceptibility decrease, threshold elevation prediction)</w:t>
      </w:r>
    </w:p>
    <w:p>
      <w:pPr>
        <w:pStyle w:val="ListParagraph"/>
        <w:numPr>
          <w:ilvl w:val="0"/>
          <w:numId w:val="2"/>
        </w:numPr>
        <w:spacing w:after="100" w:line="360"/>
      </w:pPr>
      <w:r>
        <w:rPr>
          <w:rFonts w:ascii="Arial" w:cs="Arial" w:eastAsia="Arial" w:hAnsi="Arial"/>
          <w:sz w:val="24"/>
          <w:szCs w:val="24"/>
        </w:rPr>
        <w:t xml:space="preserve">Neuronal hyperexcitability rescue (Sapphire data overlay: spontaneous bursting suppression, action potential normalization from TSC1 restoration)</w:t>
      </w:r>
    </w:p>
    <w:p>
      <w:pPr>
        <w:pStyle w:val="ListParagraph"/>
        <w:numPr>
          <w:ilvl w:val="0"/>
          <w:numId w:val="2"/>
        </w:numPr>
        <w:spacing w:after="100" w:line="360"/>
      </w:pPr>
      <w:r>
        <w:rPr>
          <w:rFonts w:ascii="Arial" w:cs="Arial" w:eastAsia="Arial" w:hAnsi="Arial"/>
          <w:sz w:val="24"/>
          <w:szCs w:val="24"/>
        </w:rPr>
        <w:t xml:space="preserve">Cell proliferation control restoration (mTORC1 suppression → protein synthesis reduction, autophagy enhancement; hamartoma growth inhibition prediction)</w:t>
      </w:r>
    </w:p>
    <w:p>
      <w:pPr>
        <w:pStyle w:val="ListParagraph"/>
        <w:numPr>
          <w:ilvl w:val="0"/>
          <w:numId w:val="2"/>
        </w:numPr>
        <w:spacing w:after="100" w:line="360"/>
      </w:pPr>
      <w:r>
        <w:rPr>
          <w:rFonts w:ascii="Arial" w:cs="Arial" w:eastAsia="Arial" w:hAnsi="Arial"/>
          <w:sz w:val="24"/>
          <w:szCs w:val="24"/>
        </w:rPr>
        <w:t xml:space="preserve">Top 6-7 ASO candidates with optimal phenotype rescue profile (strong mTORC1 suppression + seizure control + proliferation normalization)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Phenotype rescue report (PDF with mTORC1 pathway models, dose-response rescue curves, Sapphire seizure/hyperexcitability data overlays, proliferation control predictions) plus recommended TSC1 restoration target level</w:t>
      </w:r>
    </w:p>
    <w:p>
      <w:pPr>
        <w:pStyle w:val="Heading2"/>
        <w:spacing w:after="200" w:before="200"/>
      </w:pPr>
      <w:r>
        <w:rPr>
          <w:rFonts w:ascii="Arial" w:cs="Arial" w:eastAsia="Arial" w:hAnsi="Arial"/>
          <w:b/>
          <w:bCs/>
          <w:sz w:val="28"/>
          <w:szCs w:val="28"/>
        </w:rPr>
        <w:t xml:space="preserve">Stage 5: Off-Target Splicing &amp; Safety Assessment</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Comprehensively assess predicted off-target exon-skipping events for all ASO candidates across the transcriptome, identify exons at risk for unintended removal, and predict functional consequences from secondary splicing changes.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7 phenotype-validated ASO candidates from Stage 4</w:t>
      </w:r>
    </w:p>
    <w:p>
      <w:pPr>
        <w:pStyle w:val="ListParagraph"/>
        <w:numPr>
          <w:ilvl w:val="0"/>
          <w:numId w:val="2"/>
        </w:numPr>
        <w:spacing w:after="100" w:line="360"/>
      </w:pPr>
      <w:r>
        <w:rPr>
          <w:rFonts w:ascii="Arial" w:cs="Arial" w:eastAsia="Arial" w:hAnsi="Arial"/>
          <w:sz w:val="24"/>
          <w:szCs w:val="24"/>
        </w:rPr>
        <w:t xml:space="preserve">ASO sequences and ESS-targeting sites</w:t>
      </w:r>
    </w:p>
    <w:p>
      <w:pPr>
        <w:pStyle w:val="ListParagraph"/>
        <w:numPr>
          <w:ilvl w:val="0"/>
          <w:numId w:val="2"/>
        </w:numPr>
        <w:spacing w:after="100" w:line="360"/>
      </w:pPr>
      <w:r>
        <w:rPr>
          <w:rFonts w:ascii="Arial" w:cs="Arial" w:eastAsia="Arial" w:hAnsi="Arial"/>
          <w:sz w:val="24"/>
          <w:szCs w:val="24"/>
        </w:rPr>
        <w:t xml:space="preserve">Human transcriptome (RefSeq; exons with similar ESS motifs to TSC1 target exon)</w:t>
      </w:r>
    </w:p>
    <w:p>
      <w:pPr>
        <w:pStyle w:val="ListParagraph"/>
        <w:numPr>
          <w:ilvl w:val="0"/>
          <w:numId w:val="2"/>
        </w:numPr>
        <w:spacing w:after="100" w:line="360"/>
      </w:pPr>
      <w:r>
        <w:rPr>
          <w:rFonts w:ascii="Arial" w:cs="Arial" w:eastAsia="Arial" w:hAnsi="Arial"/>
          <w:sz w:val="24"/>
          <w:szCs w:val="24"/>
        </w:rPr>
        <w:t xml:space="preserve">Off-target exon-skipping consequences database (identify genes where exon skipping would cause frameshifts or loss of critical domains)</w:t>
      </w:r>
    </w:p>
    <w:p>
      <w:pPr>
        <w:pStyle w:val="ListParagraph"/>
        <w:numPr>
          <w:ilvl w:val="0"/>
          <w:numId w:val="2"/>
        </w:numPr>
        <w:spacing w:after="100" w:line="360"/>
      </w:pPr>
      <w:r>
        <w:rPr>
          <w:rFonts w:ascii="Arial" w:cs="Arial" w:eastAsia="Arial" w:hAnsi="Arial"/>
          <w:sz w:val="24"/>
          <w:szCs w:val="24"/>
        </w:rPr>
        <w:t xml:space="preserve">Sapphire safety database: genes where altered splicing causes adverse neurological phenotypes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ESEfinder (genome-wide ESS motif scan; identify exons with similar ESS motifs to TSC1 target)</w:t>
      </w:r>
    </w:p>
    <w:p>
      <w:pPr>
        <w:pStyle w:val="ListParagraph"/>
        <w:numPr>
          <w:ilvl w:val="0"/>
          <w:numId w:val="2"/>
        </w:numPr>
        <w:spacing w:after="100" w:line="360"/>
      </w:pPr>
      <w:r>
        <w:rPr>
          <w:rFonts w:ascii="Arial" w:cs="Arial" w:eastAsia="Arial" w:hAnsi="Arial"/>
          <w:sz w:val="24"/>
          <w:szCs w:val="24"/>
        </w:rPr>
        <w:t xml:space="preserve">SpliceAI (predict off-target exon-skipping probability for similar ESS-containing exons)</w:t>
      </w:r>
    </w:p>
    <w:p>
      <w:pPr>
        <w:pStyle w:val="ListParagraph"/>
        <w:numPr>
          <w:ilvl w:val="0"/>
          <w:numId w:val="2"/>
        </w:numPr>
        <w:spacing w:after="100" w:line="360"/>
      </w:pPr>
      <w:r>
        <w:rPr>
          <w:rFonts w:ascii="Arial" w:cs="Arial" w:eastAsia="Arial" w:hAnsi="Arial"/>
          <w:sz w:val="24"/>
          <w:szCs w:val="24"/>
        </w:rPr>
        <w:t xml:space="preserve">Exon-skipping consequence predictor (assess reading frame and functional impact of off-target exon removals)</w:t>
      </w:r>
    </w:p>
    <w:p>
      <w:pPr>
        <w:pStyle w:val="ListParagraph"/>
        <w:numPr>
          <w:ilvl w:val="0"/>
          <w:numId w:val="2"/>
        </w:numPr>
        <w:spacing w:after="100" w:line="360"/>
      </w:pPr>
      <w:r>
        <w:rPr>
          <w:rFonts w:ascii="Arial" w:cs="Arial" w:eastAsia="Arial" w:hAnsi="Arial"/>
          <w:sz w:val="24"/>
          <w:szCs w:val="24"/>
        </w:rPr>
        <w:t xml:space="preserve">Functional impact assessment (Vep, SnpEff; predict consequences of off-target splicing changes)</w:t>
      </w:r>
    </w:p>
    <w:p>
      <w:pPr>
        <w:pStyle w:val="ListParagraph"/>
        <w:numPr>
          <w:ilvl w:val="0"/>
          <w:numId w:val="2"/>
        </w:numPr>
        <w:spacing w:after="100" w:line="360"/>
      </w:pPr>
      <w:r>
        <w:rPr>
          <w:rFonts w:ascii="Arial" w:cs="Arial" w:eastAsia="Arial" w:hAnsi="Arial"/>
          <w:sz w:val="24"/>
          <w:szCs w:val="24"/>
        </w:rPr>
        <w:t xml:space="preserve">Sapphire safety module (query off-target genes in neurological phenotype database; predict adverse effects)</w:t>
      </w:r>
    </w:p>
    <w:p>
      <w:pPr>
        <w:pStyle w:val="ListParagraph"/>
        <w:numPr>
          <w:ilvl w:val="0"/>
          <w:numId w:val="2"/>
        </w:numPr>
        <w:spacing w:after="100" w:line="360"/>
      </w:pPr>
      <w:r>
        <w:rPr>
          <w:rFonts w:ascii="Arial" w:cs="Arial" w:eastAsia="Arial" w:hAnsi="Arial"/>
          <w:sz w:val="24"/>
          <w:szCs w:val="24"/>
        </w:rPr>
        <w:t xml:space="preserve">Off-target risk aggregator (integrate all off-target exon-skipping risks into composite safety score)</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For each top 7 ASO, scan human transcriptome for similar ESS motifs; identify exons at risk for off-target skipping</w:t>
      </w:r>
    </w:p>
    <w:p>
      <w:pPr>
        <w:pStyle w:val="ListParagraph"/>
        <w:numPr>
          <w:ilvl w:val="0"/>
          <w:numId w:val="2"/>
        </w:numPr>
        <w:spacing w:after="100" w:line="360"/>
      </w:pPr>
      <w:r>
        <w:rPr>
          <w:rFonts w:ascii="Arial" w:cs="Arial" w:eastAsia="Arial" w:hAnsi="Arial"/>
          <w:sz w:val="24"/>
          <w:szCs w:val="24"/>
        </w:rPr>
        <w:t xml:space="preserve">Use SpliceAI to predict off-target exon-skipping probability; identify high-confidence off-target events (&gt;50% predicted skipping)</w:t>
      </w:r>
    </w:p>
    <w:p>
      <w:pPr>
        <w:pStyle w:val="ListParagraph"/>
        <w:numPr>
          <w:ilvl w:val="0"/>
          <w:numId w:val="2"/>
        </w:numPr>
        <w:spacing w:after="100" w:line="360"/>
      </w:pPr>
      <w:r>
        <w:rPr>
          <w:rFonts w:ascii="Arial" w:cs="Arial" w:eastAsia="Arial" w:hAnsi="Arial"/>
          <w:sz w:val="24"/>
          <w:szCs w:val="24"/>
        </w:rPr>
        <w:t xml:space="preserve">For each predicted off-target exon-skipping event, assess functional consequence: frameshift, domain loss, toxic truncation protein, etc.</w:t>
      </w:r>
    </w:p>
    <w:p>
      <w:pPr>
        <w:pStyle w:val="ListParagraph"/>
        <w:numPr>
          <w:ilvl w:val="0"/>
          <w:numId w:val="2"/>
        </w:numPr>
        <w:spacing w:after="100" w:line="360"/>
      </w:pPr>
      <w:r>
        <w:rPr>
          <w:rFonts w:ascii="Arial" w:cs="Arial" w:eastAsia="Arial" w:hAnsi="Arial"/>
          <w:sz w:val="24"/>
          <w:szCs w:val="24"/>
        </w:rPr>
        <w:t xml:space="preserve">Identify neurologically critical genes with off-target exon-skipping risk (NMDA receptors, sodium channels, epilepsy-associated genes); assess safety liability</w:t>
      </w:r>
    </w:p>
    <w:p>
      <w:pPr>
        <w:pStyle w:val="ListParagraph"/>
        <w:numPr>
          <w:ilvl w:val="0"/>
          <w:numId w:val="2"/>
        </w:numPr>
        <w:spacing w:after="100" w:line="360"/>
      </w:pPr>
      <w:r>
        <w:rPr>
          <w:rFonts w:ascii="Arial" w:cs="Arial" w:eastAsia="Arial" w:hAnsi="Arial"/>
          <w:sz w:val="24"/>
          <w:szCs w:val="24"/>
        </w:rPr>
        <w:t xml:space="preserve">Rank ASOs by off-target safety: minimize genome-wide exon-skipping events, especially in genes where splicing alterations cause adverse phenotypes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Off-target exon-skipping assessment (ASO ID | predicted off-target exons | SpliceAI skipping probability | functional consequence | safety liability)</w:t>
      </w:r>
    </w:p>
    <w:p>
      <w:pPr>
        <w:pStyle w:val="ListParagraph"/>
        <w:numPr>
          <w:ilvl w:val="0"/>
          <w:numId w:val="2"/>
        </w:numPr>
        <w:spacing w:after="100" w:line="360"/>
      </w:pPr>
      <w:r>
        <w:rPr>
          <w:rFonts w:ascii="Arial" w:cs="Arial" w:eastAsia="Arial" w:hAnsi="Arial"/>
          <w:sz w:val="24"/>
          <w:szCs w:val="24"/>
        </w:rPr>
        <w:t xml:space="preserve">Genome-wide ESS motif similarity scan (exons with ESS motifs similar to TSC1 target; risk stratification)</w:t>
      </w:r>
    </w:p>
    <w:p>
      <w:pPr>
        <w:pStyle w:val="ListParagraph"/>
        <w:numPr>
          <w:ilvl w:val="0"/>
          <w:numId w:val="2"/>
        </w:numPr>
        <w:spacing w:after="100" w:line="360"/>
      </w:pPr>
      <w:r>
        <w:rPr>
          <w:rFonts w:ascii="Arial" w:cs="Arial" w:eastAsia="Arial" w:hAnsi="Arial"/>
          <w:sz w:val="24"/>
          <w:szCs w:val="24"/>
        </w:rPr>
        <w:t xml:space="preserve">High-confidence off-target exon-skipping predictions (&gt;50% SpliceAI score; functional consequence analysis)</w:t>
      </w:r>
    </w:p>
    <w:p>
      <w:pPr>
        <w:pStyle w:val="ListParagraph"/>
        <w:numPr>
          <w:ilvl w:val="0"/>
          <w:numId w:val="2"/>
        </w:numPr>
        <w:spacing w:after="100" w:line="360"/>
      </w:pPr>
      <w:r>
        <w:rPr>
          <w:rFonts w:ascii="Arial" w:cs="Arial" w:eastAsia="Arial" w:hAnsi="Arial"/>
          <w:sz w:val="24"/>
          <w:szCs w:val="24"/>
        </w:rPr>
        <w:t xml:space="preserve">Neurologically critical off-target genes (genes where off-target splicing would cause adverse phenotypes; safety risk assessment)</w:t>
      </w:r>
    </w:p>
    <w:p>
      <w:pPr>
        <w:pStyle w:val="ListParagraph"/>
        <w:numPr>
          <w:ilvl w:val="0"/>
          <w:numId w:val="2"/>
        </w:numPr>
        <w:spacing w:after="100" w:line="360"/>
      </w:pPr>
      <w:r>
        <w:rPr>
          <w:rFonts w:ascii="Arial" w:cs="Arial" w:eastAsia="Arial" w:hAnsi="Arial"/>
          <w:sz w:val="24"/>
          <w:szCs w:val="24"/>
        </w:rPr>
        <w:t xml:space="preserve">Safety ranking (off-target burden and consequence severity for each ASO; identify candidates with minimal off-target liability)</w:t>
      </w:r>
    </w:p>
    <w:p>
      <w:pPr>
        <w:pStyle w:val="ListParagraph"/>
        <w:numPr>
          <w:ilvl w:val="0"/>
          <w:numId w:val="2"/>
        </w:numPr>
        <w:spacing w:after="100" w:line="360"/>
      </w:pPr>
      <w:r>
        <w:rPr>
          <w:rFonts w:ascii="Arial" w:cs="Arial" w:eastAsia="Arial" w:hAnsi="Arial"/>
          <w:sz w:val="24"/>
          <w:szCs w:val="24"/>
        </w:rPr>
        <w:t xml:space="preserve">Top 6 candidates with acceptable off-target safety profile (&lt;3 high-confidence off-targets; no critical neurological gene hits)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Off-target safety report (PDF with genome-wide ESS similarity analysis, SpliceAI off-target predictions, functional consequence heat maps, neurological gene risk assessment) plus safety ranking table for all 7 candidates</w:t>
      </w:r>
    </w:p>
    <w:p>
      <w:pPr>
        <w:pStyle w:val="Heading2"/>
        <w:spacing w:after="200" w:before="200"/>
      </w:pPr>
      <w:r>
        <w:rPr>
          <w:rFonts w:ascii="Arial" w:cs="Arial" w:eastAsia="Arial" w:hAnsi="Arial"/>
          <w:b/>
          <w:bCs/>
          <w:sz w:val="28"/>
          <w:szCs w:val="28"/>
        </w:rPr>
        <w:t xml:space="preserve">Stage 6: Comprehensive Seizure Rescue &amp; Lead Candidate Selection for Clinical Development</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Conduct final integrated validation of top 6 ASO candidates for reading frame restoration, TSC1 protein functionality, seizure phenotype rescue, and long-term safety; nominate top 2 leads for IND-enabling studies in tuberous sclerosis.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6 off-target-safe ASO candidates from Stage 5</w:t>
      </w:r>
    </w:p>
    <w:p>
      <w:pPr>
        <w:pStyle w:val="ListParagraph"/>
        <w:numPr>
          <w:ilvl w:val="0"/>
          <w:numId w:val="2"/>
        </w:numPr>
        <w:spacing w:after="100" w:line="360"/>
      </w:pPr>
      <w:r>
        <w:rPr>
          <w:rFonts w:ascii="Arial" w:cs="Arial" w:eastAsia="Arial" w:hAnsi="Arial"/>
          <w:sz w:val="24"/>
          <w:szCs w:val="24"/>
        </w:rPr>
        <w:t xml:space="preserve">Comprehensive Sapphire seizure and TS disease phenotype database (integrate all stages 1-5 data)</w:t>
      </w:r>
    </w:p>
    <w:p>
      <w:pPr>
        <w:pStyle w:val="ListParagraph"/>
        <w:numPr>
          <w:ilvl w:val="0"/>
          <w:numId w:val="2"/>
        </w:numPr>
        <w:spacing w:after="100" w:line="360"/>
      </w:pPr>
      <w:r>
        <w:rPr>
          <w:rFonts w:ascii="Arial" w:cs="Arial" w:eastAsia="Arial" w:hAnsi="Arial"/>
          <w:sz w:val="24"/>
          <w:szCs w:val="24"/>
        </w:rPr>
        <w:t xml:space="preserve">Patient/cohort seizure characteristics (seizure frequency, semiology, EEG patterns, response to current antiepileptic drugs)</w:t>
      </w:r>
    </w:p>
    <w:p>
      <w:pPr>
        <w:pStyle w:val="ListParagraph"/>
        <w:numPr>
          <w:ilvl w:val="0"/>
          <w:numId w:val="2"/>
        </w:numPr>
        <w:spacing w:after="100" w:line="360"/>
      </w:pPr>
      <w:r>
        <w:rPr>
          <w:rFonts w:ascii="Arial" w:cs="Arial" w:eastAsia="Arial" w:hAnsi="Arial"/>
          <w:sz w:val="24"/>
          <w:szCs w:val="24"/>
        </w:rPr>
        <w:t xml:space="preserve">Long-term TSC safety considerations (renal, cardiac, pulmonary manifestations; assess whether exon-skipping ASO impacts non-neuronal TSC disease)</w:t>
      </w:r>
    </w:p>
    <w:p>
      <w:pPr>
        <w:pStyle w:val="ListParagraph"/>
        <w:numPr>
          <w:ilvl w:val="0"/>
          <w:numId w:val="2"/>
        </w:numPr>
        <w:spacing w:after="100" w:line="360"/>
      </w:pPr>
      <w:r>
        <w:rPr>
          <w:rFonts w:ascii="Arial" w:cs="Arial" w:eastAsia="Arial" w:hAnsi="Arial"/>
          <w:sz w:val="24"/>
          <w:szCs w:val="24"/>
        </w:rPr>
        <w:t xml:space="preserve">Manufacturing and regulatory development path for exon-skipping ASO approach</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Comprehensive integration tool (combine reading frame validation, TSC1 functionality prediction, seizure rescue modeling, off-target assessment)</w:t>
      </w:r>
    </w:p>
    <w:p>
      <w:pPr>
        <w:pStyle w:val="ListParagraph"/>
        <w:numPr>
          <w:ilvl w:val="0"/>
          <w:numId w:val="2"/>
        </w:numPr>
        <w:spacing w:after="100" w:line="360"/>
      </w:pPr>
      <w:r>
        <w:rPr>
          <w:rFonts w:ascii="Arial" w:cs="Arial" w:eastAsia="Arial" w:hAnsi="Arial"/>
          <w:sz w:val="24"/>
          <w:szCs w:val="24"/>
        </w:rPr>
        <w:t xml:space="preserve">Composite efficacy/safety scoring (rank candidates by seizure rescue potential, protein functionality, off-target safety, manufacturability)</w:t>
      </w:r>
    </w:p>
    <w:p>
      <w:pPr>
        <w:pStyle w:val="ListParagraph"/>
        <w:numPr>
          <w:ilvl w:val="0"/>
          <w:numId w:val="2"/>
        </w:numPr>
        <w:spacing w:after="100" w:line="360"/>
      </w:pPr>
      <w:r>
        <w:rPr>
          <w:rFonts w:ascii="Arial" w:cs="Arial" w:eastAsia="Arial" w:hAnsi="Arial"/>
          <w:sz w:val="24"/>
          <w:szCs w:val="24"/>
        </w:rPr>
        <w:t xml:space="preserve">Seizure phenotype mapping (predict specific seizure frequency reduction, EEG normalization for each lead candidate)</w:t>
      </w:r>
    </w:p>
    <w:p>
      <w:pPr>
        <w:pStyle w:val="ListParagraph"/>
        <w:numPr>
          <w:ilvl w:val="0"/>
          <w:numId w:val="2"/>
        </w:numPr>
        <w:spacing w:after="100" w:line="360"/>
      </w:pPr>
      <w:r>
        <w:rPr>
          <w:rFonts w:ascii="Arial" w:cs="Arial" w:eastAsia="Arial" w:hAnsi="Arial"/>
          <w:sz w:val="24"/>
          <w:szCs w:val="24"/>
        </w:rPr>
        <w:t xml:space="preserve">Multi-organ impact assessment (assess whether exon-skipping affects TSC manifestations in kidney, heart, lung)</w:t>
      </w:r>
    </w:p>
    <w:p>
      <w:pPr>
        <w:pStyle w:val="ListParagraph"/>
        <w:numPr>
          <w:ilvl w:val="0"/>
          <w:numId w:val="2"/>
        </w:numPr>
        <w:spacing w:after="100" w:line="360"/>
      </w:pPr>
      <w:r>
        <w:rPr>
          <w:rFonts w:ascii="Arial" w:cs="Arial" w:eastAsia="Arial" w:hAnsi="Arial"/>
          <w:sz w:val="24"/>
          <w:szCs w:val="24"/>
        </w:rPr>
        <w:t xml:space="preserve">IND-enabling study design (preclinical validation experiments, GMP manufacturing, toxicology/safety battery requirements)</w:t>
      </w:r>
    </w:p>
    <w:p>
      <w:pPr>
        <w:pStyle w:val="ListParagraph"/>
        <w:numPr>
          <w:ilvl w:val="0"/>
          <w:numId w:val="2"/>
        </w:numPr>
        <w:spacing w:after="100" w:line="360"/>
      </w:pPr>
      <w:r>
        <w:rPr>
          <w:rFonts w:ascii="Arial" w:cs="Arial" w:eastAsia="Arial" w:hAnsi="Arial"/>
          <w:sz w:val="24"/>
          <w:szCs w:val="24"/>
        </w:rPr>
        <w:t xml:space="preserve">Lead optimization algorithm (nominate top 2 candidates with strongest combined profile for human clinical development)</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For all 6 candidates, integrate Stages 1-5 data: reading frame restoration × TSC1 functionality × seizure rescue × off-target safety composite ranking</w:t>
      </w:r>
    </w:p>
    <w:p>
      <w:pPr>
        <w:pStyle w:val="ListParagraph"/>
        <w:numPr>
          <w:ilvl w:val="0"/>
          <w:numId w:val="2"/>
        </w:numPr>
        <w:spacing w:after="100" w:line="360"/>
      </w:pPr>
      <w:r>
        <w:rPr>
          <w:rFonts w:ascii="Arial" w:cs="Arial" w:eastAsia="Arial" w:hAnsi="Arial"/>
          <w:sz w:val="24"/>
          <w:szCs w:val="24"/>
        </w:rPr>
        <w:t xml:space="preserve">Predict seizure frequency reduction for each lead candidate: baseline seizure severity from TSC1 loss → exon-skipping-induced restoration → predicted seizure control outcome</w:t>
      </w:r>
    </w:p>
    <w:p>
      <w:pPr>
        <w:pStyle w:val="ListParagraph"/>
        <w:numPr>
          <w:ilvl w:val="0"/>
          <w:numId w:val="2"/>
        </w:numPr>
        <w:spacing w:after="100" w:line="360"/>
      </w:pPr>
      <w:r>
        <w:rPr>
          <w:rFonts w:ascii="Arial" w:cs="Arial" w:eastAsia="Arial" w:hAnsi="Arial"/>
          <w:sz w:val="24"/>
          <w:szCs w:val="24"/>
        </w:rPr>
        <w:t xml:space="preserve">Assess long-term TSC disease impact: does TSC1 restoration via exon-skipping only address neurological seizures or also help control renal/cardiac hamartomas?</w:t>
      </w:r>
    </w:p>
    <w:p>
      <w:pPr>
        <w:pStyle w:val="ListParagraph"/>
        <w:numPr>
          <w:ilvl w:val="0"/>
          <w:numId w:val="2"/>
        </w:numPr>
        <w:spacing w:after="100" w:line="360"/>
      </w:pPr>
      <w:r>
        <w:rPr>
          <w:rFonts w:ascii="Arial" w:cs="Arial" w:eastAsia="Arial" w:hAnsi="Arial"/>
          <w:sz w:val="24"/>
          <w:szCs w:val="24"/>
        </w:rPr>
        <w:t xml:space="preserve">Manufacturing and regulatory assessment: can exon-skipping ASO be synthesized at GMP scale? What IND regulatory pathway (neurology vs oncology monitoring)?</w:t>
      </w:r>
    </w:p>
    <w:p>
      <w:pPr>
        <w:pStyle w:val="ListParagraph"/>
        <w:numPr>
          <w:ilvl w:val="0"/>
          <w:numId w:val="2"/>
        </w:numPr>
        <w:spacing w:after="100" w:line="360"/>
      </w:pPr>
      <w:r>
        <w:rPr>
          <w:rFonts w:ascii="Arial" w:cs="Arial" w:eastAsia="Arial" w:hAnsi="Arial"/>
          <w:sz w:val="24"/>
          <w:szCs w:val="24"/>
        </w:rPr>
        <w:t xml:space="preserve">Design comprehensive preclinical validation: in vitro splicing confirmation (RT-PCR), TSC1 protein restoration (Western blot), mTORC1 suppression assays, seizure models, long-term TSC disease models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Comprehensive integrated profiles for all 6 candidates (reading frame restoration confidence | TSC1 functionality prediction | seizure rescue potential | off-target safety | manufacturability)</w:t>
      </w:r>
    </w:p>
    <w:p>
      <w:pPr>
        <w:pStyle w:val="ListParagraph"/>
        <w:numPr>
          <w:ilvl w:val="0"/>
          <w:numId w:val="2"/>
        </w:numPr>
        <w:spacing w:after="100" w:line="360"/>
      </w:pPr>
      <w:r>
        <w:rPr>
          <w:rFonts w:ascii="Arial" w:cs="Arial" w:eastAsia="Arial" w:hAnsi="Arial"/>
          <w:sz w:val="24"/>
          <w:szCs w:val="24"/>
        </w:rPr>
        <w:t xml:space="preserve">Composite efficacy/safety scores (integration of all validation dimensions from Stages 1-6)</w:t>
      </w:r>
    </w:p>
    <w:p>
      <w:pPr>
        <w:pStyle w:val="ListParagraph"/>
        <w:numPr>
          <w:ilvl w:val="0"/>
          <w:numId w:val="2"/>
        </w:numPr>
        <w:spacing w:after="100" w:line="360"/>
      </w:pPr>
      <w:r>
        <w:rPr>
          <w:rFonts w:ascii="Arial" w:cs="Arial" w:eastAsia="Arial" w:hAnsi="Arial"/>
          <w:sz w:val="24"/>
          <w:szCs w:val="24"/>
        </w:rPr>
        <w:t xml:space="preserve">Seizure phenotype rescue predictions (baseline seizure frequency → predicted control outcome for each candidate)</w:t>
      </w:r>
    </w:p>
    <w:p>
      <w:pPr>
        <w:pStyle w:val="ListParagraph"/>
        <w:numPr>
          <w:ilvl w:val="0"/>
          <w:numId w:val="2"/>
        </w:numPr>
        <w:spacing w:after="100" w:line="360"/>
      </w:pPr>
      <w:r>
        <w:rPr>
          <w:rFonts w:ascii="Arial" w:cs="Arial" w:eastAsia="Arial" w:hAnsi="Arial"/>
          <w:sz w:val="24"/>
          <w:szCs w:val="24"/>
        </w:rPr>
        <w:t xml:space="preserve">Long-term TSC disease impact assessment (neurological seizure control + renal/cardiac hamartoma implications for each candidate)</w:t>
      </w:r>
    </w:p>
    <w:p>
      <w:pPr>
        <w:pStyle w:val="ListParagraph"/>
        <w:numPr>
          <w:ilvl w:val="0"/>
          <w:numId w:val="2"/>
        </w:numPr>
        <w:spacing w:after="100" w:line="360"/>
      </w:pPr>
      <w:r>
        <w:rPr>
          <w:rFonts w:ascii="Arial" w:cs="Arial" w:eastAsia="Arial" w:hAnsi="Arial"/>
          <w:sz w:val="24"/>
          <w:szCs w:val="24"/>
        </w:rPr>
        <w:t xml:space="preserve">Top 2 lead ASO candidates with complete specifications: sequence, target exon skipping pattern, predicted TSC1 functionality %, expected seizure reduction, off-target safety profile, recommended dosing</w:t>
      </w:r>
    </w:p>
    <w:p>
      <w:pPr>
        <w:pStyle w:val="ListParagraph"/>
        <w:numPr>
          <w:ilvl w:val="0"/>
          <w:numId w:val="2"/>
        </w:numPr>
        <w:spacing w:after="100" w:line="360"/>
      </w:pPr>
      <w:r>
        <w:rPr>
          <w:rFonts w:ascii="Arial" w:cs="Arial" w:eastAsia="Arial" w:hAnsi="Arial"/>
          <w:sz w:val="24"/>
          <w:szCs w:val="24"/>
        </w:rPr>
        <w:t xml:space="preserve">Comprehensive IND-enabling study master plan: in vitro splicing assays, primary neuron TSC1 restoration experiments, mTORC1 suppression validation, animal seizure models, long-term safety/efficacy studies, GMP manufacturing</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Lead nomination report (PDF with comprehensive Stages 1-6 integrated analysis, seizure rescue predictions, long-term TS disease impact assessment, IND-enabling master plan) plus detailed clinical development timeline for first-in-human studies in TSC1-mutant tuberous sclerosis</w:t>
      </w:r>
    </w:p>
    <w:p>
      <w:pPr>
        <w:pStyle w:val="Heading2"/>
        <w:spacing w:after="200" w:before="200"/>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UCSC Genome Browser (genomic annotation, conservation, structure visualization)</w:t>
      </w:r>
    </w:p>
    <w:p>
      <w:pPr>
        <w:pStyle w:val="ListParagraph"/>
        <w:numPr>
          <w:ilvl w:val="0"/>
          <w:numId w:val="2"/>
        </w:numPr>
        <w:spacing w:after="100" w:line="360"/>
      </w:pPr>
      <w:r>
        <w:rPr>
          <w:rFonts w:ascii="Arial" w:cs="Arial" w:eastAsia="Arial" w:hAnsi="Arial"/>
          <w:sz w:val="24"/>
          <w:szCs w:val="24"/>
        </w:rPr>
        <w:t xml:space="preserve">Ensembl REST API &amp; Gene Annotation (transcript isoforms, regulatory elements, variant impact)</w:t>
      </w:r>
    </w:p>
    <w:p>
      <w:pPr>
        <w:pStyle w:val="ListParagraph"/>
        <w:numPr>
          <w:ilvl w:val="0"/>
          <w:numId w:val="2"/>
        </w:numPr>
        <w:spacing w:after="100" w:line="360"/>
      </w:pPr>
      <w:r>
        <w:rPr>
          <w:rFonts w:ascii="Arial" w:cs="Arial" w:eastAsia="Arial" w:hAnsi="Arial"/>
          <w:sz w:val="24"/>
          <w:szCs w:val="24"/>
        </w:rPr>
        <w:t xml:space="preserve">RefSeq Database (gene sequences, transcript structures, transcript-specific properties)</w:t>
      </w:r>
    </w:p>
    <w:p>
      <w:pPr>
        <w:pStyle w:val="ListParagraph"/>
        <w:numPr>
          <w:ilvl w:val="0"/>
          <w:numId w:val="2"/>
        </w:numPr>
        <w:spacing w:after="100" w:line="360"/>
      </w:pPr>
      <w:r>
        <w:rPr>
          <w:rFonts w:ascii="Arial" w:cs="Arial" w:eastAsia="Arial" w:hAnsi="Arial"/>
          <w:sz w:val="24"/>
          <w:szCs w:val="24"/>
        </w:rPr>
        <w:t xml:space="preserve">ClinVar &amp; HGMD (clinical variant interpretation, pathogenicity assessment, functional annotation)</w:t>
      </w:r>
    </w:p>
    <w:p>
      <w:pPr>
        <w:pStyle w:val="ListParagraph"/>
        <w:numPr>
          <w:ilvl w:val="0"/>
          <w:numId w:val="2"/>
        </w:numPr>
        <w:spacing w:after="100" w:line="360"/>
      </w:pPr>
      <w:r>
        <w:rPr>
          <w:rFonts w:ascii="Arial" w:cs="Arial" w:eastAsia="Arial" w:hAnsi="Arial"/>
          <w:sz w:val="24"/>
          <w:szCs w:val="24"/>
        </w:rPr>
        <w:t xml:space="preserve">BLAST &amp; RNAhybrid (sequence similarity searching, off-target prediction, thermodynamic binding)</w:t>
      </w:r>
    </w:p>
    <w:p>
      <w:pPr>
        <w:pStyle w:val="ListParagraph"/>
        <w:numPr>
          <w:ilvl w:val="0"/>
          <w:numId w:val="2"/>
        </w:numPr>
        <w:spacing w:after="100" w:line="360"/>
      </w:pPr>
      <w:r>
        <w:rPr>
          <w:rFonts w:ascii="Arial" w:cs="Arial" w:eastAsia="Arial" w:hAnsi="Arial"/>
          <w:sz w:val="24"/>
          <w:szCs w:val="24"/>
        </w:rPr>
        <w:t xml:space="preserve">OligoCalc &amp; mfold/RNAfold (ASO Tm calculation, secondary structure prediction, duplex thermodynamics)</w:t>
      </w:r>
    </w:p>
    <w:p>
      <w:pPr>
        <w:pStyle w:val="ListParagraph"/>
        <w:numPr>
          <w:ilvl w:val="0"/>
          <w:numId w:val="2"/>
        </w:numPr>
        <w:spacing w:after="100" w:line="360"/>
      </w:pPr>
      <w:r>
        <w:rPr>
          <w:rFonts w:ascii="Arial" w:cs="Arial" w:eastAsia="Arial" w:hAnsi="Arial"/>
          <w:sz w:val="24"/>
          <w:szCs w:val="24"/>
        </w:rPr>
        <w:t xml:space="preserve">GENEIOUS Pro (sequence design, alignment, off-target screening, visualization)</w:t>
      </w:r>
    </w:p>
    <w:p>
      <w:pPr>
        <w:pStyle w:val="ListParagraph"/>
        <w:numPr>
          <w:ilvl w:val="0"/>
          <w:numId w:val="2"/>
        </w:numPr>
        <w:spacing w:after="100" w:line="360"/>
      </w:pPr>
      <w:r>
        <w:rPr>
          <w:rFonts w:ascii="Arial" w:cs="Arial" w:eastAsia="Arial" w:hAnsi="Arial"/>
          <w:sz w:val="24"/>
          <w:szCs w:val="24"/>
        </w:rPr>
        <w:t xml:space="preserve">Beacon Designer &amp; ChemGPS-NP (ASO design optimization, chemical modification selection, ADMET prediction)</w:t>
      </w:r>
    </w:p>
    <w:p>
      <w:pPr>
        <w:pStyle w:val="ListParagraph"/>
        <w:numPr>
          <w:ilvl w:val="0"/>
          <w:numId w:val="2"/>
        </w:numPr>
        <w:spacing w:after="100" w:line="360"/>
      </w:pPr>
      <w:r>
        <w:rPr>
          <w:rFonts w:ascii="Arial" w:cs="Arial" w:eastAsia="Arial" w:hAnsi="Arial"/>
          <w:sz w:val="24"/>
          <w:szCs w:val="24"/>
        </w:rPr>
        <w:t xml:space="preserve">AlphaFold2 &amp; FoldX (protein structure prediction, thermodynamic stability, domain folding assessment)</w:t>
      </w:r>
    </w:p>
    <w:p>
      <w:pPr>
        <w:pStyle w:val="ListParagraph"/>
        <w:numPr>
          <w:ilvl w:val="0"/>
          <w:numId w:val="2"/>
        </w:numPr>
        <w:spacing w:after="100" w:line="360"/>
      </w:pPr>
      <w:r>
        <w:rPr>
          <w:rFonts w:ascii="Arial" w:cs="Arial" w:eastAsia="Arial" w:hAnsi="Arial"/>
          <w:sz w:val="24"/>
          <w:szCs w:val="24"/>
        </w:rPr>
        <w:t xml:space="preserve">Reactome &amp; KEGG (pathway annotation, mechanistic understanding, cascade modeling)</w:t>
      </w:r>
    </w:p>
    <w:p>
      <w:pPr>
        <w:pStyle w:val="ListParagraph"/>
        <w:numPr>
          <w:ilvl w:val="0"/>
          <w:numId w:val="2"/>
        </w:numPr>
        <w:spacing w:after="100" w:line="360"/>
      </w:pPr>
      <w:r>
        <w:rPr>
          <w:rFonts w:ascii="Arial" w:cs="Arial" w:eastAsia="Arial" w:hAnsi="Arial"/>
          <w:sz w:val="24"/>
          <w:szCs w:val="24"/>
        </w:rPr>
        <w:t xml:space="preserve">Deep Learning Models (ToxNet, selectivity predictors, phenotype rescuers; ML-based predictions)</w:t>
      </w:r>
    </w:p>
    <w:p>
      <w:pPr>
        <w:pStyle w:val="ListParagraph"/>
        <w:numPr>
          <w:ilvl w:val="0"/>
          <w:numId w:val="2"/>
        </w:numPr>
        <w:spacing w:after="100" w:line="360"/>
      </w:pPr>
      <w:r>
        <w:rPr>
          <w:rFonts w:ascii="Arial" w:cs="Arial" w:eastAsia="Arial" w:hAnsi="Arial"/>
          <w:sz w:val="24"/>
          <w:szCs w:val="24"/>
        </w:rPr>
        <w:t xml:space="preserve">Systems Biology Toolbox (ODE modeling, pathway dynamics simulation, dose-response fitting)</w:t>
      </w:r>
    </w:p>
    <w:p>
      <w:pPr>
        <w:pStyle w:val="ListParagraph"/>
        <w:numPr>
          <w:ilvl w:val="0"/>
          <w:numId w:val="2"/>
        </w:numPr>
        <w:spacing w:after="100" w:line="360"/>
      </w:pPr>
      <w:r>
        <w:rPr>
          <w:rFonts w:ascii="Arial" w:cs="Arial" w:eastAsia="Arial" w:hAnsi="Arial"/>
          <w:sz w:val="24"/>
          <w:szCs w:val="24"/>
        </w:rPr>
        <w:t xml:space="preserve">SpliceAI &amp; RNA structure tools (splicing prediction, exon-skipping modeling, splicing optimization)</w:t>
      </w:r>
    </w:p>
    <w:p>
      <w:pPr>
        <w:pStyle w:val="ListParagraph"/>
        <w:numPr>
          <w:ilvl w:val="0"/>
          <w:numId w:val="2"/>
        </w:numPr>
        <w:spacing w:after="100" w:line="360"/>
      </w:pPr>
      <w:r>
        <w:rPr>
          <w:rFonts w:ascii="Arial" w:cs="Arial" w:eastAsia="Arial" w:hAnsi="Arial"/>
          <w:sz w:val="24"/>
          <w:szCs w:val="24"/>
        </w:rPr>
        <w:t xml:space="preserve">Sapphire Integrated Modules (EP phenotyping, transcript/dose-response database, safety validation)</w:t>
      </w:r>
    </w:p>
    <w:p>
      <w:pPr>
        <w:pStyle w:val="ListParagraph"/>
        <w:numPr>
          <w:ilvl w:val="0"/>
          <w:numId w:val="2"/>
        </w:numPr>
        <w:spacing w:after="100" w:line="360"/>
      </w:pPr>
      <w:r>
        <w:rPr>
          <w:rFonts w:ascii="Arial" w:cs="Arial" w:eastAsia="Arial" w:hAnsi="Arial"/>
          <w:sz w:val="24"/>
          <w:szCs w:val="24"/>
        </w:rPr>
        <w:t xml:space="preserve">GEO/ArrayExpress (transcriptomic datasets, expression patterns, disease signatures)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2026-03-04T17:44:07.451Z</dcterms:created>
  <dcterms:modified xsi:type="dcterms:W3CDTF">2026-03-04T17:44:07.451Z</dcterms:modified>
</cp:coreProperties>
</file>

<file path=docProps/custom.xml><?xml version="1.0" encoding="utf-8"?>
<Properties xmlns="http://schemas.openxmlformats.org/officeDocument/2006/custom-properties" xmlns:vt="http://schemas.openxmlformats.org/officeDocument/2006/docPropsVTypes"/>
</file>