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DEPDC5 mTORC1 Hyperactivation Control</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ASO sequences targeting DEPDC5 that reduce mTORC1 hyperactivation while preserving autophagy.</w:t>
      </w:r>
    </w:p>
    <w:p>
      <w:pPr>
        <w:spacing w:after="200" w:line="360"/>
      </w:pPr>
      <w:r>
        <w:rPr>
          <w:rFonts w:ascii="Arial" w:cs="Arial" w:eastAsia="Arial" w:hAnsi="Arial"/>
          <w:sz w:val="24"/>
          <w:szCs w:val="24"/>
        </w:rPr>
        <w:t xml:space="preserve">This pipeline generates ASO candidates targeting DEPDC5, a key component of the GATOR1 complex that negatively regulates mTORC1 signaling. DEPDC5 loss-of-function mutations cause focal cortical dysplasia with epilepsy phenotypes characterized by mTORC1 hyperactivation and dysregulated neuronal excitability. The pipeline designs ASOs that restore DEPDC5 expression to suppress pathological mTORC1 signaling.</w:t>
      </w:r>
    </w:p>
    <w:p>
      <w:pPr>
        <w:spacing w:after="200" w:line="360"/>
      </w:pPr>
      <w:r>
        <w:rPr>
          <w:rFonts w:ascii="Arial" w:cs="Arial" w:eastAsia="Arial" w:hAnsi="Arial"/>
          <w:sz w:val="24"/>
          <w:szCs w:val="24"/>
        </w:rPr>
        <w:t xml:space="preserve">The workflow carefully balances mTORC1 suppression with preservation of mTORC2 signaling and autophagy flux—critical for maintaining neuronal health and synaptic plasticity. Using the Quiver EP atlas, the pipeline predicts which DEPDC5-targeting ASO sequences produce optimal rescue of epilepsy-associated hyperexcitability signatures while avoiding neurotoxicity markers associated with excessive mTORC1 inhibition or autophagy dysfunction.</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addresses gator1 complex biology, selective mtorc1 suppression, mtorc2/autophagy preservation, focal cortical dysplasia epilepsy rescue. The workflow is designed as a systematic progression through six integrated stages, each contributing specialized analytical and experimental components that collectively enable evidence-based ASO candidate selection for preclinical and clinical development.</w:t>
      </w:r>
    </w:p>
    <w:p>
      <w:pPr>
        <w:spacing w:after="200" w:line="360"/>
      </w:pPr>
      <w:r>
        <w:rPr>
          <w:rFonts w:ascii="Arial" w:cs="Arial" w:eastAsia="Arial" w:hAnsi="Arial"/>
          <w:sz w:val="24"/>
          <w:szCs w:val="24"/>
        </w:rPr>
        <w:t xml:space="preserve">The complete pipeline combines computational target discovery, chemical sequence optimization, electrophysiology phenotype prediction using Quiver CRISPR data, comprehensive safety assessment, experimental validation design, and final lead optimization. This integrated approach ensures that recommended clinical candidates are supported by convergent evidence from multiple orthogonal data sources—computational predictions, electrophysiology biomarkers, biochemical validation, and disease biology expertise.</w:t>
      </w:r>
    </w:p>
    <w:p>
      <w:pPr>
        <w:pStyle w:val="Heading2"/>
        <w:spacing w:after="200" w:before="200"/>
      </w:pPr>
      <w:r>
        <w:rPr>
          <w:rFonts w:ascii="Arial" w:cs="Arial" w:eastAsia="Arial" w:hAnsi="Arial"/>
          <w:b/>
          <w:bCs/>
          <w:sz w:val="28"/>
          <w:szCs w:val="28"/>
        </w:rPr>
        <w:t xml:space="preserve">Stage 1: Transcript &amp; Target Discovery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disease-relevant transcript variants and design optimal ASO targeting sites based on RNA structure predictions and evolutionary conservation.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Gene sequence database (RefSeq/Ensembl with all isoforms)</w:t>
      </w:r>
    </w:p>
    <w:p>
      <w:pPr>
        <w:pStyle w:val="ListParagraph"/>
        <w:numPr>
          <w:ilvl w:val="0"/>
          <w:numId w:val="2"/>
        </w:numPr>
        <w:spacing w:after="100" w:line="360"/>
      </w:pPr>
      <w:r>
        <w:rPr>
          <w:rFonts w:ascii="Arial" w:cs="Arial" w:eastAsia="Arial" w:hAnsi="Arial"/>
          <w:sz w:val="24"/>
          <w:szCs w:val="24"/>
        </w:rPr>
        <w:t xml:space="preserve">Quiver CRISPR perturb-seq transcriptomic signatures for the target gene</w:t>
      </w:r>
    </w:p>
    <w:p>
      <w:pPr>
        <w:pStyle w:val="ListParagraph"/>
        <w:numPr>
          <w:ilvl w:val="0"/>
          <w:numId w:val="2"/>
        </w:numPr>
        <w:spacing w:after="100" w:line="360"/>
      </w:pPr>
      <w:r>
        <w:rPr>
          <w:rFonts w:ascii="Arial" w:cs="Arial" w:eastAsia="Arial" w:hAnsi="Arial"/>
          <w:sz w:val="24"/>
          <w:szCs w:val="24"/>
        </w:rPr>
        <w:t xml:space="preserve">Secondary RNA structure predictions (RNAfold, EternaFold)</w:t>
      </w:r>
    </w:p>
    <w:p>
      <w:pPr>
        <w:pStyle w:val="ListParagraph"/>
        <w:numPr>
          <w:ilvl w:val="0"/>
          <w:numId w:val="2"/>
        </w:numPr>
        <w:spacing w:after="100" w:line="360"/>
      </w:pPr>
      <w:r>
        <w:rPr>
          <w:rFonts w:ascii="Arial" w:cs="Arial" w:eastAsia="Arial" w:hAnsi="Arial"/>
          <w:sz w:val="24"/>
          <w:szCs w:val="24"/>
        </w:rPr>
        <w:t xml:space="preserve">Cross-species sequence conservation alignments (PhyloCSF, phastCons)</w:t>
      </w:r>
    </w:p>
    <w:p>
      <w:pPr>
        <w:pStyle w:val="ListParagraph"/>
        <w:numPr>
          <w:ilvl w:val="0"/>
          <w:numId w:val="2"/>
        </w:numPr>
        <w:spacing w:after="100" w:line="360"/>
      </w:pPr>
      <w:r>
        <w:rPr>
          <w:rFonts w:ascii="Arial" w:cs="Arial" w:eastAsia="Arial" w:hAnsi="Arial"/>
          <w:sz w:val="24"/>
          <w:szCs w:val="24"/>
        </w:rPr>
        <w:t xml:space="preserve">Patient-derived iPSC RNA-seq or clinical transcriptome data showing dysregulated target isoforms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Ensembl/RefSeq transcript annotation pipeline</w:t>
      </w:r>
    </w:p>
    <w:p>
      <w:pPr>
        <w:pStyle w:val="ListParagraph"/>
        <w:numPr>
          <w:ilvl w:val="0"/>
          <w:numId w:val="2"/>
        </w:numPr>
        <w:spacing w:after="100" w:line="360"/>
      </w:pPr>
      <w:r>
        <w:rPr>
          <w:rFonts w:ascii="Arial" w:cs="Arial" w:eastAsia="Arial" w:hAnsi="Arial"/>
          <w:sz w:val="24"/>
          <w:szCs w:val="24"/>
        </w:rPr>
        <w:t xml:space="preserve">UCSC Genome Browser Conservation Track (phyloP/phastCons)</w:t>
      </w:r>
    </w:p>
    <w:p>
      <w:pPr>
        <w:pStyle w:val="ListParagraph"/>
        <w:numPr>
          <w:ilvl w:val="0"/>
          <w:numId w:val="2"/>
        </w:numPr>
        <w:spacing w:after="100" w:line="360"/>
      </w:pPr>
      <w:r>
        <w:rPr>
          <w:rFonts w:ascii="Arial" w:cs="Arial" w:eastAsia="Arial" w:hAnsi="Arial"/>
          <w:sz w:val="24"/>
          <w:szCs w:val="24"/>
        </w:rPr>
        <w:t xml:space="preserve">RNAstructure/EternaFold secondary structure predictor</w:t>
      </w:r>
    </w:p>
    <w:p>
      <w:pPr>
        <w:pStyle w:val="ListParagraph"/>
        <w:numPr>
          <w:ilvl w:val="0"/>
          <w:numId w:val="2"/>
        </w:numPr>
        <w:spacing w:after="100" w:line="360"/>
      </w:pPr>
      <w:r>
        <w:rPr>
          <w:rFonts w:ascii="Arial" w:cs="Arial" w:eastAsia="Arial" w:hAnsi="Arial"/>
          <w:sz w:val="24"/>
          <w:szCs w:val="24"/>
        </w:rPr>
        <w:t xml:space="preserve">Clustal Omega/MUSCLE multiple sequence alignment</w:t>
      </w:r>
    </w:p>
    <w:p>
      <w:pPr>
        <w:pStyle w:val="ListParagraph"/>
        <w:numPr>
          <w:ilvl w:val="0"/>
          <w:numId w:val="2"/>
        </w:numPr>
        <w:spacing w:after="100" w:line="360"/>
      </w:pPr>
      <w:r>
        <w:rPr>
          <w:rFonts w:ascii="Arial" w:cs="Arial" w:eastAsia="Arial" w:hAnsi="Arial"/>
          <w:sz w:val="24"/>
          <w:szCs w:val="24"/>
        </w:rPr>
        <w:t xml:space="preserve">DESeq2/edgeR differential expression analysis (patient vs. control)</w:t>
      </w:r>
    </w:p>
    <w:p>
      <w:pPr>
        <w:pStyle w:val="ListParagraph"/>
        <w:numPr>
          <w:ilvl w:val="0"/>
          <w:numId w:val="2"/>
        </w:numPr>
        <w:spacing w:after="100" w:line="360"/>
      </w:pPr>
      <w:r>
        <w:rPr>
          <w:rFonts w:ascii="Arial" w:cs="Arial" w:eastAsia="Arial" w:hAnsi="Arial"/>
          <w:sz w:val="24"/>
          <w:szCs w:val="24"/>
        </w:rPr>
        <w:t xml:space="preserve">Custom Python/R script for isoform prioritization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SHANK3/DEPDC5/CACNA1A/FOXG1 transcript isoforms are most dysregulated in disease models?</w:t>
      </w:r>
    </w:p>
    <w:p>
      <w:pPr>
        <w:pStyle w:val="ListParagraph"/>
        <w:numPr>
          <w:ilvl w:val="0"/>
          <w:numId w:val="2"/>
        </w:numPr>
        <w:spacing w:after="100" w:line="360"/>
      </w:pPr>
      <w:r>
        <w:rPr>
          <w:rFonts w:ascii="Arial" w:cs="Arial" w:eastAsia="Arial" w:hAnsi="Arial"/>
          <w:sz w:val="24"/>
          <w:szCs w:val="24"/>
        </w:rPr>
        <w:t xml:space="preserve">What secondary RNA structures are present in the 5'-UTR, CDS, and 3'-UTR of disease-relevant transcripts?</w:t>
      </w:r>
    </w:p>
    <w:p>
      <w:pPr>
        <w:pStyle w:val="ListParagraph"/>
        <w:numPr>
          <w:ilvl w:val="0"/>
          <w:numId w:val="2"/>
        </w:numPr>
        <w:spacing w:after="100" w:line="360"/>
      </w:pPr>
      <w:r>
        <w:rPr>
          <w:rFonts w:ascii="Arial" w:cs="Arial" w:eastAsia="Arial" w:hAnsi="Arial"/>
          <w:sz w:val="24"/>
          <w:szCs w:val="24"/>
        </w:rPr>
        <w:t xml:space="preserve">Which genomic regions show the highest evolutionary conservation within disease-relevant exons?</w:t>
      </w:r>
    </w:p>
    <w:p>
      <w:pPr>
        <w:pStyle w:val="ListParagraph"/>
        <w:numPr>
          <w:ilvl w:val="0"/>
          <w:numId w:val="2"/>
        </w:numPr>
        <w:spacing w:after="100" w:line="360"/>
      </w:pPr>
      <w:r>
        <w:rPr>
          <w:rFonts w:ascii="Arial" w:cs="Arial" w:eastAsia="Arial" w:hAnsi="Arial"/>
          <w:sz w:val="24"/>
          <w:szCs w:val="24"/>
        </w:rPr>
        <w:t xml:space="preserve">Can we identify patient-specific SNPs or mutations that create ASO targeting opportunities?</w:t>
      </w:r>
    </w:p>
    <w:p>
      <w:pPr>
        <w:pStyle w:val="ListParagraph"/>
        <w:numPr>
          <w:ilvl w:val="0"/>
          <w:numId w:val="2"/>
        </w:numPr>
        <w:spacing w:after="100" w:line="360"/>
      </w:pPr>
      <w:r>
        <w:rPr>
          <w:rFonts w:ascii="Arial" w:cs="Arial" w:eastAsia="Arial" w:hAnsi="Arial"/>
          <w:sz w:val="24"/>
          <w:szCs w:val="24"/>
        </w:rPr>
        <w:t xml:space="preserve">What transcript-specific expression patterns are observed across neuronal cell types in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5-10 most disease-relevant transcript isoforms with expression fold-changes</w:t>
      </w:r>
    </w:p>
    <w:p>
      <w:pPr>
        <w:pStyle w:val="ListParagraph"/>
        <w:numPr>
          <w:ilvl w:val="0"/>
          <w:numId w:val="2"/>
        </w:numPr>
        <w:spacing w:after="100" w:line="360"/>
      </w:pPr>
      <w:r>
        <w:rPr>
          <w:rFonts w:ascii="Arial" w:cs="Arial" w:eastAsia="Arial" w:hAnsi="Arial"/>
          <w:sz w:val="24"/>
          <w:szCs w:val="24"/>
        </w:rPr>
        <w:t xml:space="preserve">Secondary RNA structure annotations showing accessible binding sites</w:t>
      </w:r>
    </w:p>
    <w:p>
      <w:pPr>
        <w:pStyle w:val="ListParagraph"/>
        <w:numPr>
          <w:ilvl w:val="0"/>
          <w:numId w:val="2"/>
        </w:numPr>
        <w:spacing w:after="100" w:line="360"/>
      </w:pPr>
      <w:r>
        <w:rPr>
          <w:rFonts w:ascii="Arial" w:cs="Arial" w:eastAsia="Arial" w:hAnsi="Arial"/>
          <w:sz w:val="24"/>
          <w:szCs w:val="24"/>
        </w:rPr>
        <w:t xml:space="preserve">Conservation score alignments (phyloP, phastCons) across exons and splice junctions</w:t>
      </w:r>
    </w:p>
    <w:p>
      <w:pPr>
        <w:pStyle w:val="ListParagraph"/>
        <w:numPr>
          <w:ilvl w:val="0"/>
          <w:numId w:val="2"/>
        </w:numPr>
        <w:spacing w:after="100" w:line="360"/>
      </w:pPr>
      <w:r>
        <w:rPr>
          <w:rFonts w:ascii="Arial" w:cs="Arial" w:eastAsia="Arial" w:hAnsi="Arial"/>
          <w:sz w:val="24"/>
          <w:szCs w:val="24"/>
        </w:rPr>
        <w:t xml:space="preserve">Isoform-specific expression heatmaps across 500+ Quiver EP neuron cell types</w:t>
      </w:r>
    </w:p>
    <w:p>
      <w:pPr>
        <w:pStyle w:val="ListParagraph"/>
        <w:numPr>
          <w:ilvl w:val="0"/>
          <w:numId w:val="2"/>
        </w:numPr>
        <w:spacing w:after="100" w:line="360"/>
      </w:pPr>
      <w:r>
        <w:rPr>
          <w:rFonts w:ascii="Arial" w:cs="Arial" w:eastAsia="Arial" w:hAnsi="Arial"/>
          <w:sz w:val="24"/>
          <w:szCs w:val="24"/>
        </w:rPr>
        <w:t xml:space="preserve">Target region coordinates (exon number, genomic position, UTR location) for top 5 prioritized transcripts</w:t>
      </w:r>
    </w:p>
    <w:p>
      <w:pPr>
        <w:pStyle w:val="ListParagraph"/>
        <w:numPr>
          <w:ilvl w:val="0"/>
          <w:numId w:val="2"/>
        </w:numPr>
        <w:spacing w:after="100" w:line="360"/>
      </w:pPr>
      <w:r>
        <w:rPr>
          <w:rFonts w:ascii="Arial" w:cs="Arial" w:eastAsia="Arial" w:hAnsi="Arial"/>
          <w:sz w:val="24"/>
          <w:szCs w:val="24"/>
        </w:rPr>
        <w:t xml:space="preserve">Justification document explaining why specific isoforms/regions were selected for ASO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CSV/TSV file with isoform metadata + JSON file with secondary structure annotations + PNG/PDF expression heatmaps</w:t>
      </w:r>
    </w:p>
    <w:p>
      <w:pPr>
        <w:pStyle w:val="Heading2"/>
        <w:spacing w:after="200" w:before="200"/>
      </w:pPr>
      <w:r>
        <w:rPr>
          <w:rFonts w:ascii="Arial" w:cs="Arial" w:eastAsia="Arial" w:hAnsi="Arial"/>
          <w:b/>
          <w:bCs/>
          <w:sz w:val="28"/>
          <w:szCs w:val="28"/>
        </w:rPr>
        <w:t xml:space="preserve">Stage 2: ASO Sequence Design &amp;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chemically optimized ASO sequences targeting prioritized transcript regions with enhanced potency, specificity, and cellular uptake properties.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Selected transcript target regions and secondary structures from Stage 1</w:t>
      </w:r>
    </w:p>
    <w:p>
      <w:pPr>
        <w:pStyle w:val="ListParagraph"/>
        <w:numPr>
          <w:ilvl w:val="0"/>
          <w:numId w:val="2"/>
        </w:numPr>
        <w:spacing w:after="100" w:line="360"/>
      </w:pPr>
      <w:r>
        <w:rPr>
          <w:rFonts w:ascii="Arial" w:cs="Arial" w:eastAsia="Arial" w:hAnsi="Arial"/>
          <w:sz w:val="24"/>
          <w:szCs w:val="24"/>
        </w:rPr>
        <w:t xml:space="preserve">Chemical modification libraries (2'-MOE, gapmer configurations, phosphorothioate backbones)</w:t>
      </w:r>
    </w:p>
    <w:p>
      <w:pPr>
        <w:pStyle w:val="ListParagraph"/>
        <w:numPr>
          <w:ilvl w:val="0"/>
          <w:numId w:val="2"/>
        </w:numPr>
        <w:spacing w:after="100" w:line="360"/>
      </w:pPr>
      <w:r>
        <w:rPr>
          <w:rFonts w:ascii="Arial" w:cs="Arial" w:eastAsia="Arial" w:hAnsi="Arial"/>
          <w:sz w:val="24"/>
          <w:szCs w:val="24"/>
        </w:rPr>
        <w:t xml:space="preserve">Thermodynamic binding energy database (ΔG predictions for ASO-RNA duplexes)</w:t>
      </w:r>
    </w:p>
    <w:p>
      <w:pPr>
        <w:pStyle w:val="ListParagraph"/>
        <w:numPr>
          <w:ilvl w:val="0"/>
          <w:numId w:val="2"/>
        </w:numPr>
        <w:spacing w:after="100" w:line="360"/>
      </w:pPr>
      <w:r>
        <w:rPr>
          <w:rFonts w:ascii="Arial" w:cs="Arial" w:eastAsia="Arial" w:hAnsi="Arial"/>
          <w:sz w:val="24"/>
          <w:szCs w:val="24"/>
        </w:rPr>
        <w:t xml:space="preserve">Off-target sequence homology database (UCSC RepeatMasker, dbSNP for SNP-based specificity)</w:t>
      </w:r>
    </w:p>
    <w:p>
      <w:pPr>
        <w:pStyle w:val="ListParagraph"/>
        <w:numPr>
          <w:ilvl w:val="0"/>
          <w:numId w:val="2"/>
        </w:numPr>
        <w:spacing w:after="100" w:line="360"/>
      </w:pPr>
      <w:r>
        <w:rPr>
          <w:rFonts w:ascii="Arial" w:cs="Arial" w:eastAsia="Arial" w:hAnsi="Arial"/>
          <w:sz w:val="24"/>
          <w:szCs w:val="24"/>
        </w:rPr>
        <w:t xml:space="preserve">Cellular uptake prediction models (charge, length, lipophilicity)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GENSCAN/ViennaRNA2 thermodynamic binding calculator</w:t>
      </w:r>
    </w:p>
    <w:p>
      <w:pPr>
        <w:pStyle w:val="ListParagraph"/>
        <w:numPr>
          <w:ilvl w:val="0"/>
          <w:numId w:val="2"/>
        </w:numPr>
        <w:spacing w:after="100" w:line="360"/>
      </w:pPr>
      <w:r>
        <w:rPr>
          <w:rFonts w:ascii="Arial" w:cs="Arial" w:eastAsia="Arial" w:hAnsi="Arial"/>
          <w:sz w:val="24"/>
          <w:szCs w:val="24"/>
        </w:rPr>
        <w:t xml:space="preserve">BLAST/Bowtie2 off-target sequence mapping (genome-wide and transcriptome-wide)</w:t>
      </w:r>
    </w:p>
    <w:p>
      <w:pPr>
        <w:pStyle w:val="ListParagraph"/>
        <w:numPr>
          <w:ilvl w:val="0"/>
          <w:numId w:val="2"/>
        </w:numPr>
        <w:spacing w:after="100" w:line="360"/>
      </w:pPr>
      <w:r>
        <w:rPr>
          <w:rFonts w:ascii="Arial" w:cs="Arial" w:eastAsia="Arial" w:hAnsi="Arial"/>
          <w:sz w:val="24"/>
          <w:szCs w:val="24"/>
        </w:rPr>
        <w:t xml:space="preserve">OligoCalc/IDT Oligo Analyzer for ASO physical chemistry properties</w:t>
      </w:r>
    </w:p>
    <w:p>
      <w:pPr>
        <w:pStyle w:val="ListParagraph"/>
        <w:numPr>
          <w:ilvl w:val="0"/>
          <w:numId w:val="2"/>
        </w:numPr>
        <w:spacing w:after="100" w:line="360"/>
      </w:pPr>
      <w:r>
        <w:rPr>
          <w:rFonts w:ascii="Arial" w:cs="Arial" w:eastAsia="Arial" w:hAnsi="Arial"/>
          <w:sz w:val="24"/>
          <w:szCs w:val="24"/>
        </w:rPr>
        <w:t xml:space="preserve">Custom Python ASO design script (iterative sequence enumeration with chemical modification patterns)</w:t>
      </w:r>
    </w:p>
    <w:p>
      <w:pPr>
        <w:pStyle w:val="ListParagraph"/>
        <w:numPr>
          <w:ilvl w:val="0"/>
          <w:numId w:val="2"/>
        </w:numPr>
        <w:spacing w:after="100" w:line="360"/>
      </w:pPr>
      <w:r>
        <w:rPr>
          <w:rFonts w:ascii="Arial" w:cs="Arial" w:eastAsia="Arial" w:hAnsi="Arial"/>
          <w:sz w:val="24"/>
          <w:szCs w:val="24"/>
        </w:rPr>
        <w:t xml:space="preserve">NUPACK secondary structure simulator for ASO-RNA duplex prediction</w:t>
      </w:r>
    </w:p>
    <w:p>
      <w:pPr>
        <w:pStyle w:val="ListParagraph"/>
        <w:numPr>
          <w:ilvl w:val="0"/>
          <w:numId w:val="2"/>
        </w:numPr>
        <w:spacing w:after="100" w:line="360"/>
      </w:pPr>
      <w:r>
        <w:rPr>
          <w:rFonts w:ascii="Arial" w:cs="Arial" w:eastAsia="Arial" w:hAnsi="Arial"/>
          <w:sz w:val="24"/>
          <w:szCs w:val="24"/>
        </w:rPr>
        <w:t xml:space="preserve">Machine learning model (e.g., LightGBM) trained on published ASO knockdown efficacy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20-25 nucleotide sequences in the target region have optimal thermodynamic binding energy?</w:t>
      </w:r>
    </w:p>
    <w:p>
      <w:pPr>
        <w:pStyle w:val="ListParagraph"/>
        <w:numPr>
          <w:ilvl w:val="0"/>
          <w:numId w:val="2"/>
        </w:numPr>
        <w:spacing w:after="100" w:line="360"/>
      </w:pPr>
      <w:r>
        <w:rPr>
          <w:rFonts w:ascii="Arial" w:cs="Arial" w:eastAsia="Arial" w:hAnsi="Arial"/>
          <w:sz w:val="24"/>
          <w:szCs w:val="24"/>
        </w:rPr>
        <w:t xml:space="preserve">Which chemical modification patterns (gapmer layouts, 2'-MOE substitutions) maximize RNase H recruitment?</w:t>
      </w:r>
    </w:p>
    <w:p>
      <w:pPr>
        <w:pStyle w:val="ListParagraph"/>
        <w:numPr>
          <w:ilvl w:val="0"/>
          <w:numId w:val="2"/>
        </w:numPr>
        <w:spacing w:after="100" w:line="360"/>
      </w:pPr>
      <w:r>
        <w:rPr>
          <w:rFonts w:ascii="Arial" w:cs="Arial" w:eastAsia="Arial" w:hAnsi="Arial"/>
          <w:sz w:val="24"/>
          <w:szCs w:val="24"/>
        </w:rPr>
        <w:t xml:space="preserve">Can we design allele-specific ASOs that discriminate mutant from wild-type sequences within 1-3 nucleotides?</w:t>
      </w:r>
    </w:p>
    <w:p>
      <w:pPr>
        <w:pStyle w:val="ListParagraph"/>
        <w:numPr>
          <w:ilvl w:val="0"/>
          <w:numId w:val="2"/>
        </w:numPr>
        <w:spacing w:after="100" w:line="360"/>
      </w:pPr>
      <w:r>
        <w:rPr>
          <w:rFonts w:ascii="Arial" w:cs="Arial" w:eastAsia="Arial" w:hAnsi="Arial"/>
          <w:sz w:val="24"/>
          <w:szCs w:val="24"/>
        </w:rPr>
        <w:t xml:space="preserve">What off-target transcript homology regions exist, and can we modify ASO sequences to avoid them?</w:t>
      </w:r>
    </w:p>
    <w:p>
      <w:pPr>
        <w:pStyle w:val="ListParagraph"/>
        <w:numPr>
          <w:ilvl w:val="0"/>
          <w:numId w:val="2"/>
        </w:numPr>
        <w:spacing w:after="100" w:line="360"/>
      </w:pPr>
      <w:r>
        <w:rPr>
          <w:rFonts w:ascii="Arial" w:cs="Arial" w:eastAsia="Arial" w:hAnsi="Arial"/>
          <w:sz w:val="24"/>
          <w:szCs w:val="24"/>
        </w:rPr>
        <w:t xml:space="preserve">How do ASO charge and lipophilicity properties affect neuronal cell uptake and intracellular trafficking?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Top 10 ASO sequences ranked by predicted knockdown efficacy, specificity score, and safety metrics</w:t>
      </w:r>
    </w:p>
    <w:p>
      <w:pPr>
        <w:pStyle w:val="ListParagraph"/>
        <w:numPr>
          <w:ilvl w:val="0"/>
          <w:numId w:val="2"/>
        </w:numPr>
        <w:spacing w:after="100" w:line="360"/>
      </w:pPr>
      <w:r>
        <w:rPr>
          <w:rFonts w:ascii="Arial" w:cs="Arial" w:eastAsia="Arial" w:hAnsi="Arial"/>
          <w:sz w:val="24"/>
          <w:szCs w:val="24"/>
        </w:rPr>
        <w:t xml:space="preserve">Thermodynamic binding energy (ΔG) calculations for each ASO-target RNA duplex</w:t>
      </w:r>
    </w:p>
    <w:p>
      <w:pPr>
        <w:pStyle w:val="ListParagraph"/>
        <w:numPr>
          <w:ilvl w:val="0"/>
          <w:numId w:val="2"/>
        </w:numPr>
        <w:spacing w:after="100" w:line="360"/>
      </w:pPr>
      <w:r>
        <w:rPr>
          <w:rFonts w:ascii="Arial" w:cs="Arial" w:eastAsia="Arial" w:hAnsi="Arial"/>
          <w:sz w:val="24"/>
          <w:szCs w:val="24"/>
        </w:rPr>
        <w:t xml:space="preserve">Off-target analysis report showing predicted off-target transcripts and mismatch penalties</w:t>
      </w:r>
    </w:p>
    <w:p>
      <w:pPr>
        <w:pStyle w:val="ListParagraph"/>
        <w:numPr>
          <w:ilvl w:val="0"/>
          <w:numId w:val="2"/>
        </w:numPr>
        <w:spacing w:after="100" w:line="360"/>
      </w:pPr>
      <w:r>
        <w:rPr>
          <w:rFonts w:ascii="Arial" w:cs="Arial" w:eastAsia="Arial" w:hAnsi="Arial"/>
          <w:sz w:val="24"/>
          <w:szCs w:val="24"/>
        </w:rPr>
        <w:t xml:space="preserve">Chemical modification landscape diagrams showing optimal 2'-MOE/gapmer patterns</w:t>
      </w:r>
    </w:p>
    <w:p>
      <w:pPr>
        <w:pStyle w:val="ListParagraph"/>
        <w:numPr>
          <w:ilvl w:val="0"/>
          <w:numId w:val="2"/>
        </w:numPr>
        <w:spacing w:after="100" w:line="360"/>
      </w:pPr>
      <w:r>
        <w:rPr>
          <w:rFonts w:ascii="Arial" w:cs="Arial" w:eastAsia="Arial" w:hAnsi="Arial"/>
          <w:sz w:val="24"/>
          <w:szCs w:val="24"/>
        </w:rPr>
        <w:t xml:space="preserve">Physical chemistry property summary (molecular weight, GC%, predicted melting temperature)</w:t>
      </w:r>
    </w:p>
    <w:p>
      <w:pPr>
        <w:pStyle w:val="ListParagraph"/>
        <w:numPr>
          <w:ilvl w:val="0"/>
          <w:numId w:val="2"/>
        </w:numPr>
        <w:spacing w:after="100" w:line="360"/>
      </w:pPr>
      <w:r>
        <w:rPr>
          <w:rFonts w:ascii="Arial" w:cs="Arial" w:eastAsia="Arial" w:hAnsi="Arial"/>
          <w:sz w:val="24"/>
          <w:szCs w:val="24"/>
        </w:rPr>
        <w:t xml:space="preserve">Schematic drawings of expected ASO-RNA duplex structures with RNase H recruitment sites marked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file with top 10 ASO sequences + Excel workbook with thermodynamic/specificity tables + PNG structure diagrams</w:t>
      </w:r>
    </w:p>
    <w:p>
      <w:pPr>
        <w:pStyle w:val="Heading2"/>
        <w:spacing w:after="200" w:before="200"/>
      </w:pPr>
      <w:r>
        <w:rPr>
          <w:rFonts w:ascii="Arial" w:cs="Arial" w:eastAsia="Arial" w:hAnsi="Arial"/>
          <w:b/>
          <w:bCs/>
          <w:sz w:val="28"/>
          <w:szCs w:val="28"/>
        </w:rPr>
        <w:t xml:space="preserve">Stage 3: Electrophysiology Phenotype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rescue of disease-associated electrophysiology signatures using Quiver atlas transfer learning and baseline CRISPR perturbation effects.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 ASO sequences from Stage 2</w:t>
      </w:r>
    </w:p>
    <w:p>
      <w:pPr>
        <w:pStyle w:val="ListParagraph"/>
        <w:numPr>
          <w:ilvl w:val="0"/>
          <w:numId w:val="2"/>
        </w:numPr>
        <w:spacing w:after="100" w:line="360"/>
      </w:pPr>
      <w:r>
        <w:rPr>
          <w:rFonts w:ascii="Arial" w:cs="Arial" w:eastAsia="Arial" w:hAnsi="Arial"/>
          <w:sz w:val="24"/>
          <w:szCs w:val="24"/>
        </w:rPr>
        <w:t xml:space="preserve">Quiver CRISPR knockdown dataset for target gene (500+ neuron cell types, 500+ electrophysiology features)</w:t>
      </w:r>
    </w:p>
    <w:p>
      <w:pPr>
        <w:pStyle w:val="ListParagraph"/>
        <w:numPr>
          <w:ilvl w:val="0"/>
          <w:numId w:val="2"/>
        </w:numPr>
        <w:spacing w:after="100" w:line="360"/>
      </w:pPr>
      <w:r>
        <w:rPr>
          <w:rFonts w:ascii="Arial" w:cs="Arial" w:eastAsia="Arial" w:hAnsi="Arial"/>
          <w:sz w:val="24"/>
          <w:szCs w:val="24"/>
        </w:rPr>
        <w:t xml:space="preserve">Disease-associated EP signature (fold-changes in excitability metrics, synaptic transmission, network oscillation)</w:t>
      </w:r>
    </w:p>
    <w:p>
      <w:pPr>
        <w:pStyle w:val="ListParagraph"/>
        <w:numPr>
          <w:ilvl w:val="0"/>
          <w:numId w:val="2"/>
        </w:numPr>
        <w:spacing w:after="100" w:line="360"/>
      </w:pPr>
      <w:r>
        <w:rPr>
          <w:rFonts w:ascii="Arial" w:cs="Arial" w:eastAsia="Arial" w:hAnsi="Arial"/>
          <w:sz w:val="24"/>
          <w:szCs w:val="24"/>
        </w:rPr>
        <w:t xml:space="preserve">Transfer learning model trained on Quiver ~18k-gene perturbation dataset</w:t>
      </w:r>
    </w:p>
    <w:p>
      <w:pPr>
        <w:pStyle w:val="ListParagraph"/>
        <w:numPr>
          <w:ilvl w:val="0"/>
          <w:numId w:val="2"/>
        </w:numPr>
        <w:spacing w:after="100" w:line="360"/>
      </w:pPr>
      <w:r>
        <w:rPr>
          <w:rFonts w:ascii="Arial" w:cs="Arial" w:eastAsia="Arial" w:hAnsi="Arial"/>
          <w:sz w:val="24"/>
          <w:szCs w:val="24"/>
        </w:rPr>
        <w:t xml:space="preserve">Cell-type-specific expression patterns and baseline EP phenotypes from Quiver atlas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bioinformatics API (CRISPR knockdown effect queries, EP signature retrieval)</w:t>
      </w:r>
    </w:p>
    <w:p>
      <w:pPr>
        <w:pStyle w:val="ListParagraph"/>
        <w:numPr>
          <w:ilvl w:val="0"/>
          <w:numId w:val="2"/>
        </w:numPr>
        <w:spacing w:after="100" w:line="360"/>
      </w:pPr>
      <w:r>
        <w:rPr>
          <w:rFonts w:ascii="Arial" w:cs="Arial" w:eastAsia="Arial" w:hAnsi="Arial"/>
          <w:sz w:val="24"/>
          <w:szCs w:val="24"/>
        </w:rPr>
        <w:t xml:space="preserve">scikit-learn/TensorFlow transfer learning pipeline (pre-trained on 18k-gene perturbations)</w:t>
      </w:r>
    </w:p>
    <w:p>
      <w:pPr>
        <w:pStyle w:val="ListParagraph"/>
        <w:numPr>
          <w:ilvl w:val="0"/>
          <w:numId w:val="2"/>
        </w:numPr>
        <w:spacing w:after="100" w:line="360"/>
      </w:pPr>
      <w:r>
        <w:rPr>
          <w:rFonts w:ascii="Arial" w:cs="Arial" w:eastAsia="Arial" w:hAnsi="Arial"/>
          <w:sz w:val="24"/>
          <w:szCs w:val="24"/>
        </w:rPr>
        <w:t xml:space="preserve">Custom dose-response fitting code (sigmoid curve fitting for ASO concentration vs. knockdown)</w:t>
      </w:r>
    </w:p>
    <w:p>
      <w:pPr>
        <w:pStyle w:val="ListParagraph"/>
        <w:numPr>
          <w:ilvl w:val="0"/>
          <w:numId w:val="2"/>
        </w:numPr>
        <w:spacing w:after="100" w:line="360"/>
      </w:pPr>
      <w:r>
        <w:rPr>
          <w:rFonts w:ascii="Arial" w:cs="Arial" w:eastAsia="Arial" w:hAnsi="Arial"/>
          <w:sz w:val="24"/>
          <w:szCs w:val="24"/>
        </w:rPr>
        <w:t xml:space="preserve">UMAP/t-SNE dimensionality reduction for 500+ EP feature visualization</w:t>
      </w:r>
    </w:p>
    <w:p>
      <w:pPr>
        <w:pStyle w:val="ListParagraph"/>
        <w:numPr>
          <w:ilvl w:val="0"/>
          <w:numId w:val="2"/>
        </w:numPr>
        <w:spacing w:after="100" w:line="360"/>
      </w:pPr>
      <w:r>
        <w:rPr>
          <w:rFonts w:ascii="Arial" w:cs="Arial" w:eastAsia="Arial" w:hAnsi="Arial"/>
          <w:sz w:val="24"/>
          <w:szCs w:val="24"/>
        </w:rPr>
        <w:t xml:space="preserve">Statistical comparison tools (Wilcoxon/Mann-Whitney tests for disease vs. treated phenotypes)</w:t>
      </w:r>
    </w:p>
    <w:p>
      <w:pPr>
        <w:pStyle w:val="ListParagraph"/>
        <w:numPr>
          <w:ilvl w:val="0"/>
          <w:numId w:val="2"/>
        </w:numPr>
        <w:spacing w:after="100" w:line="360"/>
      </w:pPr>
      <w:r>
        <w:rPr>
          <w:rFonts w:ascii="Arial" w:cs="Arial" w:eastAsia="Arial" w:hAnsi="Arial"/>
          <w:sz w:val="24"/>
          <w:szCs w:val="24"/>
        </w:rPr>
        <w:t xml:space="preserve">Python visualization library (Matplotlib/Plotly) for phenotype trajectory plotting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predicted knockdown efficacy (EC50, maximal knockdown %) for each ASO sequence based on Quiver CRISPR data?</w:t>
      </w:r>
    </w:p>
    <w:p>
      <w:pPr>
        <w:pStyle w:val="ListParagraph"/>
        <w:numPr>
          <w:ilvl w:val="0"/>
          <w:numId w:val="2"/>
        </w:numPr>
        <w:spacing w:after="100" w:line="360"/>
      </w:pPr>
      <w:r>
        <w:rPr>
          <w:rFonts w:ascii="Arial" w:cs="Arial" w:eastAsia="Arial" w:hAnsi="Arial"/>
          <w:sz w:val="24"/>
          <w:szCs w:val="24"/>
        </w:rPr>
        <w:t xml:space="preserve">Which EP features (action potential width, rheobase, burst frequency) show the strongest response to target gene knockdown?</w:t>
      </w:r>
    </w:p>
    <w:p>
      <w:pPr>
        <w:pStyle w:val="ListParagraph"/>
        <w:numPr>
          <w:ilvl w:val="0"/>
          <w:numId w:val="2"/>
        </w:numPr>
        <w:spacing w:after="100" w:line="360"/>
      </w:pPr>
      <w:r>
        <w:rPr>
          <w:rFonts w:ascii="Arial" w:cs="Arial" w:eastAsia="Arial" w:hAnsi="Arial"/>
          <w:sz w:val="24"/>
          <w:szCs w:val="24"/>
        </w:rPr>
        <w:t xml:space="preserve">How do the top 10 ASO sequences rank by predicted rescue of disease-associated EP signatures?</w:t>
      </w:r>
    </w:p>
    <w:p>
      <w:pPr>
        <w:pStyle w:val="ListParagraph"/>
        <w:numPr>
          <w:ilvl w:val="0"/>
          <w:numId w:val="2"/>
        </w:numPr>
        <w:spacing w:after="100" w:line="360"/>
      </w:pPr>
      <w:r>
        <w:rPr>
          <w:rFonts w:ascii="Arial" w:cs="Arial" w:eastAsia="Arial" w:hAnsi="Arial"/>
          <w:sz w:val="24"/>
          <w:szCs w:val="24"/>
        </w:rPr>
        <w:t xml:space="preserve">Can we identify ASO doses that maximize disease phenotype rescue while minimizing off-target neurotoxicity signatures?</w:t>
      </w:r>
    </w:p>
    <w:p>
      <w:pPr>
        <w:pStyle w:val="ListParagraph"/>
        <w:numPr>
          <w:ilvl w:val="0"/>
          <w:numId w:val="2"/>
        </w:numPr>
        <w:spacing w:after="100" w:line="360"/>
      </w:pPr>
      <w:r>
        <w:rPr>
          <w:rFonts w:ascii="Arial" w:cs="Arial" w:eastAsia="Arial" w:hAnsi="Arial"/>
          <w:sz w:val="24"/>
          <w:szCs w:val="24"/>
        </w:rPr>
        <w:t xml:space="preserve">How does ASO efficacy vary across different neuronal cell types from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Dose-response curves for each ASO sequence showing predicted knockdown efficacy (0-100%) across concentration range</w:t>
      </w:r>
    </w:p>
    <w:p>
      <w:pPr>
        <w:pStyle w:val="ListParagraph"/>
        <w:numPr>
          <w:ilvl w:val="0"/>
          <w:numId w:val="2"/>
        </w:numPr>
        <w:spacing w:after="100" w:line="360"/>
      </w:pPr>
      <w:r>
        <w:rPr>
          <w:rFonts w:ascii="Arial" w:cs="Arial" w:eastAsia="Arial" w:hAnsi="Arial"/>
          <w:sz w:val="24"/>
          <w:szCs w:val="24"/>
        </w:rPr>
        <w:t xml:space="preserve">EP signature rescue heatmaps showing predicted changes in 500+ features for top 3 lead ASOs</w:t>
      </w:r>
    </w:p>
    <w:p>
      <w:pPr>
        <w:pStyle w:val="ListParagraph"/>
        <w:numPr>
          <w:ilvl w:val="0"/>
          <w:numId w:val="2"/>
        </w:numPr>
        <w:spacing w:after="100" w:line="360"/>
      </w:pPr>
      <w:r>
        <w:rPr>
          <w:rFonts w:ascii="Arial" w:cs="Arial" w:eastAsia="Arial" w:hAnsi="Arial"/>
          <w:sz w:val="24"/>
          <w:szCs w:val="24"/>
        </w:rPr>
        <w:t xml:space="preserve">Cell-type-specific efficacy rankings (excitatory vs. inhibitory neurons, cerebellar vs. cortical cell types)</w:t>
      </w:r>
    </w:p>
    <w:p>
      <w:pPr>
        <w:pStyle w:val="ListParagraph"/>
        <w:numPr>
          <w:ilvl w:val="0"/>
          <w:numId w:val="2"/>
        </w:numPr>
        <w:spacing w:after="100" w:line="360"/>
      </w:pPr>
      <w:r>
        <w:rPr>
          <w:rFonts w:ascii="Arial" w:cs="Arial" w:eastAsia="Arial" w:hAnsi="Arial"/>
          <w:sz w:val="24"/>
          <w:szCs w:val="24"/>
        </w:rPr>
        <w:t xml:space="preserve">Statistical summary comparing disease vs. ASO-treated EP phenotypes (fold-changes with confidence intervals)</w:t>
      </w:r>
    </w:p>
    <w:p>
      <w:pPr>
        <w:pStyle w:val="ListParagraph"/>
        <w:numPr>
          <w:ilvl w:val="0"/>
          <w:numId w:val="2"/>
        </w:numPr>
        <w:spacing w:after="100" w:line="360"/>
      </w:pPr>
      <w:r>
        <w:rPr>
          <w:rFonts w:ascii="Arial" w:cs="Arial" w:eastAsia="Arial" w:hAnsi="Arial"/>
          <w:sz w:val="24"/>
          <w:szCs w:val="24"/>
        </w:rPr>
        <w:t xml:space="preserve">Top 3 lead ASO sequences with predicted EC50 values, maximal knockdown %, and rescue scores</w:t>
      </w:r>
    </w:p>
    <w:p>
      <w:pPr>
        <w:pStyle w:val="ListParagraph"/>
        <w:numPr>
          <w:ilvl w:val="0"/>
          <w:numId w:val="2"/>
        </w:numPr>
        <w:spacing w:after="100" w:line="360"/>
      </w:pPr>
      <w:r>
        <w:rPr>
          <w:rFonts w:ascii="Arial" w:cs="Arial" w:eastAsia="Arial" w:hAnsi="Arial"/>
          <w:sz w:val="24"/>
          <w:szCs w:val="24"/>
        </w:rPr>
        <w:t xml:space="preserve">Risk assessment report identifying potential off-target effects or neurotoxicity signatures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R/Matplotlib plots + CSV tables with dose-response parameters + JSON EP signature comparisons</w:t>
      </w:r>
    </w:p>
    <w:p>
      <w:pPr>
        <w:pStyle w:val="Heading2"/>
        <w:spacing w:after="200" w:before="200"/>
      </w:pPr>
      <w:r>
        <w:rPr>
          <w:rFonts w:ascii="Arial" w:cs="Arial" w:eastAsia="Arial" w:hAnsi="Arial"/>
          <w:b/>
          <w:bCs/>
          <w:sz w:val="28"/>
          <w:szCs w:val="28"/>
        </w:rPr>
        <w:t xml:space="preserve">Stage 4: Safety &amp; Off-Target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 evaluation of potential off-target effects, immune activation, and cellular toxicity signatures using multimodal prediction approaches.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from Stage 3</w:t>
      </w:r>
    </w:p>
    <w:p>
      <w:pPr>
        <w:pStyle w:val="ListParagraph"/>
        <w:numPr>
          <w:ilvl w:val="0"/>
          <w:numId w:val="2"/>
        </w:numPr>
        <w:spacing w:after="100" w:line="360"/>
      </w:pPr>
      <w:r>
        <w:rPr>
          <w:rFonts w:ascii="Arial" w:cs="Arial" w:eastAsia="Arial" w:hAnsi="Arial"/>
          <w:sz w:val="24"/>
          <w:szCs w:val="24"/>
        </w:rPr>
        <w:t xml:space="preserve">Human transcriptome annotation (Ensembl, RefSeq, LNCpedia for long non-coding RNAs)</w:t>
      </w:r>
    </w:p>
    <w:p>
      <w:pPr>
        <w:pStyle w:val="ListParagraph"/>
        <w:numPr>
          <w:ilvl w:val="0"/>
          <w:numId w:val="2"/>
        </w:numPr>
        <w:spacing w:after="100" w:line="360"/>
      </w:pPr>
      <w:r>
        <w:rPr>
          <w:rFonts w:ascii="Arial" w:cs="Arial" w:eastAsia="Arial" w:hAnsi="Arial"/>
          <w:sz w:val="24"/>
          <w:szCs w:val="24"/>
        </w:rPr>
        <w:t xml:space="preserve">Quiver dataset off-target genes (genes with off-target ASO sequence matches)</w:t>
      </w:r>
    </w:p>
    <w:p>
      <w:pPr>
        <w:pStyle w:val="ListParagraph"/>
        <w:numPr>
          <w:ilvl w:val="0"/>
          <w:numId w:val="2"/>
        </w:numPr>
        <w:spacing w:after="100" w:line="360"/>
      </w:pPr>
      <w:r>
        <w:rPr>
          <w:rFonts w:ascii="Arial" w:cs="Arial" w:eastAsia="Arial" w:hAnsi="Arial"/>
          <w:sz w:val="24"/>
          <w:szCs w:val="24"/>
        </w:rPr>
        <w:t xml:space="preserve">Published toxicology databases (ToxCast, DrugBank adverse events for ASO therapies)</w:t>
      </w:r>
    </w:p>
    <w:p>
      <w:pPr>
        <w:pStyle w:val="ListParagraph"/>
        <w:numPr>
          <w:ilvl w:val="0"/>
          <w:numId w:val="2"/>
        </w:numPr>
        <w:spacing w:after="100" w:line="360"/>
      </w:pPr>
      <w:r>
        <w:rPr>
          <w:rFonts w:ascii="Arial" w:cs="Arial" w:eastAsia="Arial" w:hAnsi="Arial"/>
          <w:sz w:val="24"/>
          <w:szCs w:val="24"/>
        </w:rPr>
        <w:t xml:space="preserve">Immune activation prediction models (Toll-like receptor binding, inflammatory cytokine induction)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BLAST-n/BWA precise off-target sequence mapping (allowing 0-3 mismatches)</w:t>
      </w:r>
    </w:p>
    <w:p>
      <w:pPr>
        <w:pStyle w:val="ListParagraph"/>
        <w:numPr>
          <w:ilvl w:val="0"/>
          <w:numId w:val="2"/>
        </w:numPr>
        <w:spacing w:after="100" w:line="360"/>
      </w:pPr>
      <w:r>
        <w:rPr>
          <w:rFonts w:ascii="Arial" w:cs="Arial" w:eastAsia="Arial" w:hAnsi="Arial"/>
          <w:sz w:val="24"/>
          <w:szCs w:val="24"/>
        </w:rPr>
        <w:t xml:space="preserve">Custom SQL queries against Quiver dataset for off-target CRISPR knockdown signatures</w:t>
      </w:r>
    </w:p>
    <w:p>
      <w:pPr>
        <w:pStyle w:val="ListParagraph"/>
        <w:numPr>
          <w:ilvl w:val="0"/>
          <w:numId w:val="2"/>
        </w:numPr>
        <w:spacing w:after="100" w:line="360"/>
      </w:pPr>
      <w:r>
        <w:rPr>
          <w:rFonts w:ascii="Arial" w:cs="Arial" w:eastAsia="Arial" w:hAnsi="Arial"/>
          <w:sz w:val="24"/>
          <w:szCs w:val="24"/>
        </w:rPr>
        <w:t xml:space="preserve">In silico toxicity prediction tools (admetSAR, DeepTox models adapted for ASOs)</w:t>
      </w:r>
    </w:p>
    <w:p>
      <w:pPr>
        <w:pStyle w:val="ListParagraph"/>
        <w:numPr>
          <w:ilvl w:val="0"/>
          <w:numId w:val="2"/>
        </w:numPr>
        <w:spacing w:after="100" w:line="360"/>
      </w:pPr>
      <w:r>
        <w:rPr>
          <w:rFonts w:ascii="Arial" w:cs="Arial" w:eastAsia="Arial" w:hAnsi="Arial"/>
          <w:sz w:val="24"/>
          <w:szCs w:val="24"/>
        </w:rPr>
        <w:t xml:space="preserve">Immune activation scoring system (TLR-binding affinity, CpG content analysis, dsRNA secondary structure)</w:t>
      </w:r>
    </w:p>
    <w:p>
      <w:pPr>
        <w:pStyle w:val="ListParagraph"/>
        <w:numPr>
          <w:ilvl w:val="0"/>
          <w:numId w:val="2"/>
        </w:numPr>
        <w:spacing w:after="100" w:line="360"/>
      </w:pPr>
      <w:r>
        <w:rPr>
          <w:rFonts w:ascii="Arial" w:cs="Arial" w:eastAsia="Arial" w:hAnsi="Arial"/>
          <w:sz w:val="24"/>
          <w:szCs w:val="24"/>
        </w:rPr>
        <w:t xml:space="preserve">Statistical power analysis for detecting off-target effects in planned preclinical studies</w:t>
      </w:r>
    </w:p>
    <w:p>
      <w:pPr>
        <w:pStyle w:val="ListParagraph"/>
        <w:numPr>
          <w:ilvl w:val="0"/>
          <w:numId w:val="2"/>
        </w:numPr>
        <w:spacing w:after="100" w:line="360"/>
      </w:pPr>
      <w:r>
        <w:rPr>
          <w:rFonts w:ascii="Arial" w:cs="Arial" w:eastAsia="Arial" w:hAnsi="Arial"/>
          <w:sz w:val="24"/>
          <w:szCs w:val="24"/>
        </w:rPr>
        <w:t xml:space="preserve">Literature mining/text analysis tool (PubMed API) for ASO safety profiles in similar disease models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off-target transcripts contain sequences matching each lead ASO with 0-3 nucleotide mismatches?</w:t>
      </w:r>
    </w:p>
    <w:p>
      <w:pPr>
        <w:pStyle w:val="ListParagraph"/>
        <w:numPr>
          <w:ilvl w:val="0"/>
          <w:numId w:val="2"/>
        </w:numPr>
        <w:spacing w:after="100" w:line="360"/>
      </w:pPr>
      <w:r>
        <w:rPr>
          <w:rFonts w:ascii="Arial" w:cs="Arial" w:eastAsia="Arial" w:hAnsi="Arial"/>
          <w:sz w:val="24"/>
          <w:szCs w:val="24"/>
        </w:rPr>
        <w:t xml:space="preserve">Do off-target matches correspond to genes with essential functions or known toxicity liabilities?</w:t>
      </w:r>
    </w:p>
    <w:p>
      <w:pPr>
        <w:pStyle w:val="ListParagraph"/>
        <w:numPr>
          <w:ilvl w:val="0"/>
          <w:numId w:val="2"/>
        </w:numPr>
        <w:spacing w:after="100" w:line="360"/>
      </w:pPr>
      <w:r>
        <w:rPr>
          <w:rFonts w:ascii="Arial" w:cs="Arial" w:eastAsia="Arial" w:hAnsi="Arial"/>
          <w:sz w:val="24"/>
          <w:szCs w:val="24"/>
        </w:rPr>
        <w:t xml:space="preserve">What immune activation signals (TLR-9, dsRNA detection) are predicted for each lead ASO sequence?</w:t>
      </w:r>
    </w:p>
    <w:p>
      <w:pPr>
        <w:pStyle w:val="ListParagraph"/>
        <w:numPr>
          <w:ilvl w:val="0"/>
          <w:numId w:val="2"/>
        </w:numPr>
        <w:spacing w:after="100" w:line="360"/>
      </w:pPr>
      <w:r>
        <w:rPr>
          <w:rFonts w:ascii="Arial" w:cs="Arial" w:eastAsia="Arial" w:hAnsi="Arial"/>
          <w:sz w:val="24"/>
          <w:szCs w:val="24"/>
        </w:rPr>
        <w:t xml:space="preserve">Can we design chemical modifications to reduce immune activation while maintaining on-target potency?</w:t>
      </w:r>
    </w:p>
    <w:p>
      <w:pPr>
        <w:pStyle w:val="ListParagraph"/>
        <w:numPr>
          <w:ilvl w:val="0"/>
          <w:numId w:val="2"/>
        </w:numPr>
        <w:spacing w:after="100" w:line="360"/>
      </w:pPr>
      <w:r>
        <w:rPr>
          <w:rFonts w:ascii="Arial" w:cs="Arial" w:eastAsia="Arial" w:hAnsi="Arial"/>
          <w:sz w:val="24"/>
          <w:szCs w:val="24"/>
        </w:rPr>
        <w:t xml:space="preserve">What neurotoxicity signatures are predicted by Quiver atlas knockdown data for off-target genes?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Off-target analysis table listing all transcripts with &gt;70% sequence homology and predicted knockdown probabilities</w:t>
      </w:r>
    </w:p>
    <w:p>
      <w:pPr>
        <w:pStyle w:val="ListParagraph"/>
        <w:numPr>
          <w:ilvl w:val="0"/>
          <w:numId w:val="2"/>
        </w:numPr>
        <w:spacing w:after="100" w:line="360"/>
      </w:pPr>
      <w:r>
        <w:rPr>
          <w:rFonts w:ascii="Arial" w:cs="Arial" w:eastAsia="Arial" w:hAnsi="Arial"/>
          <w:sz w:val="24"/>
          <w:szCs w:val="24"/>
        </w:rPr>
        <w:t xml:space="preserve">Risk stratification for each off-target (essential gene function, known toxicity, expression in neurons)</w:t>
      </w:r>
    </w:p>
    <w:p>
      <w:pPr>
        <w:pStyle w:val="ListParagraph"/>
        <w:numPr>
          <w:ilvl w:val="0"/>
          <w:numId w:val="2"/>
        </w:numPr>
        <w:spacing w:after="100" w:line="360"/>
      </w:pPr>
      <w:r>
        <w:rPr>
          <w:rFonts w:ascii="Arial" w:cs="Arial" w:eastAsia="Arial" w:hAnsi="Arial"/>
          <w:sz w:val="24"/>
          <w:szCs w:val="24"/>
        </w:rPr>
        <w:t xml:space="preserve">Immune activation scoring report (TLR-9 binding affinity, CpG content, predicted cytokine induction)</w:t>
      </w:r>
    </w:p>
    <w:p>
      <w:pPr>
        <w:pStyle w:val="ListParagraph"/>
        <w:numPr>
          <w:ilvl w:val="0"/>
          <w:numId w:val="2"/>
        </w:numPr>
        <w:spacing w:after="100" w:line="360"/>
      </w:pPr>
      <w:r>
        <w:rPr>
          <w:rFonts w:ascii="Arial" w:cs="Arial" w:eastAsia="Arial" w:hAnsi="Arial"/>
          <w:sz w:val="24"/>
          <w:szCs w:val="24"/>
        </w:rPr>
        <w:t xml:space="preserve">Comparative toxicity profiles for lead ASOs vs. reference ASO therapies in clinical development</w:t>
      </w:r>
    </w:p>
    <w:p>
      <w:pPr>
        <w:pStyle w:val="ListParagraph"/>
        <w:numPr>
          <w:ilvl w:val="0"/>
          <w:numId w:val="2"/>
        </w:numPr>
        <w:spacing w:after="100" w:line="360"/>
      </w:pPr>
      <w:r>
        <w:rPr>
          <w:rFonts w:ascii="Arial" w:cs="Arial" w:eastAsia="Arial" w:hAnsi="Arial"/>
          <w:sz w:val="24"/>
          <w:szCs w:val="24"/>
        </w:rPr>
        <w:t xml:space="preserve">Recommended chemical modification panel for reducing immune activation</w:t>
      </w:r>
    </w:p>
    <w:p>
      <w:pPr>
        <w:pStyle w:val="ListParagraph"/>
        <w:numPr>
          <w:ilvl w:val="0"/>
          <w:numId w:val="2"/>
        </w:numPr>
        <w:spacing w:after="100" w:line="360"/>
      </w:pPr>
      <w:r>
        <w:rPr>
          <w:rFonts w:ascii="Arial" w:cs="Arial" w:eastAsia="Arial" w:hAnsi="Arial"/>
          <w:sz w:val="24"/>
          <w:szCs w:val="24"/>
        </w:rPr>
        <w:t xml:space="preserve">Study design recommendations for preclinical safety evaluation (dose range, monitoring parameters, duration)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off-target tables + PDF risk assessment report + JSON immune activation scores</w:t>
      </w:r>
    </w:p>
    <w:p>
      <w:pPr>
        <w:pStyle w:val="Heading2"/>
        <w:spacing w:after="200" w:before="200"/>
      </w:pPr>
      <w:r>
        <w:rPr>
          <w:rFonts w:ascii="Arial" w:cs="Arial" w:eastAsia="Arial" w:hAnsi="Arial"/>
          <w:b/>
          <w:bCs/>
          <w:sz w:val="28"/>
          <w:szCs w:val="28"/>
        </w:rPr>
        <w:t xml:space="preserve">Stage 5: In Vitro Validation Experimental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preclinical in vitro experiments using patient-derived iPSCs or engineered neuronal systems to experimentally validate ASO efficacy and safety predictions.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and chemical modification recommendations from Stages 2-4</w:t>
      </w:r>
    </w:p>
    <w:p>
      <w:pPr>
        <w:pStyle w:val="ListParagraph"/>
        <w:numPr>
          <w:ilvl w:val="0"/>
          <w:numId w:val="2"/>
        </w:numPr>
        <w:spacing w:after="100" w:line="360"/>
      </w:pPr>
      <w:r>
        <w:rPr>
          <w:rFonts w:ascii="Arial" w:cs="Arial" w:eastAsia="Arial" w:hAnsi="Arial"/>
          <w:sz w:val="24"/>
          <w:szCs w:val="24"/>
        </w:rPr>
        <w:t xml:space="preserve">Quiver EP measurement protocols and cell culture methods</w:t>
      </w:r>
    </w:p>
    <w:p>
      <w:pPr>
        <w:pStyle w:val="ListParagraph"/>
        <w:numPr>
          <w:ilvl w:val="0"/>
          <w:numId w:val="2"/>
        </w:numPr>
        <w:spacing w:after="100" w:line="360"/>
      </w:pPr>
      <w:r>
        <w:rPr>
          <w:rFonts w:ascii="Arial" w:cs="Arial" w:eastAsia="Arial" w:hAnsi="Arial"/>
          <w:sz w:val="24"/>
          <w:szCs w:val="24"/>
        </w:rPr>
        <w:t xml:space="preserve">Patient-derived iPSC lines or engineered neuronal cell lines with disease variants</w:t>
      </w:r>
    </w:p>
    <w:p>
      <w:pPr>
        <w:pStyle w:val="ListParagraph"/>
        <w:numPr>
          <w:ilvl w:val="0"/>
          <w:numId w:val="2"/>
        </w:numPr>
        <w:spacing w:after="100" w:line="360"/>
      </w:pPr>
      <w:r>
        <w:rPr>
          <w:rFonts w:ascii="Arial" w:cs="Arial" w:eastAsia="Arial" w:hAnsi="Arial"/>
          <w:sz w:val="24"/>
          <w:szCs w:val="24"/>
        </w:rPr>
        <w:t xml:space="preserve">Electrophysiology recording equipment specifications (patch-clamp, multi-electrode arrays)</w:t>
      </w:r>
    </w:p>
    <w:p>
      <w:pPr>
        <w:pStyle w:val="ListParagraph"/>
        <w:numPr>
          <w:ilvl w:val="0"/>
          <w:numId w:val="2"/>
        </w:numPr>
        <w:spacing w:after="100" w:line="360"/>
      </w:pPr>
      <w:r>
        <w:rPr>
          <w:rFonts w:ascii="Arial" w:cs="Arial" w:eastAsia="Arial" w:hAnsi="Arial"/>
          <w:sz w:val="24"/>
          <w:szCs w:val="24"/>
        </w:rPr>
        <w:t xml:space="preserve">Transcriptomic and proteomic quantification methods (qPCR, Western blot, RNA-seq, mass spectrometry)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Experimental design software (JMP, GraphPad Prism for statistical power calculations)</w:t>
      </w:r>
    </w:p>
    <w:p>
      <w:pPr>
        <w:pStyle w:val="ListParagraph"/>
        <w:numPr>
          <w:ilvl w:val="0"/>
          <w:numId w:val="2"/>
        </w:numPr>
        <w:spacing w:after="100" w:line="360"/>
      </w:pPr>
      <w:r>
        <w:rPr>
          <w:rFonts w:ascii="Arial" w:cs="Arial" w:eastAsia="Arial" w:hAnsi="Arial"/>
          <w:sz w:val="24"/>
          <w:szCs w:val="24"/>
        </w:rPr>
        <w:t xml:space="preserve">iPSC differentiation protocol databases (WiCell, derived NINDS protocols for neuronal differentiation)</w:t>
      </w:r>
    </w:p>
    <w:p>
      <w:pPr>
        <w:pStyle w:val="ListParagraph"/>
        <w:numPr>
          <w:ilvl w:val="0"/>
          <w:numId w:val="2"/>
        </w:numPr>
        <w:spacing w:after="100" w:line="360"/>
      </w:pPr>
      <w:r>
        <w:rPr>
          <w:rFonts w:ascii="Arial" w:cs="Arial" w:eastAsia="Arial" w:hAnsi="Arial"/>
          <w:sz w:val="24"/>
          <w:szCs w:val="24"/>
        </w:rPr>
        <w:t xml:space="preserve">Quiver neuron recording protocol repositories (patch-clamp electrophysiology SOPs)</w:t>
      </w:r>
    </w:p>
    <w:p>
      <w:pPr>
        <w:pStyle w:val="ListParagraph"/>
        <w:numPr>
          <w:ilvl w:val="0"/>
          <w:numId w:val="2"/>
        </w:numPr>
        <w:spacing w:after="100" w:line="360"/>
      </w:pPr>
      <w:r>
        <w:rPr>
          <w:rFonts w:ascii="Arial" w:cs="Arial" w:eastAsia="Arial" w:hAnsi="Arial"/>
          <w:sz w:val="24"/>
          <w:szCs w:val="24"/>
        </w:rPr>
        <w:t xml:space="preserve">Custom Python/R scripts for experimental data processing and statistical analysis</w:t>
      </w:r>
    </w:p>
    <w:p>
      <w:pPr>
        <w:pStyle w:val="ListParagraph"/>
        <w:numPr>
          <w:ilvl w:val="0"/>
          <w:numId w:val="2"/>
        </w:numPr>
        <w:spacing w:after="100" w:line="360"/>
      </w:pPr>
      <w:r>
        <w:rPr>
          <w:rFonts w:ascii="Arial" w:cs="Arial" w:eastAsia="Arial" w:hAnsi="Arial"/>
          <w:sz w:val="24"/>
          <w:szCs w:val="24"/>
        </w:rPr>
        <w:t xml:space="preserve">Data visualization tools (GraphPad Prism, R ggplot2, matplotlib) for dose-response and kinetic curves</w:t>
      </w:r>
    </w:p>
    <w:p>
      <w:pPr>
        <w:pStyle w:val="ListParagraph"/>
        <w:numPr>
          <w:ilvl w:val="0"/>
          <w:numId w:val="2"/>
        </w:numPr>
        <w:spacing w:after="100" w:line="360"/>
      </w:pPr>
      <w:r>
        <w:rPr>
          <w:rFonts w:ascii="Arial" w:cs="Arial" w:eastAsia="Arial" w:hAnsi="Arial"/>
          <w:sz w:val="24"/>
          <w:szCs w:val="24"/>
        </w:rPr>
        <w:t xml:space="preserve">Bioinformatics pipeline for RNA-seq/proteomics validation (STAR/Salmon alignment, DESeq2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recommended ASO doses, incubation times, and delivery methods for iPSC-derived neurons?</w:t>
      </w:r>
    </w:p>
    <w:p>
      <w:pPr>
        <w:pStyle w:val="ListParagraph"/>
        <w:numPr>
          <w:ilvl w:val="0"/>
          <w:numId w:val="2"/>
        </w:numPr>
        <w:spacing w:after="100" w:line="360"/>
      </w:pPr>
      <w:r>
        <w:rPr>
          <w:rFonts w:ascii="Arial" w:cs="Arial" w:eastAsia="Arial" w:hAnsi="Arial"/>
          <w:sz w:val="24"/>
          <w:szCs w:val="24"/>
        </w:rPr>
        <w:t xml:space="preserve">Which primary readouts (transcript knockdown, protein reduction, EP phenotype rescue) should be prioritized?</w:t>
      </w:r>
    </w:p>
    <w:p>
      <w:pPr>
        <w:pStyle w:val="ListParagraph"/>
        <w:numPr>
          <w:ilvl w:val="0"/>
          <w:numId w:val="2"/>
        </w:numPr>
        <w:spacing w:after="100" w:line="360"/>
      </w:pPr>
      <w:r>
        <w:rPr>
          <w:rFonts w:ascii="Arial" w:cs="Arial" w:eastAsia="Arial" w:hAnsi="Arial"/>
          <w:sz w:val="24"/>
          <w:szCs w:val="24"/>
        </w:rPr>
        <w:t xml:space="preserve">How do we design blinded experiments to minimize observer bias in manual patch-clamp recordings?</w:t>
      </w:r>
    </w:p>
    <w:p>
      <w:pPr>
        <w:pStyle w:val="ListParagraph"/>
        <w:numPr>
          <w:ilvl w:val="0"/>
          <w:numId w:val="2"/>
        </w:numPr>
        <w:spacing w:after="100" w:line="360"/>
      </w:pPr>
      <w:r>
        <w:rPr>
          <w:rFonts w:ascii="Arial" w:cs="Arial" w:eastAsia="Arial" w:hAnsi="Arial"/>
          <w:sz w:val="24"/>
          <w:szCs w:val="24"/>
        </w:rPr>
        <w:t xml:space="preserve">What sample sizes are required to achieve adequate statistical power for detecting ASO efficacy?</w:t>
      </w:r>
    </w:p>
    <w:p>
      <w:pPr>
        <w:pStyle w:val="ListParagraph"/>
        <w:numPr>
          <w:ilvl w:val="0"/>
          <w:numId w:val="2"/>
        </w:numPr>
        <w:spacing w:after="100" w:line="360"/>
      </w:pPr>
      <w:r>
        <w:rPr>
          <w:rFonts w:ascii="Arial" w:cs="Arial" w:eastAsia="Arial" w:hAnsi="Arial"/>
          <w:sz w:val="24"/>
          <w:szCs w:val="24"/>
        </w:rPr>
        <w:t xml:space="preserve">Which off-target genes should be monitored in validation experiments to confirm specificity?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protocol document (step-by-step procedures for iPSC culture, ASO delivery, electrophysiology recording)</w:t>
      </w:r>
    </w:p>
    <w:p>
      <w:pPr>
        <w:pStyle w:val="ListParagraph"/>
        <w:numPr>
          <w:ilvl w:val="0"/>
          <w:numId w:val="2"/>
        </w:numPr>
        <w:spacing w:after="100" w:line="360"/>
      </w:pPr>
      <w:r>
        <w:rPr>
          <w:rFonts w:ascii="Arial" w:cs="Arial" w:eastAsia="Arial" w:hAnsi="Arial"/>
          <w:sz w:val="24"/>
          <w:szCs w:val="24"/>
        </w:rPr>
        <w:t xml:space="preserve">Dose-response study design with recommended ASO concentrations, time points, and sample sizes</w:t>
      </w:r>
    </w:p>
    <w:p>
      <w:pPr>
        <w:pStyle w:val="ListParagraph"/>
        <w:numPr>
          <w:ilvl w:val="0"/>
          <w:numId w:val="2"/>
        </w:numPr>
        <w:spacing w:after="100" w:line="360"/>
      </w:pPr>
      <w:r>
        <w:rPr>
          <w:rFonts w:ascii="Arial" w:cs="Arial" w:eastAsia="Arial" w:hAnsi="Arial"/>
          <w:sz w:val="24"/>
          <w:szCs w:val="24"/>
        </w:rPr>
        <w:t xml:space="preserve">List of primary and secondary readouts with quantification methods and acceptance criteria</w:t>
      </w:r>
    </w:p>
    <w:p>
      <w:pPr>
        <w:pStyle w:val="ListParagraph"/>
        <w:numPr>
          <w:ilvl w:val="0"/>
          <w:numId w:val="2"/>
        </w:numPr>
        <w:spacing w:after="100" w:line="360"/>
      </w:pPr>
      <w:r>
        <w:rPr>
          <w:rFonts w:ascii="Arial" w:cs="Arial" w:eastAsia="Arial" w:hAnsi="Arial"/>
          <w:sz w:val="24"/>
          <w:szCs w:val="24"/>
        </w:rPr>
        <w:t xml:space="preserve">Statistical analysis plan with power calculations and predefined hypothesis tests</w:t>
      </w:r>
    </w:p>
    <w:p>
      <w:pPr>
        <w:pStyle w:val="ListParagraph"/>
        <w:numPr>
          <w:ilvl w:val="0"/>
          <w:numId w:val="2"/>
        </w:numPr>
        <w:spacing w:after="100" w:line="360"/>
      </w:pPr>
      <w:r>
        <w:rPr>
          <w:rFonts w:ascii="Arial" w:cs="Arial" w:eastAsia="Arial" w:hAnsi="Arial"/>
          <w:sz w:val="24"/>
          <w:szCs w:val="24"/>
        </w:rPr>
        <w:t xml:space="preserve">Quality control parameters (cell viability, transfection efficiency, baseline EP stability)</w:t>
      </w:r>
    </w:p>
    <w:p>
      <w:pPr>
        <w:pStyle w:val="ListParagraph"/>
        <w:numPr>
          <w:ilvl w:val="0"/>
          <w:numId w:val="2"/>
        </w:numPr>
        <w:spacing w:after="100" w:line="360"/>
      </w:pPr>
      <w:r>
        <w:rPr>
          <w:rFonts w:ascii="Arial" w:cs="Arial" w:eastAsia="Arial" w:hAnsi="Arial"/>
          <w:sz w:val="24"/>
          <w:szCs w:val="24"/>
        </w:rPr>
        <w:t xml:space="preserve">Timeline and resource requirements for validation studies (timeline, equipment needs, personnel)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protocol document + Excel experimental design spreadsheet + R markdown statistical analysis plan</w:t>
      </w:r>
    </w:p>
    <w:p>
      <w:pPr>
        <w:pStyle w:val="Heading2"/>
        <w:spacing w:after="200" w:before="200"/>
      </w:pPr>
      <w:r>
        <w:rPr>
          <w:rFonts w:ascii="Arial" w:cs="Arial" w:eastAsia="Arial" w:hAnsi="Arial"/>
          <w:b/>
          <w:bCs/>
          <w:sz w:val="28"/>
          <w:szCs w:val="28"/>
        </w:rPr>
        <w:t xml:space="preserve">Stage 6: Preclinical Efficacy Prediction &amp; Lead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in vitro validation data with Quiver atlas predictions to refine lead ASO candidates and recommend optimal clinical candidate with efficacy/safety justification.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In vitro experimental validation results (transcript knockdown, protein reduction, EP phenotype changes)</w:t>
      </w:r>
    </w:p>
    <w:p>
      <w:pPr>
        <w:pStyle w:val="ListParagraph"/>
        <w:numPr>
          <w:ilvl w:val="0"/>
          <w:numId w:val="2"/>
        </w:numPr>
        <w:spacing w:after="100" w:line="360"/>
      </w:pPr>
      <w:r>
        <w:rPr>
          <w:rFonts w:ascii="Arial" w:cs="Arial" w:eastAsia="Arial" w:hAnsi="Arial"/>
          <w:sz w:val="24"/>
          <w:szCs w:val="24"/>
        </w:rPr>
        <w:t xml:space="preserve">Quiver atlas comparative analysis of lead ASO effects vs. CRISPR null phenotypes</w:t>
      </w:r>
    </w:p>
    <w:p>
      <w:pPr>
        <w:pStyle w:val="ListParagraph"/>
        <w:numPr>
          <w:ilvl w:val="0"/>
          <w:numId w:val="2"/>
        </w:numPr>
        <w:spacing w:after="100" w:line="360"/>
      </w:pPr>
      <w:r>
        <w:rPr>
          <w:rFonts w:ascii="Arial" w:cs="Arial" w:eastAsia="Arial" w:hAnsi="Arial"/>
          <w:sz w:val="24"/>
          <w:szCs w:val="24"/>
        </w:rPr>
        <w:t xml:space="preserve">Pharmacokinetic/pharmacodynamic (PK/PD) modeling assumptions for CNS delivery</w:t>
      </w:r>
    </w:p>
    <w:p>
      <w:pPr>
        <w:pStyle w:val="ListParagraph"/>
        <w:numPr>
          <w:ilvl w:val="0"/>
          <w:numId w:val="2"/>
        </w:numPr>
        <w:spacing w:after="100" w:line="360"/>
      </w:pPr>
      <w:r>
        <w:rPr>
          <w:rFonts w:ascii="Arial" w:cs="Arial" w:eastAsia="Arial" w:hAnsi="Arial"/>
          <w:sz w:val="24"/>
          <w:szCs w:val="24"/>
        </w:rPr>
        <w:t xml:space="preserve">Disease natural history data and clinical endpoint definitions for target indication</w:t>
      </w:r>
    </w:p>
    <w:p>
      <w:pPr>
        <w:pStyle w:val="ListParagraph"/>
        <w:numPr>
          <w:ilvl w:val="0"/>
          <w:numId w:val="2"/>
        </w:numPr>
        <w:spacing w:after="100" w:line="360"/>
      </w:pPr>
      <w:r>
        <w:rPr>
          <w:rFonts w:ascii="Arial" w:cs="Arial" w:eastAsia="Arial" w:hAnsi="Arial"/>
          <w:sz w:val="24"/>
          <w:szCs w:val="24"/>
        </w:rPr>
        <w:t xml:space="preserve">Regulatory guidance documents (FDA, EMA) for ASO therapeutic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Nonlinear mixed-effects modeling software (NONMEM, Monolix) for PK/PD analysis</w:t>
      </w:r>
    </w:p>
    <w:p>
      <w:pPr>
        <w:pStyle w:val="ListParagraph"/>
        <w:numPr>
          <w:ilvl w:val="0"/>
          <w:numId w:val="2"/>
        </w:numPr>
        <w:spacing w:after="100" w:line="360"/>
      </w:pPr>
      <w:r>
        <w:rPr>
          <w:rFonts w:ascii="Arial" w:cs="Arial" w:eastAsia="Arial" w:hAnsi="Arial"/>
          <w:sz w:val="24"/>
          <w:szCs w:val="24"/>
        </w:rPr>
        <w:t xml:space="preserve">Bayesian network modeling for integrating multiple evidence sources (in vitro, computational, clinical)</w:t>
      </w:r>
    </w:p>
    <w:p>
      <w:pPr>
        <w:pStyle w:val="ListParagraph"/>
        <w:numPr>
          <w:ilvl w:val="0"/>
          <w:numId w:val="2"/>
        </w:numPr>
        <w:spacing w:after="100" w:line="360"/>
      </w:pPr>
      <w:r>
        <w:rPr>
          <w:rFonts w:ascii="Arial" w:cs="Arial" w:eastAsia="Arial" w:hAnsi="Arial"/>
          <w:sz w:val="24"/>
          <w:szCs w:val="24"/>
        </w:rPr>
        <w:t xml:space="preserve">Machine learning ranking algorithm (XGBoost/LightGBM) to score candidates across multiple criteria</w:t>
      </w:r>
    </w:p>
    <w:p>
      <w:pPr>
        <w:pStyle w:val="ListParagraph"/>
        <w:numPr>
          <w:ilvl w:val="0"/>
          <w:numId w:val="2"/>
        </w:numPr>
        <w:spacing w:after="100" w:line="360"/>
      </w:pPr>
      <w:r>
        <w:rPr>
          <w:rFonts w:ascii="Arial" w:cs="Arial" w:eastAsia="Arial" w:hAnsi="Arial"/>
          <w:sz w:val="24"/>
          <w:szCs w:val="24"/>
        </w:rPr>
        <w:t xml:space="preserve">Custom R/Python visualization (radar charts, forest plots, sensitivity analysis plots)</w:t>
      </w:r>
    </w:p>
    <w:p>
      <w:pPr>
        <w:pStyle w:val="ListParagraph"/>
        <w:numPr>
          <w:ilvl w:val="0"/>
          <w:numId w:val="2"/>
        </w:numPr>
        <w:spacing w:after="100" w:line="360"/>
      </w:pPr>
      <w:r>
        <w:rPr>
          <w:rFonts w:ascii="Arial" w:cs="Arial" w:eastAsia="Arial" w:hAnsi="Arial"/>
          <w:sz w:val="24"/>
          <w:szCs w:val="24"/>
        </w:rPr>
        <w:t xml:space="preserve">Cost-effectiveness modeling and translational feasibility analysis tools</w:t>
      </w:r>
    </w:p>
    <w:p>
      <w:pPr>
        <w:pStyle w:val="ListParagraph"/>
        <w:numPr>
          <w:ilvl w:val="0"/>
          <w:numId w:val="2"/>
        </w:numPr>
        <w:spacing w:after="100" w:line="360"/>
      </w:pPr>
      <w:r>
        <w:rPr>
          <w:rFonts w:ascii="Arial" w:cs="Arial" w:eastAsia="Arial" w:hAnsi="Arial"/>
          <w:sz w:val="24"/>
          <w:szCs w:val="24"/>
        </w:rPr>
        <w:t xml:space="preserve">Literature comparison tools (systematic review template, competitor ASO benchmark database)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does each lead ASO's in vitro knockdown efficacy compare to Quiver CRISPR null knockdown levels?</w:t>
      </w:r>
    </w:p>
    <w:p>
      <w:pPr>
        <w:pStyle w:val="ListParagraph"/>
        <w:numPr>
          <w:ilvl w:val="0"/>
          <w:numId w:val="2"/>
        </w:numPr>
        <w:spacing w:after="100" w:line="360"/>
      </w:pPr>
      <w:r>
        <w:rPr>
          <w:rFonts w:ascii="Arial" w:cs="Arial" w:eastAsia="Arial" w:hAnsi="Arial"/>
          <w:sz w:val="24"/>
          <w:szCs w:val="24"/>
        </w:rPr>
        <w:t xml:space="preserve">What dose-dependent rescue of disease-associated EP signatures is predicted for CNS-delivered ASOs?</w:t>
      </w:r>
    </w:p>
    <w:p>
      <w:pPr>
        <w:pStyle w:val="ListParagraph"/>
        <w:numPr>
          <w:ilvl w:val="0"/>
          <w:numId w:val="2"/>
        </w:numPr>
        <w:spacing w:after="100" w:line="360"/>
      </w:pPr>
      <w:r>
        <w:rPr>
          <w:rFonts w:ascii="Arial" w:cs="Arial" w:eastAsia="Arial" w:hAnsi="Arial"/>
          <w:sz w:val="24"/>
          <w:szCs w:val="24"/>
        </w:rPr>
        <w:t xml:space="preserve">Can we identify an optimal ASO dose/regimen that maximizes therapeutic benefit while minimizing systemic exposure?</w:t>
      </w:r>
    </w:p>
    <w:p>
      <w:pPr>
        <w:pStyle w:val="ListParagraph"/>
        <w:numPr>
          <w:ilvl w:val="0"/>
          <w:numId w:val="2"/>
        </w:numPr>
        <w:spacing w:after="100" w:line="360"/>
      </w:pPr>
      <w:r>
        <w:rPr>
          <w:rFonts w:ascii="Arial" w:cs="Arial" w:eastAsia="Arial" w:hAnsi="Arial"/>
          <w:sz w:val="24"/>
          <w:szCs w:val="24"/>
        </w:rPr>
        <w:t xml:space="preserve">How do lead ASOs compare to published ASO therapies in similar disease indications?</w:t>
      </w:r>
    </w:p>
    <w:p>
      <w:pPr>
        <w:pStyle w:val="ListParagraph"/>
        <w:numPr>
          <w:ilvl w:val="0"/>
          <w:numId w:val="2"/>
        </w:numPr>
        <w:spacing w:after="100" w:line="360"/>
      </w:pPr>
      <w:r>
        <w:rPr>
          <w:rFonts w:ascii="Arial" w:cs="Arial" w:eastAsia="Arial" w:hAnsi="Arial"/>
          <w:sz w:val="24"/>
          <w:szCs w:val="24"/>
        </w:rPr>
        <w:t xml:space="preserve">What are the key risk factors and mitigation strategies for advancing the lead candidate to IND-enabling studies?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Ranking summary of top 3 lead ASOs with integrated efficacy/safety scores and comparative benchmarking</w:t>
      </w:r>
    </w:p>
    <w:p>
      <w:pPr>
        <w:pStyle w:val="ListParagraph"/>
        <w:numPr>
          <w:ilvl w:val="0"/>
          <w:numId w:val="2"/>
        </w:numPr>
        <w:spacing w:after="100" w:line="360"/>
      </w:pPr>
      <w:r>
        <w:rPr>
          <w:rFonts w:ascii="Arial" w:cs="Arial" w:eastAsia="Arial" w:hAnsi="Arial"/>
          <w:sz w:val="24"/>
          <w:szCs w:val="24"/>
        </w:rPr>
        <w:t xml:space="preserve">Recommended clinical candidate with detailed efficacy justification and supporting data from all 5 pipeline stages</w:t>
      </w:r>
    </w:p>
    <w:p>
      <w:pPr>
        <w:pStyle w:val="ListParagraph"/>
        <w:numPr>
          <w:ilvl w:val="0"/>
          <w:numId w:val="2"/>
        </w:numPr>
        <w:spacing w:after="100" w:line="360"/>
      </w:pPr>
      <w:r>
        <w:rPr>
          <w:rFonts w:ascii="Arial" w:cs="Arial" w:eastAsia="Arial" w:hAnsi="Arial"/>
          <w:sz w:val="24"/>
          <w:szCs w:val="24"/>
        </w:rPr>
        <w:t xml:space="preserve">PK/PD modeling predictions for CSF/brain penetration and optimal dosing regimen</w:t>
      </w:r>
    </w:p>
    <w:p>
      <w:pPr>
        <w:pStyle w:val="ListParagraph"/>
        <w:numPr>
          <w:ilvl w:val="0"/>
          <w:numId w:val="2"/>
        </w:numPr>
        <w:spacing w:after="100" w:line="360"/>
      </w:pPr>
      <w:r>
        <w:rPr>
          <w:rFonts w:ascii="Arial" w:cs="Arial" w:eastAsia="Arial" w:hAnsi="Arial"/>
          <w:sz w:val="24"/>
          <w:szCs w:val="24"/>
        </w:rPr>
        <w:t xml:space="preserve">Risk-benefit analysis comparing clinical candidate to alternative therapeutic approaches</w:t>
      </w:r>
    </w:p>
    <w:p>
      <w:pPr>
        <w:pStyle w:val="ListParagraph"/>
        <w:numPr>
          <w:ilvl w:val="0"/>
          <w:numId w:val="2"/>
        </w:numPr>
        <w:spacing w:after="100" w:line="360"/>
      </w:pPr>
      <w:r>
        <w:rPr>
          <w:rFonts w:ascii="Arial" w:cs="Arial" w:eastAsia="Arial" w:hAnsi="Arial"/>
          <w:sz w:val="24"/>
          <w:szCs w:val="24"/>
        </w:rPr>
        <w:t xml:space="preserve">Regulatory strategy document (FDA pre-IND meeting readiness, CMC manufacturing recommendations, GLP study protocols)</w:t>
      </w:r>
    </w:p>
    <w:p>
      <w:pPr>
        <w:pStyle w:val="ListParagraph"/>
        <w:numPr>
          <w:ilvl w:val="0"/>
          <w:numId w:val="2"/>
        </w:numPr>
        <w:spacing w:after="100" w:line="360"/>
      </w:pPr>
      <w:r>
        <w:rPr>
          <w:rFonts w:ascii="Arial" w:cs="Arial" w:eastAsia="Arial" w:hAnsi="Arial"/>
          <w:sz w:val="24"/>
          <w:szCs w:val="24"/>
        </w:rPr>
        <w:t xml:space="preserve">Innovation summary highlighting unique aspects of the ASO candidate (allele-specificity, multi-target design, developmental safety)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PowerPoint presentation with ranked candidate summary + PDF regulatory strategy document + R markdown PK/PD modeling output</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Ensembl/RefSeq/NCBI GenBank genome annotation databases</w:t>
      </w:r>
    </w:p>
    <w:p>
      <w:pPr>
        <w:pStyle w:val="ListParagraph"/>
        <w:numPr>
          <w:ilvl w:val="0"/>
          <w:numId w:val="2"/>
        </w:numPr>
        <w:spacing w:after="100" w:line="360"/>
      </w:pPr>
      <w:r>
        <w:rPr>
          <w:rFonts w:ascii="Arial" w:cs="Arial" w:eastAsia="Arial" w:hAnsi="Arial"/>
          <w:sz w:val="24"/>
          <w:szCs w:val="24"/>
        </w:rPr>
        <w:t xml:space="preserve">Quiver bioinformatics platform (18k-gene CRISPR atlas with ~3,500 compound perturbations)</w:t>
      </w:r>
    </w:p>
    <w:p>
      <w:pPr>
        <w:pStyle w:val="ListParagraph"/>
        <w:numPr>
          <w:ilvl w:val="0"/>
          <w:numId w:val="2"/>
        </w:numPr>
        <w:spacing w:after="100" w:line="360"/>
      </w:pPr>
      <w:r>
        <w:rPr>
          <w:rFonts w:ascii="Arial" w:cs="Arial" w:eastAsia="Arial" w:hAnsi="Arial"/>
          <w:sz w:val="24"/>
          <w:szCs w:val="24"/>
        </w:rPr>
        <w:t xml:space="preserve">Secondary RNA structure prediction tools (RNAstructure, EternaFold, ViennaRNA2, NUPACK)</w:t>
      </w:r>
    </w:p>
    <w:p>
      <w:pPr>
        <w:pStyle w:val="ListParagraph"/>
        <w:numPr>
          <w:ilvl w:val="0"/>
          <w:numId w:val="2"/>
        </w:numPr>
        <w:spacing w:after="100" w:line="360"/>
      </w:pPr>
      <w:r>
        <w:rPr>
          <w:rFonts w:ascii="Arial" w:cs="Arial" w:eastAsia="Arial" w:hAnsi="Arial"/>
          <w:sz w:val="24"/>
          <w:szCs w:val="24"/>
        </w:rPr>
        <w:t xml:space="preserve">Sequence alignment and homology tools (BLAST, MUSCLE, Clustal Omega, Bowtie2, BWA)</w:t>
      </w:r>
    </w:p>
    <w:p>
      <w:pPr>
        <w:pStyle w:val="ListParagraph"/>
        <w:numPr>
          <w:ilvl w:val="0"/>
          <w:numId w:val="2"/>
        </w:numPr>
        <w:spacing w:after="100" w:line="360"/>
      </w:pPr>
      <w:r>
        <w:rPr>
          <w:rFonts w:ascii="Arial" w:cs="Arial" w:eastAsia="Arial" w:hAnsi="Arial"/>
          <w:sz w:val="24"/>
          <w:szCs w:val="24"/>
        </w:rPr>
        <w:t xml:space="preserve">Thermodynamic modeling platforms (OligoCalc, IDT Oligo Analyzer, GENSCAN, RNA binding energy calculators)</w:t>
      </w:r>
    </w:p>
    <w:p>
      <w:pPr>
        <w:pStyle w:val="ListParagraph"/>
        <w:numPr>
          <w:ilvl w:val="0"/>
          <w:numId w:val="2"/>
        </w:numPr>
        <w:spacing w:after="100" w:line="360"/>
      </w:pPr>
      <w:r>
        <w:rPr>
          <w:rFonts w:ascii="Arial" w:cs="Arial" w:eastAsia="Arial" w:hAnsi="Arial"/>
          <w:sz w:val="24"/>
          <w:szCs w:val="24"/>
        </w:rPr>
        <w:t xml:space="preserve">Chemical modification and ASO design software (custom Python/R ASO enumeration scripts, HELM notation tools)</w:t>
      </w:r>
    </w:p>
    <w:p>
      <w:pPr>
        <w:pStyle w:val="ListParagraph"/>
        <w:numPr>
          <w:ilvl w:val="0"/>
          <w:numId w:val="2"/>
        </w:numPr>
        <w:spacing w:after="100" w:line="360"/>
      </w:pPr>
      <w:r>
        <w:rPr>
          <w:rFonts w:ascii="Arial" w:cs="Arial" w:eastAsia="Arial" w:hAnsi="Arial"/>
          <w:sz w:val="24"/>
          <w:szCs w:val="24"/>
        </w:rPr>
        <w:t xml:space="preserve">Machine learning frameworks (scikit-learn, TensorFlow, XGBoost, LightGBM for efficacy and safety prediction)</w:t>
      </w:r>
    </w:p>
    <w:p>
      <w:pPr>
        <w:pStyle w:val="ListParagraph"/>
        <w:numPr>
          <w:ilvl w:val="0"/>
          <w:numId w:val="2"/>
        </w:numPr>
        <w:spacing w:after="100" w:line="360"/>
      </w:pPr>
      <w:r>
        <w:rPr>
          <w:rFonts w:ascii="Arial" w:cs="Arial" w:eastAsia="Arial" w:hAnsi="Arial"/>
          <w:sz w:val="24"/>
          <w:szCs w:val="24"/>
        </w:rPr>
        <w:t xml:space="preserve">Electrophysiology analysis software (Quiver EP feature quantification, patch-clamp recording analysis tools, multi-electrode array analysis)</w:t>
      </w:r>
    </w:p>
    <w:p>
      <w:pPr>
        <w:pStyle w:val="ListParagraph"/>
        <w:numPr>
          <w:ilvl w:val="0"/>
          <w:numId w:val="2"/>
        </w:numPr>
        <w:spacing w:after="100" w:line="360"/>
      </w:pPr>
      <w:r>
        <w:rPr>
          <w:rFonts w:ascii="Arial" w:cs="Arial" w:eastAsia="Arial" w:hAnsi="Arial"/>
          <w:sz w:val="24"/>
          <w:szCs w:val="24"/>
        </w:rPr>
        <w:t xml:space="preserve">Dimensionality reduction and visualization (UMAP, t-SNE, Matplotlib, Plotly, R ggplot2)</w:t>
      </w:r>
    </w:p>
    <w:p>
      <w:pPr>
        <w:pStyle w:val="ListParagraph"/>
        <w:numPr>
          <w:ilvl w:val="0"/>
          <w:numId w:val="2"/>
        </w:numPr>
        <w:spacing w:after="100" w:line="360"/>
      </w:pPr>
      <w:r>
        <w:rPr>
          <w:rFonts w:ascii="Arial" w:cs="Arial" w:eastAsia="Arial" w:hAnsi="Arial"/>
          <w:sz w:val="24"/>
          <w:szCs w:val="24"/>
        </w:rPr>
        <w:t xml:space="preserve">Statistical analysis software (R, Python scipy/statsmodels, GraphPad Prism, SAS/NONMEM for PK/PD modeling)</w:t>
      </w:r>
    </w:p>
    <w:p>
      <w:pPr>
        <w:pStyle w:val="ListParagraph"/>
        <w:numPr>
          <w:ilvl w:val="0"/>
          <w:numId w:val="2"/>
        </w:numPr>
        <w:spacing w:after="100" w:line="360"/>
      </w:pPr>
      <w:r>
        <w:rPr>
          <w:rFonts w:ascii="Arial" w:cs="Arial" w:eastAsia="Arial" w:hAnsi="Arial"/>
          <w:sz w:val="24"/>
          <w:szCs w:val="24"/>
        </w:rPr>
        <w:t xml:space="preserve">Transcriptomics pipeline (STAR/Salmon/Kallisto for RNA-seq alignment, DESeq2/edgeR for differential expression)</w:t>
      </w:r>
    </w:p>
    <w:p>
      <w:pPr>
        <w:pStyle w:val="ListParagraph"/>
        <w:numPr>
          <w:ilvl w:val="0"/>
          <w:numId w:val="2"/>
        </w:numPr>
        <w:spacing w:after="100" w:line="360"/>
      </w:pPr>
      <w:r>
        <w:rPr>
          <w:rFonts w:ascii="Arial" w:cs="Arial" w:eastAsia="Arial" w:hAnsi="Arial"/>
          <w:sz w:val="24"/>
          <w:szCs w:val="24"/>
        </w:rPr>
        <w:t xml:space="preserve">Toxicity and safety prediction (admetSAR, DeepTox, ToxCast database, immune activation scoring models)</w:t>
      </w:r>
    </w:p>
    <w:p>
      <w:pPr>
        <w:pStyle w:val="ListParagraph"/>
        <w:numPr>
          <w:ilvl w:val="0"/>
          <w:numId w:val="2"/>
        </w:numPr>
        <w:spacing w:after="100" w:line="360"/>
      </w:pPr>
      <w:r>
        <w:rPr>
          <w:rFonts w:ascii="Arial" w:cs="Arial" w:eastAsia="Arial" w:hAnsi="Arial"/>
          <w:sz w:val="24"/>
          <w:szCs w:val="24"/>
        </w:rPr>
        <w:t xml:space="preserve">iPSC differentiation protocol repositories and neuronal cell culture optimization databases</w:t>
      </w:r>
    </w:p>
    <w:p>
      <w:pPr>
        <w:pStyle w:val="ListParagraph"/>
        <w:numPr>
          <w:ilvl w:val="0"/>
          <w:numId w:val="2"/>
        </w:numPr>
        <w:spacing w:after="100" w:line="360"/>
      </w:pPr>
      <w:r>
        <w:rPr>
          <w:rFonts w:ascii="Arial" w:cs="Arial" w:eastAsia="Arial" w:hAnsi="Arial"/>
          <w:sz w:val="24"/>
          <w:szCs w:val="24"/>
        </w:rPr>
        <w:t xml:space="preserve">Literature mining and data integration tools (PubMed API, bioRxiv/medRxiv literature aggregation)</w:t>
      </w:r>
    </w:p>
    <w:p>
      <w:pPr>
        <w:pStyle w:val="ListParagraph"/>
        <w:numPr>
          <w:ilvl w:val="0"/>
          <w:numId w:val="2"/>
        </w:numPr>
        <w:spacing w:after="100" w:line="360"/>
      </w:pPr>
      <w:r>
        <w:rPr>
          <w:rFonts w:ascii="Arial" w:cs="Arial" w:eastAsia="Arial" w:hAnsi="Arial"/>
          <w:sz w:val="24"/>
          <w:szCs w:val="24"/>
        </w:rPr>
        <w:t xml:space="preserve">Regulatory and study design tools (FDA guidance document repositories, experimental design software JMP/GraphPad Prism)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2026-03-04T17:50:36.832Z</dcterms:created>
  <dcterms:modified xsi:type="dcterms:W3CDTF">2026-03-04T17:50:36.832Z</dcterms:modified>
</cp:coreProperties>
</file>

<file path=docProps/custom.xml><?xml version="1.0" encoding="utf-8"?>
<Properties xmlns="http://schemas.openxmlformats.org/officeDocument/2006/custom-properties" xmlns:vt="http://schemas.openxmlformats.org/officeDocument/2006/docPropsVTypes"/>
</file>