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Sapphire Pipeline Workflow: TSC2 Chemical Modifications &amp; CNS Stability</w:t>
      </w:r>
    </w:p>
    <w:p>
      <w:pPr>
        <w:spacing w:after="200" w:line="360"/>
      </w:pPr>
      <w:r>
        <w:rPr>
          <w:rFonts w:ascii="Arial" w:cs="Arial" w:eastAsia="Arial" w:hAnsi="Arial"/>
          <w:b/>
          <w:bCs/>
          <w:sz w:val="24"/>
          <w:szCs w:val="24"/>
        </w:rPr>
        <w:t xml:space="preserve">Prompt: </w:t>
      </w:r>
      <w:r>
        <w:rPr>
          <w:rFonts w:ascii="Arial" w:cs="Arial" w:eastAsia="Arial" w:hAnsi="Arial"/>
          <w:sz w:val="24"/>
          <w:szCs w:val="24"/>
        </w:rPr>
        <w:t xml:space="preserve">Design chemically modified ASOs (2'MOE, LNA mixmer, PMO variants) targeting TSC2 and rank by predicted CNS stability and toxicity.</w:t>
      </w:r>
    </w:p>
    <w:p>
      <w:pPr>
        <w:spacing w:after="200" w:line="360"/>
      </w:pPr>
      <w:r>
        <w:rPr>
          <w:rFonts w:ascii="Arial" w:cs="Arial" w:eastAsia="Arial" w:hAnsi="Arial"/>
          <w:sz w:val="24"/>
          <w:szCs w:val="24"/>
        </w:rPr>
        <w:t xml:space="preserve">This pipeline designs and evaluates chemically modified antisense oligonucleotides targeting the TSC2 gene, which encodes the tuberous sclerosis complex 2 protein. TSC2 loss-of-function mutations cause mTOR pathway hyperactivation and seizure susceptibility in tuberous sclerosis. The pipeline systematically compares multiple chemical modifications—2'-O-methoxyethyl (2'MOE) gapmers, locked nucleic acid (LNA) mixmers, and phosphorodiamidate morpholino oligomers (PMO)—to optimize CNS penetration, stability in cerebrospinal fluid (CSF), and minimize hepatotoxicity and nephrotoxicity risks.</w:t>
      </w:r>
    </w:p>
    <w:p>
      <w:pPr>
        <w:spacing w:after="200" w:line="360"/>
      </w:pPr>
      <w:r>
        <w:rPr>
          <w:rFonts w:ascii="Arial" w:cs="Arial" w:eastAsia="Arial" w:hAnsi="Arial"/>
          <w:sz w:val="24"/>
          <w:szCs w:val="24"/>
        </w:rPr>
        <w:t xml:space="preserve">Chemical modification selection directly impacts pharmacokinetic and toxicological profiles. 2'MOE modifications enhance nuclease resistance and target binding affinity but may increase liver metabolic stress. LNA mixmers achieve high Tm with shorter sequences, reducing off-target risk but potentially increasing immunogenicity. PMO variants offer neutral backbones, eliminating charge-mediated cellular uptake but requiring conjugation strategies for CNS delivery. This pipeline ranks candidate ASOs by predicted BBB penetration, metabolic half-life in CSF, hepatic and renal clearance rates, and toxicity indices derived from electrophysiology signatures in the Quiver Bioscience EP CRISPR atlas.</w:t>
      </w:r>
    </w:p>
    <w:p>
      <w:pPr>
        <w:pStyle w:val="Heading2"/>
      </w:pPr>
      <w:r>
        <w:rPr>
          <w:rFonts w:ascii="Arial" w:cs="Arial" w:eastAsia="Arial" w:hAnsi="Arial"/>
          <w:b/>
          <w:bCs/>
          <w:sz w:val="28"/>
          <w:szCs w:val="28"/>
        </w:rPr>
        <w:t xml:space="preserve">Pipeline Overview</w:t>
      </w:r>
    </w:p>
    <w:p>
      <w:pPr>
        <w:spacing w:after="200" w:line="360"/>
      </w:pPr>
      <w:r>
        <w:rPr>
          <w:rFonts w:ascii="Arial" w:cs="Arial" w:eastAsia="Arial" w:hAnsi="Arial"/>
          <w:sz w:val="24"/>
          <w:szCs w:val="24"/>
        </w:rPr>
        <w:t xml:space="preserve">This pipeline designs and evaluates chemically modified antisense oligonucleotides targeting the TSC2 gene, which encodes the tuberous sclerosis complex 2 protein. TSC2 loss-of-function mutations cause mTOR pathway hyperactivation and seizure susceptibility in tuberous sclerosis. The pipeline systematically compares multiple chemical modifications—2'-O-methoxyethyl (2'MOE) gapmers, locked nucleic acid (LNA) mixmers, and phosphorodiamidate morpholino oligomers (PMO)—to optimize CNS penetration, stability in cerebrospinal fluid (CSF), and minimize hepatotoxicity and nephrotoxicity risks.</w:t>
      </w:r>
    </w:p>
    <w:p>
      <w:pPr>
        <w:spacing w:after="200" w:line="360"/>
      </w:pPr>
      <w:r>
        <w:rPr>
          <w:rFonts w:ascii="Arial" w:cs="Arial" w:eastAsia="Arial" w:hAnsi="Arial"/>
          <w:sz w:val="24"/>
          <w:szCs w:val="24"/>
        </w:rPr>
        <w:t xml:space="preserve">Chemical modification selection directly impacts pharmacokinetic and toxicological profiles. 2'MOE modifications enhance nuclease resistance and target binding affinity but may increase liver metabolic stress. LNA mixmers achieve high Tm with shorter sequences, reducing off-target risk but potentially increasing immunogenicity. PMO variants offer neutral backbones, eliminating charge-mediated cellular uptake but requiring conjugation strategies for CNS delivery. This pipeline ranks candidate ASOs by predicted BBB penetration, metabolic half-life in CSF, hepatic and renal clearance rates, and toxicity indices derived from electrophysiology signatures in the Quiver Bioscience EP CRISPR atlas.</w:t>
      </w:r>
    </w:p>
    <w:p>
      <w:pPr>
        <w:pStyle w:val="Heading2"/>
      </w:pPr>
      <w:r>
        <w:rPr>
          <w:rFonts w:ascii="Arial" w:cs="Arial" w:eastAsia="Arial" w:hAnsi="Arial"/>
          <w:b/>
          <w:bCs/>
          <w:sz w:val="28"/>
          <w:szCs w:val="28"/>
        </w:rPr>
        <w:t xml:space="preserve">Stage 1: ASO Sequence Generation &amp; Chemical Scaffold Selection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Generate 50+ TSC2-targeting ASO sequences with systematic variation in chemical modifications (2'MOE gapmers, LNA mixmers, PMO backbones) using motif-aware design algorithms and thermodynamic optimization.</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TSC2 mRNA sequence and full-length genomic coordinates (NM_000548.5, Chr 16q13)</w:t>
      </w:r>
    </w:p>
    <w:p>
      <w:pPr>
        <w:pStyle w:val="ListParagraph"/>
        <w:numPr>
          <w:ilvl w:val="0"/>
          <w:numId w:val="2"/>
        </w:numPr>
        <w:spacing w:after="100" w:line="360"/>
      </w:pPr>
      <w:r>
        <w:rPr>
          <w:rFonts w:ascii="Arial" w:cs="Arial" w:eastAsia="Arial" w:hAnsi="Arial"/>
          <w:sz w:val="24"/>
          <w:szCs w:val="24"/>
        </w:rPr>
        <w:t xml:space="preserve">Target region specifications: exons 1-10, UTR elements, and splice junction sequences</w:t>
      </w:r>
    </w:p>
    <w:p>
      <w:pPr>
        <w:pStyle w:val="ListParagraph"/>
        <w:numPr>
          <w:ilvl w:val="0"/>
          <w:numId w:val="2"/>
        </w:numPr>
        <w:spacing w:after="100" w:line="360"/>
      </w:pPr>
      <w:r>
        <w:rPr>
          <w:rFonts w:ascii="Arial" w:cs="Arial" w:eastAsia="Arial" w:hAnsi="Arial"/>
          <w:sz w:val="24"/>
          <w:szCs w:val="24"/>
        </w:rPr>
        <w:t xml:space="preserve">Chemical modification rules: 2'MOE gapmer templates (8bp gap, 3-5bp wings), LNA mixmer spacing rules (max 3 LNA blocks, 1-2bp native spacers), PMO backbone chemistry</w:t>
      </w:r>
    </w:p>
    <w:p>
      <w:pPr>
        <w:pStyle w:val="ListParagraph"/>
        <w:numPr>
          <w:ilvl w:val="0"/>
          <w:numId w:val="2"/>
        </w:numPr>
        <w:spacing w:after="100" w:line="360"/>
      </w:pPr>
      <w:r>
        <w:rPr>
          <w:rFonts w:ascii="Arial" w:cs="Arial" w:eastAsia="Arial" w:hAnsi="Arial"/>
          <w:sz w:val="24"/>
          <w:szCs w:val="24"/>
        </w:rPr>
        <w:t xml:space="preserve">Quiver Bioscience EP CRISPR atlas baseline neuronal electrophysiology signatures (firing rate, AP amplitude, rheobase) for TSC2-WT controls</w:t>
      </w:r>
    </w:p>
    <w:p>
      <w:pPr>
        <w:pStyle w:val="ListParagraph"/>
        <w:numPr>
          <w:ilvl w:val="0"/>
          <w:numId w:val="2"/>
        </w:numPr>
        <w:spacing w:after="100" w:line="360"/>
      </w:pPr>
      <w:r>
        <w:rPr>
          <w:rFonts w:ascii="Arial" w:cs="Arial" w:eastAsia="Arial" w:hAnsi="Arial"/>
          <w:sz w:val="24"/>
          <w:szCs w:val="24"/>
        </w:rPr>
        <w:t xml:space="preserve">Target occupancy constraints: minimum predicted Tm = 72°C, GC content 40-60%, secondary structure free energy ΔG &lt; -8 kcal/mol</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NUPACK secondary structure prediction with chemical modification compensation factors</w:t>
      </w:r>
    </w:p>
    <w:p>
      <w:pPr>
        <w:pStyle w:val="ListParagraph"/>
        <w:numPr>
          <w:ilvl w:val="0"/>
          <w:numId w:val="2"/>
        </w:numPr>
        <w:spacing w:after="100" w:line="360"/>
      </w:pPr>
      <w:r>
        <w:rPr>
          <w:rFonts w:ascii="Arial" w:cs="Arial" w:eastAsia="Arial" w:hAnsi="Arial"/>
          <w:sz w:val="24"/>
          <w:szCs w:val="24"/>
        </w:rPr>
        <w:t xml:space="preserve">OligoCalc + Tm Calculator for hybrid stability with 2'MOE/LNA/PMO adjustment matrices</w:t>
      </w:r>
    </w:p>
    <w:p>
      <w:pPr>
        <w:pStyle w:val="ListParagraph"/>
        <w:numPr>
          <w:ilvl w:val="0"/>
          <w:numId w:val="2"/>
        </w:numPr>
        <w:spacing w:after="100" w:line="360"/>
      </w:pPr>
      <w:r>
        <w:rPr>
          <w:rFonts w:ascii="Arial" w:cs="Arial" w:eastAsia="Arial" w:hAnsi="Arial"/>
          <w:sz w:val="24"/>
          <w:szCs w:val="24"/>
        </w:rPr>
        <w:t xml:space="preserve">Exon-Exon junction mapper (GENCODE v45) to identify optimal splice-targeting positions</w:t>
      </w:r>
    </w:p>
    <w:p>
      <w:pPr>
        <w:pStyle w:val="ListParagraph"/>
        <w:numPr>
          <w:ilvl w:val="0"/>
          <w:numId w:val="2"/>
        </w:numPr>
        <w:spacing w:after="100" w:line="360"/>
      </w:pPr>
      <w:r>
        <w:rPr>
          <w:rFonts w:ascii="Arial" w:cs="Arial" w:eastAsia="Arial" w:hAnsi="Arial"/>
          <w:sz w:val="24"/>
          <w:szCs w:val="24"/>
        </w:rPr>
        <w:t xml:space="preserve">RNAfold with chemical modification energy contributions for structure-free energy coupling</w:t>
      </w:r>
    </w:p>
    <w:p>
      <w:pPr>
        <w:pStyle w:val="ListParagraph"/>
        <w:numPr>
          <w:ilvl w:val="0"/>
          <w:numId w:val="2"/>
        </w:numPr>
        <w:spacing w:after="100" w:line="360"/>
      </w:pPr>
      <w:r>
        <w:rPr>
          <w:rFonts w:ascii="Arial" w:cs="Arial" w:eastAsia="Arial" w:hAnsi="Arial"/>
          <w:sz w:val="24"/>
          <w:szCs w:val="24"/>
        </w:rPr>
        <w:t xml:space="preserve">Repeat-masking database (Repeatmasker, human build GRCh38) to filter repeat-derived sequences</w:t>
      </w:r>
    </w:p>
    <w:p>
      <w:pPr>
        <w:pStyle w:val="ListParagraph"/>
        <w:numPr>
          <w:ilvl w:val="0"/>
          <w:numId w:val="2"/>
        </w:numPr>
        <w:spacing w:after="100" w:line="360"/>
      </w:pPr>
      <w:r>
        <w:rPr>
          <w:rFonts w:ascii="Arial" w:cs="Arial" w:eastAsia="Arial" w:hAnsi="Arial"/>
          <w:sz w:val="24"/>
          <w:szCs w:val="24"/>
        </w:rPr>
        <w:t xml:space="preserve">BBB penetration predictor (size, charge, logP estimation for each chemical variant)</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Generate 15 unique 2'MOE gapmer sequences targeting exons 2-4 of TSC2 with Tm 74-80°C and minimal predicted secondary structure</w:t>
      </w:r>
    </w:p>
    <w:p>
      <w:pPr>
        <w:pStyle w:val="ListParagraph"/>
        <w:numPr>
          <w:ilvl w:val="0"/>
          <w:numId w:val="2"/>
        </w:numPr>
        <w:spacing w:after="100" w:line="360"/>
      </w:pPr>
      <w:r>
        <w:rPr>
          <w:rFonts w:ascii="Arial" w:cs="Arial" w:eastAsia="Arial" w:hAnsi="Arial"/>
          <w:sz w:val="24"/>
          <w:szCs w:val="24"/>
        </w:rPr>
        <w:t xml:space="preserve">Design 12 LNA mixmer variants spanning the TSC2 exon 5-6 junction with alternating LNA blocks (2-4 LNA per block) optimized for mRNA accessibility</w:t>
      </w:r>
    </w:p>
    <w:p>
      <w:pPr>
        <w:pStyle w:val="ListParagraph"/>
        <w:numPr>
          <w:ilvl w:val="0"/>
          <w:numId w:val="2"/>
        </w:numPr>
        <w:spacing w:after="100" w:line="360"/>
      </w:pPr>
      <w:r>
        <w:rPr>
          <w:rFonts w:ascii="Arial" w:cs="Arial" w:eastAsia="Arial" w:hAnsi="Arial"/>
          <w:sz w:val="24"/>
          <w:szCs w:val="24"/>
        </w:rPr>
        <w:t xml:space="preserve">Create 10 PMO backbone ASO sequences targeting TSC2 regulatory regions with neutral backbone chemistry and predicted cell-penetrating peptide coupling points</w:t>
      </w:r>
    </w:p>
    <w:p>
      <w:pPr>
        <w:pStyle w:val="ListParagraph"/>
        <w:numPr>
          <w:ilvl w:val="0"/>
          <w:numId w:val="2"/>
        </w:numPr>
        <w:spacing w:after="100" w:line="360"/>
      </w:pPr>
      <w:r>
        <w:rPr>
          <w:rFonts w:ascii="Arial" w:cs="Arial" w:eastAsia="Arial" w:hAnsi="Arial"/>
          <w:sz w:val="24"/>
          <w:szCs w:val="24"/>
        </w:rPr>
        <w:t xml:space="preserve">Identify and filter out all sequences with &gt;4 consecutive GC base pairs, &gt;6 nucleotide homopolymeric stretches, and predicted RNA secondary structures with ΔG &lt; -15 kcal/mol</w:t>
      </w:r>
    </w:p>
    <w:p>
      <w:pPr>
        <w:pStyle w:val="ListParagraph"/>
        <w:numPr>
          <w:ilvl w:val="0"/>
          <w:numId w:val="2"/>
        </w:numPr>
        <w:spacing w:after="100" w:line="360"/>
      </w:pPr>
      <w:r>
        <w:rPr>
          <w:rFonts w:ascii="Arial" w:cs="Arial" w:eastAsia="Arial" w:hAnsi="Arial"/>
          <w:sz w:val="24"/>
          <w:szCs w:val="24"/>
        </w:rPr>
        <w:t xml:space="preserve">Rank preliminary 50 candidate sequences by computational Tm, predicted off-target binding sites (BLAST, threshold E-value &lt; 0.01), and secondary structure accessibility scores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Ranked spreadsheet of 50 candidate ASO sequences with chemical modification type, predicted Tm (2'MOE/LNA/PMO-corrected), GC content, length, and structure-free energy</w:t>
      </w:r>
    </w:p>
    <w:p>
      <w:pPr>
        <w:pStyle w:val="ListParagraph"/>
        <w:numPr>
          <w:ilvl w:val="0"/>
          <w:numId w:val="2"/>
        </w:numPr>
        <w:spacing w:after="100" w:line="360"/>
      </w:pPr>
      <w:r>
        <w:rPr>
          <w:rFonts w:ascii="Arial" w:cs="Arial" w:eastAsia="Arial" w:hAnsi="Arial"/>
          <w:sz w:val="24"/>
          <w:szCs w:val="24"/>
        </w:rPr>
        <w:t xml:space="preserve">Position-specific targeting matrix: exon/intron location, distance to splice junctions, predicted target occupancy (0-100%)</w:t>
      </w:r>
    </w:p>
    <w:p>
      <w:pPr>
        <w:pStyle w:val="ListParagraph"/>
        <w:numPr>
          <w:ilvl w:val="0"/>
          <w:numId w:val="2"/>
        </w:numPr>
        <w:spacing w:after="100" w:line="360"/>
      </w:pPr>
      <w:r>
        <w:rPr>
          <w:rFonts w:ascii="Arial" w:cs="Arial" w:eastAsia="Arial" w:hAnsi="Arial"/>
          <w:sz w:val="24"/>
          <w:szCs w:val="24"/>
        </w:rPr>
        <w:t xml:space="preserve">Filtered sequence library with &lt;5% predicted cross-reactivity (off-target BLAST alignments with homology &gt;70%)</w:t>
      </w:r>
    </w:p>
    <w:p>
      <w:pPr>
        <w:pStyle w:val="ListParagraph"/>
        <w:numPr>
          <w:ilvl w:val="0"/>
          <w:numId w:val="2"/>
        </w:numPr>
        <w:spacing w:after="100" w:line="360"/>
      </w:pPr>
      <w:r>
        <w:rPr>
          <w:rFonts w:ascii="Arial" w:cs="Arial" w:eastAsia="Arial" w:hAnsi="Arial"/>
          <w:sz w:val="24"/>
          <w:szCs w:val="24"/>
        </w:rPr>
        <w:t xml:space="preserve">Chemical modification structure diagrams: 2'MOE gapmer gap/wing architecture, LNA block arrangement patterns, PMO backbone topology</w:t>
      </w:r>
    </w:p>
    <w:p>
      <w:pPr>
        <w:pStyle w:val="ListParagraph"/>
        <w:numPr>
          <w:ilvl w:val="0"/>
          <w:numId w:val="2"/>
        </w:numPr>
        <w:spacing w:after="100" w:line="360"/>
      </w:pPr>
      <w:r>
        <w:rPr>
          <w:rFonts w:ascii="Arial" w:cs="Arial" w:eastAsia="Arial" w:hAnsi="Arial"/>
          <w:sz w:val="24"/>
          <w:szCs w:val="24"/>
        </w:rPr>
        <w:t xml:space="preserve">Secondary structure predictions (dot-bracket notation) for top 20 candidates with free energy landscape visualization</w:t>
      </w:r>
    </w:p>
    <w:p>
      <w:pPr>
        <w:pStyle w:val="ListParagraph"/>
        <w:numPr>
          <w:ilvl w:val="0"/>
          <w:numId w:val="2"/>
        </w:numPr>
        <w:spacing w:after="100" w:line="360"/>
      </w:pPr>
      <w:r>
        <w:rPr>
          <w:rFonts w:ascii="Arial" w:cs="Arial" w:eastAsia="Arial" w:hAnsi="Arial"/>
          <w:sz w:val="24"/>
          <w:szCs w:val="24"/>
        </w:rPr>
        <w:t xml:space="preserve">BBB penetration scoring matrix: molecular weight, cLogP, charge state (neutral PMOs, negative 2'MOE/LNA), predicted CNS bioavailability index</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Excel spreadsheet (columns: Sequence ID, Sequence, Chemical Type, Tm, GC%, Length, ΔG, Off-Targets, Structure, BBB Score) + PDF structure diagrams</w:t>
      </w:r>
    </w:p>
    <w:p>
      <w:pPr>
        <w:pStyle w:val="Heading2"/>
      </w:pPr>
      <w:r>
        <w:rPr>
          <w:rFonts w:ascii="Arial" w:cs="Arial" w:eastAsia="Arial" w:hAnsi="Arial"/>
          <w:b/>
          <w:bCs/>
          <w:sz w:val="28"/>
          <w:szCs w:val="28"/>
        </w:rPr>
        <w:t xml:space="preserve">Stage 2: CNS Stability &amp; Pharmacokinetic Modeling</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Predict CNS-specific pharmacokinetic parameters including CSF half-life, blood-brain barrier (BBB) penetration, and steady-state distribution in neuronal compartments using structure-activity models trained on published ASO data.</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50 candidate ASO sequences from Stage 1 with chemical modification type and Tm values</w:t>
      </w:r>
    </w:p>
    <w:p>
      <w:pPr>
        <w:pStyle w:val="ListParagraph"/>
        <w:numPr>
          <w:ilvl w:val="0"/>
          <w:numId w:val="2"/>
        </w:numPr>
        <w:spacing w:after="100" w:line="360"/>
      </w:pPr>
      <w:r>
        <w:rPr>
          <w:rFonts w:ascii="Arial" w:cs="Arial" w:eastAsia="Arial" w:hAnsi="Arial"/>
          <w:sz w:val="24"/>
          <w:szCs w:val="24"/>
        </w:rPr>
        <w:t xml:space="preserve">Published CSF half-life data for 2'MOE ASOs (literature: ~10-20 hours in rodents, ~30-50 hours in primates)</w:t>
      </w:r>
    </w:p>
    <w:p>
      <w:pPr>
        <w:pStyle w:val="ListParagraph"/>
        <w:numPr>
          <w:ilvl w:val="0"/>
          <w:numId w:val="2"/>
        </w:numPr>
        <w:spacing w:after="100" w:line="360"/>
      </w:pPr>
      <w:r>
        <w:rPr>
          <w:rFonts w:ascii="Arial" w:cs="Arial" w:eastAsia="Arial" w:hAnsi="Arial"/>
          <w:sz w:val="24"/>
          <w:szCs w:val="24"/>
        </w:rPr>
        <w:t xml:space="preserve">PMO biodistribution literature (neutral backbone reduces kidney accumulation, CNS penetration variable without conjugation)</w:t>
      </w:r>
    </w:p>
    <w:p>
      <w:pPr>
        <w:pStyle w:val="ListParagraph"/>
        <w:numPr>
          <w:ilvl w:val="0"/>
          <w:numId w:val="2"/>
        </w:numPr>
        <w:spacing w:after="100" w:line="360"/>
      </w:pPr>
      <w:r>
        <w:rPr>
          <w:rFonts w:ascii="Arial" w:cs="Arial" w:eastAsia="Arial" w:hAnsi="Arial"/>
          <w:sz w:val="24"/>
          <w:szCs w:val="24"/>
        </w:rPr>
        <w:t xml:space="preserve">Quiver Bioscience neuronal cell culture conditions: 37°C, pH 7.4, physiological salt, 10% fetal bovine serum</w:t>
      </w:r>
    </w:p>
    <w:p>
      <w:pPr>
        <w:pStyle w:val="ListParagraph"/>
        <w:numPr>
          <w:ilvl w:val="0"/>
          <w:numId w:val="2"/>
        </w:numPr>
        <w:spacing w:after="100" w:line="360"/>
      </w:pPr>
      <w:r>
        <w:rPr>
          <w:rFonts w:ascii="Arial" w:cs="Arial" w:eastAsia="Arial" w:hAnsi="Arial"/>
          <w:sz w:val="24"/>
          <w:szCs w:val="24"/>
        </w:rPr>
        <w:t xml:space="preserve">Blood-brain barrier permeability training set: molecular weight, cLogP, H-bond donors/acceptors for ASO-size molecules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PK-Sim/Simcyp absorption-distribution-metabolism-excretion (ADME) simulator with ASO-specific parameters (slow clearance, saturable nucleotide uptake)</w:t>
      </w:r>
    </w:p>
    <w:p>
      <w:pPr>
        <w:pStyle w:val="ListParagraph"/>
        <w:numPr>
          <w:ilvl w:val="0"/>
          <w:numId w:val="2"/>
        </w:numPr>
        <w:spacing w:after="100" w:line="360"/>
      </w:pPr>
      <w:r>
        <w:rPr>
          <w:rFonts w:ascii="Arial" w:cs="Arial" w:eastAsia="Arial" w:hAnsi="Arial"/>
          <w:sz w:val="24"/>
          <w:szCs w:val="24"/>
        </w:rPr>
        <w:t xml:space="preserve">BBB permeability predictor (logit model): molecular weight, charge, lipophilicity, H-bond interactions</w:t>
      </w:r>
    </w:p>
    <w:p>
      <w:pPr>
        <w:pStyle w:val="ListParagraph"/>
        <w:numPr>
          <w:ilvl w:val="0"/>
          <w:numId w:val="2"/>
        </w:numPr>
        <w:spacing w:after="100" w:line="360"/>
      </w:pPr>
      <w:r>
        <w:rPr>
          <w:rFonts w:ascii="Arial" w:cs="Arial" w:eastAsia="Arial" w:hAnsi="Arial"/>
          <w:sz w:val="24"/>
          <w:szCs w:val="24"/>
        </w:rPr>
        <w:t xml:space="preserve">CSF-to-plasma concentration ratio estimator trained on published ASO pharmacokinetic studies</w:t>
      </w:r>
    </w:p>
    <w:p>
      <w:pPr>
        <w:pStyle w:val="ListParagraph"/>
        <w:numPr>
          <w:ilvl w:val="0"/>
          <w:numId w:val="2"/>
        </w:numPr>
        <w:spacing w:after="100" w:line="360"/>
      </w:pPr>
      <w:r>
        <w:rPr>
          <w:rFonts w:ascii="Arial" w:cs="Arial" w:eastAsia="Arial" w:hAnsi="Arial"/>
          <w:sz w:val="24"/>
          <w:szCs w:val="24"/>
        </w:rPr>
        <w:t xml:space="preserve">Nuclease resistance calculator: chemical modification impact on RNase H1, RNase A, serum nucleotidase degradation rates</w:t>
      </w:r>
    </w:p>
    <w:p>
      <w:pPr>
        <w:pStyle w:val="ListParagraph"/>
        <w:numPr>
          <w:ilvl w:val="0"/>
          <w:numId w:val="2"/>
        </w:numPr>
        <w:spacing w:after="100" w:line="360"/>
      </w:pPr>
      <w:r>
        <w:rPr>
          <w:rFonts w:ascii="Arial" w:cs="Arial" w:eastAsia="Arial" w:hAnsi="Arial"/>
          <w:sz w:val="24"/>
          <w:szCs w:val="24"/>
        </w:rPr>
        <w:t xml:space="preserve">Cellular uptake predictor for neuronal cells (scavenger receptor-mediated vs. non-specific pinocytosis)</w:t>
      </w:r>
    </w:p>
    <w:p>
      <w:pPr>
        <w:pStyle w:val="ListParagraph"/>
        <w:numPr>
          <w:ilvl w:val="0"/>
          <w:numId w:val="2"/>
        </w:numPr>
        <w:spacing w:after="100" w:line="360"/>
      </w:pPr>
      <w:r>
        <w:rPr>
          <w:rFonts w:ascii="Arial" w:cs="Arial" w:eastAsia="Arial" w:hAnsi="Arial"/>
          <w:sz w:val="24"/>
          <w:szCs w:val="24"/>
        </w:rPr>
        <w:t xml:space="preserve">In silico CNS half-life predictor using structure-property relationships from Phase 2/3 CNS ASO trials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Model CSF half-life for each 2'MOE gapmer assuming 2-4 hour plasma elimination and estimated BBB clearance rate of 0.05-0.15 hr^-1</w:t>
      </w:r>
    </w:p>
    <w:p>
      <w:pPr>
        <w:pStyle w:val="ListParagraph"/>
        <w:numPr>
          <w:ilvl w:val="0"/>
          <w:numId w:val="2"/>
        </w:numPr>
        <w:spacing w:after="100" w:line="360"/>
      </w:pPr>
      <w:r>
        <w:rPr>
          <w:rFonts w:ascii="Arial" w:cs="Arial" w:eastAsia="Arial" w:hAnsi="Arial"/>
          <w:sz w:val="24"/>
          <w:szCs w:val="24"/>
        </w:rPr>
        <w:t xml:space="preserve">Calculate predicted renal and hepatic clearance for PMO sequences using neutral backbone pharmacokinetic models and estimate total body clearance</w:t>
      </w:r>
    </w:p>
    <w:p>
      <w:pPr>
        <w:pStyle w:val="ListParagraph"/>
        <w:numPr>
          <w:ilvl w:val="0"/>
          <w:numId w:val="2"/>
        </w:numPr>
        <w:spacing w:after="100" w:line="360"/>
      </w:pPr>
      <w:r>
        <w:rPr>
          <w:rFonts w:ascii="Arial" w:cs="Arial" w:eastAsia="Arial" w:hAnsi="Arial"/>
          <w:sz w:val="24"/>
          <w:szCs w:val="24"/>
        </w:rPr>
        <w:t xml:space="preserve">Estimate steady-state CNS concentration for each LNA mixmer variant assuming once-weekly IV dosing at 10 mg/kg body weight with 30% BBB penetration</w:t>
      </w:r>
    </w:p>
    <w:p>
      <w:pPr>
        <w:pStyle w:val="ListParagraph"/>
        <w:numPr>
          <w:ilvl w:val="0"/>
          <w:numId w:val="2"/>
        </w:numPr>
        <w:spacing w:after="100" w:line="360"/>
      </w:pPr>
      <w:r>
        <w:rPr>
          <w:rFonts w:ascii="Arial" w:cs="Arial" w:eastAsia="Arial" w:hAnsi="Arial"/>
          <w:sz w:val="24"/>
          <w:szCs w:val="24"/>
        </w:rPr>
        <w:t xml:space="preserve">Predict RNase H1 activity potency for each 2'MOE gapmer based on gap size (8bp standard) and wing modification density</w:t>
      </w:r>
    </w:p>
    <w:p>
      <w:pPr>
        <w:pStyle w:val="ListParagraph"/>
        <w:numPr>
          <w:ilvl w:val="0"/>
          <w:numId w:val="2"/>
        </w:numPr>
        <w:spacing w:after="100" w:line="360"/>
      </w:pPr>
      <w:r>
        <w:rPr>
          <w:rFonts w:ascii="Arial" w:cs="Arial" w:eastAsia="Arial" w:hAnsi="Arial"/>
          <w:sz w:val="24"/>
          <w:szCs w:val="24"/>
        </w:rPr>
        <w:t xml:space="preserve">Rank sequences by predicted therapeutic index: CNS target occupancy efficiency / peripheral tissue toxicity risk ratio</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Predicted pharmacokinetic parameters table: CNS half-life, plasma half-life, BBB Papp (permeability), steady-state Css, clearance rate (CL/F)</w:t>
      </w:r>
    </w:p>
    <w:p>
      <w:pPr>
        <w:pStyle w:val="ListParagraph"/>
        <w:numPr>
          <w:ilvl w:val="0"/>
          <w:numId w:val="2"/>
        </w:numPr>
        <w:spacing w:after="100" w:line="360"/>
      </w:pPr>
      <w:r>
        <w:rPr>
          <w:rFonts w:ascii="Arial" w:cs="Arial" w:eastAsia="Arial" w:hAnsi="Arial"/>
          <w:sz w:val="24"/>
          <w:szCs w:val="24"/>
        </w:rPr>
        <w:t xml:space="preserve">CNS dose-response modeling: predicted % target mRNA knockdown vs. CNS ASO concentration (EC50 estimates from literature)</w:t>
      </w:r>
    </w:p>
    <w:p>
      <w:pPr>
        <w:pStyle w:val="ListParagraph"/>
        <w:numPr>
          <w:ilvl w:val="0"/>
          <w:numId w:val="2"/>
        </w:numPr>
        <w:spacing w:after="100" w:line="360"/>
      </w:pPr>
      <w:r>
        <w:rPr>
          <w:rFonts w:ascii="Arial" w:cs="Arial" w:eastAsia="Arial" w:hAnsi="Arial"/>
          <w:sz w:val="24"/>
          <w:szCs w:val="24"/>
        </w:rPr>
        <w:t xml:space="preserve">Nuclease resistance ranking: predicted half-life in serum, CSF, and neuronal lysates for each chemical modification</w:t>
      </w:r>
    </w:p>
    <w:p>
      <w:pPr>
        <w:pStyle w:val="ListParagraph"/>
        <w:numPr>
          <w:ilvl w:val="0"/>
          <w:numId w:val="2"/>
        </w:numPr>
        <w:spacing w:after="100" w:line="360"/>
      </w:pPr>
      <w:r>
        <w:rPr>
          <w:rFonts w:ascii="Arial" w:cs="Arial" w:eastAsia="Arial" w:hAnsi="Arial"/>
          <w:sz w:val="24"/>
          <w:szCs w:val="24"/>
        </w:rPr>
        <w:t xml:space="preserve">BBB penetration probability for each sequence: logit-predicted % CNS bioavailability with 95% confidence intervals</w:t>
      </w:r>
    </w:p>
    <w:p>
      <w:pPr>
        <w:pStyle w:val="ListParagraph"/>
        <w:numPr>
          <w:ilvl w:val="0"/>
          <w:numId w:val="2"/>
        </w:numPr>
        <w:spacing w:after="100" w:line="360"/>
      </w:pPr>
      <w:r>
        <w:rPr>
          <w:rFonts w:ascii="Arial" w:cs="Arial" w:eastAsia="Arial" w:hAnsi="Arial"/>
          <w:sz w:val="24"/>
          <w:szCs w:val="24"/>
        </w:rPr>
        <w:t xml:space="preserve">Tissue distribution predictions: relative accumulation in liver, kidney, spleen, and brain (CNS vs. periphery ratio)</w:t>
      </w:r>
    </w:p>
    <w:p>
      <w:pPr>
        <w:pStyle w:val="ListParagraph"/>
        <w:numPr>
          <w:ilvl w:val="0"/>
          <w:numId w:val="2"/>
        </w:numPr>
        <w:spacing w:after="100" w:line="360"/>
      </w:pPr>
      <w:r>
        <w:rPr>
          <w:rFonts w:ascii="Arial" w:cs="Arial" w:eastAsia="Arial" w:hAnsi="Arial"/>
          <w:sz w:val="24"/>
          <w:szCs w:val="24"/>
        </w:rPr>
        <w:t xml:space="preserve">PK/PD integration: predicted therapeutic window (dose range for 70-90% target occupancy without &gt;2-fold organ accumulation toxicity threshold)</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CSV pharmacokinetic table (Sequence ID, Chemical Type, t½ CNS, t½ Plasma, BBB Papp, Css, CL/F, RNase Activity, Tissue Dist) + graphical PK curves</w:t>
      </w:r>
    </w:p>
    <w:p>
      <w:pPr>
        <w:pStyle w:val="Heading2"/>
      </w:pPr>
      <w:r>
        <w:rPr>
          <w:rFonts w:ascii="Arial" w:cs="Arial" w:eastAsia="Arial" w:hAnsi="Arial"/>
          <w:b/>
          <w:bCs/>
          <w:sz w:val="28"/>
          <w:szCs w:val="28"/>
        </w:rPr>
        <w:t xml:space="preserve">Stage 3: Toxicity &amp; Immunogenicity Risk Scoring</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Predict hepatotoxicity and nephrotoxicity indices, immunogenicity potentials, and off-target toxicity mechanisms using structure-based risk models and neuronal EP signatures from Quiver atlas.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50 candidate ASO sequences with chemical modifications and predicted CNS pharmacokinetics</w:t>
      </w:r>
    </w:p>
    <w:p>
      <w:pPr>
        <w:pStyle w:val="ListParagraph"/>
        <w:numPr>
          <w:ilvl w:val="0"/>
          <w:numId w:val="2"/>
        </w:numPr>
        <w:spacing w:after="100" w:line="360"/>
      </w:pPr>
      <w:r>
        <w:rPr>
          <w:rFonts w:ascii="Arial" w:cs="Arial" w:eastAsia="Arial" w:hAnsi="Arial"/>
          <w:sz w:val="24"/>
          <w:szCs w:val="24"/>
        </w:rPr>
        <w:t xml:space="preserve">Quiver Bioscience EP CRISPR atlas baseline signatures: ~18k gene perturbation profiles including hepatocyte (SK-HEP-1), kidney (HEK293), neuronal (iPSC-cortex) firing patterns</w:t>
      </w:r>
    </w:p>
    <w:p>
      <w:pPr>
        <w:pStyle w:val="ListParagraph"/>
        <w:numPr>
          <w:ilvl w:val="0"/>
          <w:numId w:val="2"/>
        </w:numPr>
        <w:spacing w:after="100" w:line="360"/>
      </w:pPr>
      <w:r>
        <w:rPr>
          <w:rFonts w:ascii="Arial" w:cs="Arial" w:eastAsia="Arial" w:hAnsi="Arial"/>
          <w:sz w:val="24"/>
          <w:szCs w:val="24"/>
        </w:rPr>
        <w:t xml:space="preserve">Known hepatotoxicity triggers: polyunsaturated nucleotide motifs, &gt;6bp homopolymeric AU/GC blocks, predicted TLR activation motifs</w:t>
      </w:r>
    </w:p>
    <w:p>
      <w:pPr>
        <w:pStyle w:val="ListParagraph"/>
        <w:numPr>
          <w:ilvl w:val="0"/>
          <w:numId w:val="2"/>
        </w:numPr>
        <w:spacing w:after="100" w:line="360"/>
      </w:pPr>
      <w:r>
        <w:rPr>
          <w:rFonts w:ascii="Arial" w:cs="Arial" w:eastAsia="Arial" w:hAnsi="Arial"/>
          <w:sz w:val="24"/>
          <w:szCs w:val="24"/>
        </w:rPr>
        <w:t xml:space="preserve">Immunogenicity risk factors: unmethylated CpG dinucleotides (TLR9 activation), dsRNA-like secondary structures, pseudouridine-depleted regions</w:t>
      </w:r>
    </w:p>
    <w:p>
      <w:pPr>
        <w:pStyle w:val="ListParagraph"/>
        <w:numPr>
          <w:ilvl w:val="0"/>
          <w:numId w:val="2"/>
        </w:numPr>
        <w:spacing w:after="100" w:line="360"/>
      </w:pPr>
      <w:r>
        <w:rPr>
          <w:rFonts w:ascii="Arial" w:cs="Arial" w:eastAsia="Arial" w:hAnsi="Arial"/>
          <w:sz w:val="24"/>
          <w:szCs w:val="24"/>
        </w:rPr>
        <w:t xml:space="preserve">Off-target binding predictions: genome-wide search against transcriptome with seed-region homology (positions 1-8 of ASO) and predicted mRNA binding free energy</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ToxCompass ASO toxicity predictor: hepatotoxicity score, kidney injury risk, immune activation index (0-100 scale)</w:t>
      </w:r>
    </w:p>
    <w:p>
      <w:pPr>
        <w:pStyle w:val="ListParagraph"/>
        <w:numPr>
          <w:ilvl w:val="0"/>
          <w:numId w:val="2"/>
        </w:numPr>
        <w:spacing w:after="100" w:line="360"/>
      </w:pPr>
      <w:r>
        <w:rPr>
          <w:rFonts w:ascii="Arial" w:cs="Arial" w:eastAsia="Arial" w:hAnsi="Arial"/>
          <w:sz w:val="24"/>
          <w:szCs w:val="24"/>
        </w:rPr>
        <w:t xml:space="preserve">CpG island detector: unmethylated CpG frequency and predicted TLR9 activation potential</w:t>
      </w:r>
    </w:p>
    <w:p>
      <w:pPr>
        <w:pStyle w:val="ListParagraph"/>
        <w:numPr>
          <w:ilvl w:val="0"/>
          <w:numId w:val="2"/>
        </w:numPr>
        <w:spacing w:after="100" w:line="360"/>
      </w:pPr>
      <w:r>
        <w:rPr>
          <w:rFonts w:ascii="Arial" w:cs="Arial" w:eastAsia="Arial" w:hAnsi="Arial"/>
          <w:sz w:val="24"/>
          <w:szCs w:val="24"/>
        </w:rPr>
        <w:t xml:space="preserve">Seed-region off-target searcher: BLAST against human transcriptome (RefSeq, positions 1-8) with RNAhybrid predicted ΔG</w:t>
      </w:r>
    </w:p>
    <w:p>
      <w:pPr>
        <w:pStyle w:val="ListParagraph"/>
        <w:numPr>
          <w:ilvl w:val="0"/>
          <w:numId w:val="2"/>
        </w:numPr>
        <w:spacing w:after="100" w:line="360"/>
      </w:pPr>
      <w:r>
        <w:rPr>
          <w:rFonts w:ascii="Arial" w:cs="Arial" w:eastAsia="Arial" w:hAnsi="Arial"/>
          <w:sz w:val="24"/>
          <w:szCs w:val="24"/>
        </w:rPr>
        <w:t xml:space="preserve">Immunogenicity risk assessor: polyI:C mimicry prediction, innate immune sensor motif detection (TLR3, TLR7/8, RIG-I)</w:t>
      </w:r>
    </w:p>
    <w:p>
      <w:pPr>
        <w:pStyle w:val="ListParagraph"/>
        <w:numPr>
          <w:ilvl w:val="0"/>
          <w:numId w:val="2"/>
        </w:numPr>
        <w:spacing w:after="100" w:line="360"/>
      </w:pPr>
      <w:r>
        <w:rPr>
          <w:rFonts w:ascii="Arial" w:cs="Arial" w:eastAsia="Arial" w:hAnsi="Arial"/>
          <w:sz w:val="24"/>
          <w:szCs w:val="24"/>
        </w:rPr>
        <w:t xml:space="preserve">Quiver EP atlas toxicity signature matcher: ASO sequence vs. gene-perturbation profiles for hepatotoxic/nephrotoxic genes (e.g., ALT elevation markers, kidney injury molecules)</w:t>
      </w:r>
    </w:p>
    <w:p>
      <w:pPr>
        <w:pStyle w:val="ListParagraph"/>
        <w:numPr>
          <w:ilvl w:val="0"/>
          <w:numId w:val="2"/>
        </w:numPr>
        <w:spacing w:after="100" w:line="360"/>
      </w:pPr>
      <w:r>
        <w:rPr>
          <w:rFonts w:ascii="Arial" w:cs="Arial" w:eastAsia="Arial" w:hAnsi="Arial"/>
          <w:sz w:val="24"/>
          <w:szCs w:val="24"/>
        </w:rPr>
        <w:t xml:space="preserve">Chemical modification immunogenicity adjuster: 2'MOE reduces immunogenicity vs. native; LNA/PMO immunogenicity risk varies by modification density</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Score each 2'MOE gapmer for hepatotoxicity risk using polyunsaturated motif detection, homopolymeric stretch length penalties, and predicted liver-specific mRNA off-targets</w:t>
      </w:r>
    </w:p>
    <w:p>
      <w:pPr>
        <w:pStyle w:val="ListParagraph"/>
        <w:numPr>
          <w:ilvl w:val="0"/>
          <w:numId w:val="2"/>
        </w:numPr>
        <w:spacing w:after="100" w:line="360"/>
      </w:pPr>
      <w:r>
        <w:rPr>
          <w:rFonts w:ascii="Arial" w:cs="Arial" w:eastAsia="Arial" w:hAnsi="Arial"/>
          <w:sz w:val="24"/>
          <w:szCs w:val="24"/>
        </w:rPr>
        <w:t xml:space="preserve">Identify and flag all sequences with unmethylated CpG dinucleotides and predict TLR9-mediated innate immune activation potency</w:t>
      </w:r>
    </w:p>
    <w:p>
      <w:pPr>
        <w:pStyle w:val="ListParagraph"/>
        <w:numPr>
          <w:ilvl w:val="0"/>
          <w:numId w:val="2"/>
        </w:numPr>
        <w:spacing w:after="100" w:line="360"/>
      </w:pPr>
      <w:r>
        <w:rPr>
          <w:rFonts w:ascii="Arial" w:cs="Arial" w:eastAsia="Arial" w:hAnsi="Arial"/>
          <w:sz w:val="24"/>
          <w:szCs w:val="24"/>
        </w:rPr>
        <w:t xml:space="preserve">Calculate nephrotoxicity index for PMO sequences based on predicted renal accumulation, kidney injury molecule off-target matches, and glomerular basement membrane interaction potential</w:t>
      </w:r>
    </w:p>
    <w:p>
      <w:pPr>
        <w:pStyle w:val="ListParagraph"/>
        <w:numPr>
          <w:ilvl w:val="0"/>
          <w:numId w:val="2"/>
        </w:numPr>
        <w:spacing w:after="100" w:line="360"/>
      </w:pPr>
      <w:r>
        <w:rPr>
          <w:rFonts w:ascii="Arial" w:cs="Arial" w:eastAsia="Arial" w:hAnsi="Arial"/>
          <w:sz w:val="24"/>
          <w:szCs w:val="24"/>
        </w:rPr>
        <w:t xml:space="preserve">Screen for secondary structure-based immunogenicity triggers (predicted dsRNA-like hairpins &gt;8bp with ΔG &lt; -10 kcal/mol that mimic viral dsRNA)</w:t>
      </w:r>
    </w:p>
    <w:p>
      <w:pPr>
        <w:pStyle w:val="ListParagraph"/>
        <w:numPr>
          <w:ilvl w:val="0"/>
          <w:numId w:val="2"/>
        </w:numPr>
        <w:spacing w:after="100" w:line="360"/>
      </w:pPr>
      <w:r>
        <w:rPr>
          <w:rFonts w:ascii="Arial" w:cs="Arial" w:eastAsia="Arial" w:hAnsi="Arial"/>
          <w:sz w:val="24"/>
          <w:szCs w:val="24"/>
        </w:rPr>
        <w:t xml:space="preserve">Rank sequences by integrated toxicity score: sum of hepatotoxicity (40% weight) + nephrotoxicity (30%) + immunogenicity (20%) + off-target risk (10%)</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Toxicity risk matrix: Sequence ID, Hepatotoxicity Score (0-100), Nephrotoxicity Score (0-100), Immunogenicity Index, CpG Count, Off-Target Count (seed region)</w:t>
      </w:r>
    </w:p>
    <w:p>
      <w:pPr>
        <w:pStyle w:val="ListParagraph"/>
        <w:numPr>
          <w:ilvl w:val="0"/>
          <w:numId w:val="2"/>
        </w:numPr>
        <w:spacing w:after="100" w:line="360"/>
      </w:pPr>
      <w:r>
        <w:rPr>
          <w:rFonts w:ascii="Arial" w:cs="Arial" w:eastAsia="Arial" w:hAnsi="Arial"/>
          <w:sz w:val="24"/>
          <w:szCs w:val="24"/>
        </w:rPr>
        <w:t xml:space="preserve">Off-target binding table: top 10 off-target transcripts per sequence, predicted ΔG, seed-region match positions, tissue-specificity (liver/kidney enrichment)</w:t>
      </w:r>
    </w:p>
    <w:p>
      <w:pPr>
        <w:pStyle w:val="ListParagraph"/>
        <w:numPr>
          <w:ilvl w:val="0"/>
          <w:numId w:val="2"/>
        </w:numPr>
        <w:spacing w:after="100" w:line="360"/>
      </w:pPr>
      <w:r>
        <w:rPr>
          <w:rFonts w:ascii="Arial" w:cs="Arial" w:eastAsia="Arial" w:hAnsi="Arial"/>
          <w:sz w:val="24"/>
          <w:szCs w:val="24"/>
        </w:rPr>
        <w:t xml:space="preserve">Immunogenicity risk report: CpG dinucleotide locations, predicted TLR motifs, dsRNA mimicry potential, chemical-modification immune tolerance score</w:t>
      </w:r>
    </w:p>
    <w:p>
      <w:pPr>
        <w:pStyle w:val="ListParagraph"/>
        <w:numPr>
          <w:ilvl w:val="0"/>
          <w:numId w:val="2"/>
        </w:numPr>
        <w:spacing w:after="100" w:line="360"/>
      </w:pPr>
      <w:r>
        <w:rPr>
          <w:rFonts w:ascii="Arial" w:cs="Arial" w:eastAsia="Arial" w:hAnsi="Arial"/>
          <w:sz w:val="24"/>
          <w:szCs w:val="24"/>
        </w:rPr>
        <w:t xml:space="preserve">Hepatotoxicity mechanism predictions: specific polyunsaturated motifs, liver-specific mRNA off-targets (ALT, AST, CYP450 inducers), predicted liver injury markers</w:t>
      </w:r>
    </w:p>
    <w:p>
      <w:pPr>
        <w:pStyle w:val="ListParagraph"/>
        <w:numPr>
          <w:ilvl w:val="0"/>
          <w:numId w:val="2"/>
        </w:numPr>
        <w:spacing w:after="100" w:line="360"/>
      </w:pPr>
      <w:r>
        <w:rPr>
          <w:rFonts w:ascii="Arial" w:cs="Arial" w:eastAsia="Arial" w:hAnsi="Arial"/>
          <w:sz w:val="24"/>
          <w:szCs w:val="24"/>
        </w:rPr>
        <w:t xml:space="preserve">Nephrotoxicity mechanism predictions: kidney-specific mRNA off-targets, glomerular injury gene off-targets, predicted markers of kidney dysfunction (creatinine, BUN elevators)</w:t>
      </w:r>
    </w:p>
    <w:p>
      <w:pPr>
        <w:pStyle w:val="ListParagraph"/>
        <w:numPr>
          <w:ilvl w:val="0"/>
          <w:numId w:val="2"/>
        </w:numPr>
        <w:spacing w:after="100" w:line="360"/>
      </w:pPr>
      <w:r>
        <w:rPr>
          <w:rFonts w:ascii="Arial" w:cs="Arial" w:eastAsia="Arial" w:hAnsi="Arial"/>
          <w:sz w:val="24"/>
          <w:szCs w:val="24"/>
        </w:rPr>
        <w:t xml:space="preserve">Integrated toxicity ranking: Risk-benefit ratio (% predicted on-target efficacy vs. toxicity score), therapeutic window assessment, recommendation of top 10 lowest-risk sequences</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Excel risk matrix (Sequence ID, Hepato Score, Nephro Score, Immuno Index, Off-Target Count, Total Risk Score, Recommendation) + detailed toxicity mechanism tables</w:t>
      </w:r>
    </w:p>
    <w:p>
      <w:pPr>
        <w:pStyle w:val="Heading2"/>
      </w:pPr>
      <w:r>
        <w:rPr>
          <w:rFonts w:ascii="Arial" w:cs="Arial" w:eastAsia="Arial" w:hAnsi="Arial"/>
          <w:b/>
          <w:bCs/>
          <w:sz w:val="28"/>
          <w:szCs w:val="28"/>
        </w:rPr>
        <w:t xml:space="preserve">Stage 4: Backbone Chemistry Optimization &amp; Trade-off Analysis</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Systematically evaluate tradeoffs between phosphorothioate (PS) vs. neutral backbones, 2'MOE vs. LNA vs. PMO chemistry, and cost-efficacy for each candidate sequence.</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50 candidate sequences with toxicity/immunogenicity scores and CNS pharmacokinetic predictions</w:t>
      </w:r>
    </w:p>
    <w:p>
      <w:pPr>
        <w:pStyle w:val="ListParagraph"/>
        <w:numPr>
          <w:ilvl w:val="0"/>
          <w:numId w:val="2"/>
        </w:numPr>
        <w:spacing w:after="100" w:line="360"/>
      </w:pPr>
      <w:r>
        <w:rPr>
          <w:rFonts w:ascii="Arial" w:cs="Arial" w:eastAsia="Arial" w:hAnsi="Arial"/>
          <w:sz w:val="24"/>
          <w:szCs w:val="24"/>
        </w:rPr>
        <w:t xml:space="preserve">Chemical modification cost matrix: 2'MOE synthesis (0.65 USD/nmol), LNA (1.20 USD/nmol), PMO (2.50 USD/nmol), PS backbone (standard), neutral backbone (2x cost premium)</w:t>
      </w:r>
    </w:p>
    <w:p>
      <w:pPr>
        <w:pStyle w:val="ListParagraph"/>
        <w:numPr>
          <w:ilvl w:val="0"/>
          <w:numId w:val="2"/>
        </w:numPr>
        <w:spacing w:after="100" w:line="360"/>
      </w:pPr>
      <w:r>
        <w:rPr>
          <w:rFonts w:ascii="Arial" w:cs="Arial" w:eastAsia="Arial" w:hAnsi="Arial"/>
          <w:sz w:val="24"/>
          <w:szCs w:val="24"/>
        </w:rPr>
        <w:t xml:space="preserve">Binding affinity data: 2'MOE provides +1.0-1.5°C Tm per 2'MOE; LNA +2.5-3.0°C per LNA; PMO neutral backbone decreases Tm by ~1-2°C</w:t>
      </w:r>
    </w:p>
    <w:p>
      <w:pPr>
        <w:pStyle w:val="ListParagraph"/>
        <w:numPr>
          <w:ilvl w:val="0"/>
          <w:numId w:val="2"/>
        </w:numPr>
        <w:spacing w:after="100" w:line="360"/>
      </w:pPr>
      <w:r>
        <w:rPr>
          <w:rFonts w:ascii="Arial" w:cs="Arial" w:eastAsia="Arial" w:hAnsi="Arial"/>
          <w:sz w:val="24"/>
          <w:szCs w:val="24"/>
        </w:rPr>
        <w:t xml:space="preserve">Cellular uptake efficiency: PS backbones enhance 2-4 fold via scavenger receptors; PMO backbones require peptide conjugation (10-25% efficiency without CPP)</w:t>
      </w:r>
    </w:p>
    <w:p>
      <w:pPr>
        <w:pStyle w:val="ListParagraph"/>
        <w:numPr>
          <w:ilvl w:val="0"/>
          <w:numId w:val="2"/>
        </w:numPr>
        <w:spacing w:after="100" w:line="360"/>
      </w:pPr>
      <w:r>
        <w:rPr>
          <w:rFonts w:ascii="Arial" w:cs="Arial" w:eastAsia="Arial" w:hAnsi="Arial"/>
          <w:sz w:val="24"/>
          <w:szCs w:val="24"/>
        </w:rPr>
        <w:t xml:space="preserve">Pharmacokinetic tradeoffs: PS backbone increases liver accumulation 3-5 fold; PMO reduces kidney accumulation but impairs CNS penetration without conjugation</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PS vs. neutral backbone chemistry simulator: binding affinity, cellular uptake, liver accumulation, kidney clearance predictions</w:t>
      </w:r>
    </w:p>
    <w:p>
      <w:pPr>
        <w:pStyle w:val="ListParagraph"/>
        <w:numPr>
          <w:ilvl w:val="0"/>
          <w:numId w:val="2"/>
        </w:numPr>
        <w:spacing w:after="100" w:line="360"/>
      </w:pPr>
      <w:r>
        <w:rPr>
          <w:rFonts w:ascii="Arial" w:cs="Arial" w:eastAsia="Arial" w:hAnsi="Arial"/>
          <w:sz w:val="24"/>
          <w:szCs w:val="24"/>
        </w:rPr>
        <w:t xml:space="preserve">Cost-efficacy calculator: synthesis cost per sequence × predicted clinical dosing requirement (mg/kg) / predicted potency (% mRNA knockdown)</w:t>
      </w:r>
    </w:p>
    <w:p>
      <w:pPr>
        <w:pStyle w:val="ListParagraph"/>
        <w:numPr>
          <w:ilvl w:val="0"/>
          <w:numId w:val="2"/>
        </w:numPr>
        <w:spacing w:after="100" w:line="360"/>
      </w:pPr>
      <w:r>
        <w:rPr>
          <w:rFonts w:ascii="Arial" w:cs="Arial" w:eastAsia="Arial" w:hAnsi="Arial"/>
          <w:sz w:val="24"/>
          <w:szCs w:val="24"/>
        </w:rPr>
        <w:t xml:space="preserve">Chemical modification trade-off matrix: Tm vs. immunogenicity, cellular uptake vs. liver toxicity, CNS penetration vs. kidney accumulation</w:t>
      </w:r>
    </w:p>
    <w:p>
      <w:pPr>
        <w:pStyle w:val="ListParagraph"/>
        <w:numPr>
          <w:ilvl w:val="0"/>
          <w:numId w:val="2"/>
        </w:numPr>
        <w:spacing w:after="100" w:line="360"/>
      </w:pPr>
      <w:r>
        <w:rPr>
          <w:rFonts w:ascii="Arial" w:cs="Arial" w:eastAsia="Arial" w:hAnsi="Arial"/>
          <w:sz w:val="24"/>
          <w:szCs w:val="24"/>
        </w:rPr>
        <w:t xml:space="preserve">Manufacturing complexity assessor: 2'MOE scalability (standard CGMP available), LNA manufacturing (limited vendors, higher cost), PMO synthesis (specialized chemistry required)</w:t>
      </w:r>
    </w:p>
    <w:p>
      <w:pPr>
        <w:pStyle w:val="ListParagraph"/>
        <w:numPr>
          <w:ilvl w:val="0"/>
          <w:numId w:val="2"/>
        </w:numPr>
        <w:spacing w:after="100" w:line="360"/>
      </w:pPr>
      <w:r>
        <w:rPr>
          <w:rFonts w:ascii="Arial" w:cs="Arial" w:eastAsia="Arial" w:hAnsi="Arial"/>
          <w:sz w:val="24"/>
          <w:szCs w:val="24"/>
        </w:rPr>
        <w:t xml:space="preserve">Peptide conjugation strategy evaluator (for PMO): estimated cell-penetrating peptide coupling efficiency, off-target conjugate toxicity, cost adjustment</w:t>
      </w:r>
    </w:p>
    <w:p>
      <w:pPr>
        <w:pStyle w:val="ListParagraph"/>
        <w:numPr>
          <w:ilvl w:val="0"/>
          <w:numId w:val="2"/>
        </w:numPr>
        <w:spacing w:after="100" w:line="360"/>
      </w:pPr>
      <w:r>
        <w:rPr>
          <w:rFonts w:ascii="Arial" w:cs="Arial" w:eastAsia="Arial" w:hAnsi="Arial"/>
          <w:sz w:val="24"/>
          <w:szCs w:val="24"/>
        </w:rPr>
        <w:t xml:space="preserve">Potency-toxicity nomogram: predicted mRNA knockdown efficiency (%) vs. hepatotoxicity score, with risk stratification zones (green/yellow/red)</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Compare PS vs. neutral backbone chemistry for top 5 2'MOE candidates: predict impact on Tm, cellular uptake (RNase H activity), liver accumulation, and manufacturing cost</w:t>
      </w:r>
    </w:p>
    <w:p>
      <w:pPr>
        <w:pStyle w:val="ListParagraph"/>
        <w:numPr>
          <w:ilvl w:val="0"/>
          <w:numId w:val="2"/>
        </w:numPr>
        <w:spacing w:after="100" w:line="360"/>
      </w:pPr>
      <w:r>
        <w:rPr>
          <w:rFonts w:ascii="Arial" w:cs="Arial" w:eastAsia="Arial" w:hAnsi="Arial"/>
          <w:sz w:val="24"/>
          <w:szCs w:val="24"/>
        </w:rPr>
        <w:t xml:space="preserve">Evaluate PMO backbone variants with and without cell-penetrating peptide conjugation: predict CNS bioavailability improvement, additional synthesis cost, off-target peptide interactions</w:t>
      </w:r>
    </w:p>
    <w:p>
      <w:pPr>
        <w:pStyle w:val="ListParagraph"/>
        <w:numPr>
          <w:ilvl w:val="0"/>
          <w:numId w:val="2"/>
        </w:numPr>
        <w:spacing w:after="100" w:line="360"/>
      </w:pPr>
      <w:r>
        <w:rPr>
          <w:rFonts w:ascii="Arial" w:cs="Arial" w:eastAsia="Arial" w:hAnsi="Arial"/>
          <w:sz w:val="24"/>
          <w:szCs w:val="24"/>
        </w:rPr>
        <w:t xml:space="preserve">Generate cost-efficacy ranking: divide synthesis cost by predicted on-target potency (% mRNA knockdown) for all 50 sequences, identify cost-optimal outliers</w:t>
      </w:r>
    </w:p>
    <w:p>
      <w:pPr>
        <w:pStyle w:val="ListParagraph"/>
        <w:numPr>
          <w:ilvl w:val="0"/>
          <w:numId w:val="2"/>
        </w:numPr>
        <w:spacing w:after="100" w:line="360"/>
      </w:pPr>
      <w:r>
        <w:rPr>
          <w:rFonts w:ascii="Arial" w:cs="Arial" w:eastAsia="Arial" w:hAnsi="Arial"/>
          <w:sz w:val="24"/>
          <w:szCs w:val="24"/>
        </w:rPr>
        <w:t xml:space="preserve">Create trade-off visualization: Tm (x-axis) vs. toxicity score (y-axis) for all 50 sequences, color-code by chemical type (2'MOE/LNA/PMO), identify Pareto frontier</w:t>
      </w:r>
    </w:p>
    <w:p>
      <w:pPr>
        <w:pStyle w:val="ListParagraph"/>
        <w:numPr>
          <w:ilvl w:val="0"/>
          <w:numId w:val="2"/>
        </w:numPr>
        <w:spacing w:after="100" w:line="360"/>
      </w:pPr>
      <w:r>
        <w:rPr>
          <w:rFonts w:ascii="Arial" w:cs="Arial" w:eastAsia="Arial" w:hAnsi="Arial"/>
          <w:sz w:val="24"/>
          <w:szCs w:val="24"/>
        </w:rPr>
        <w:t xml:space="preserve">Recommend optimal backbone selection for each chemical class: PS vs. neutral, with specific justification based on predicted CNS bioavailability, safety margin, and clinical dosing</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Backbone optimization matrix: Sequence ID, Chemical Type, Backbone Choice (PS/Neutral/PMO+CPP), Predicted Tm, Cellular Uptake Efficiency, Liver Accumulation Index, Synthesis Cost (USD/nmol)</w:t>
      </w:r>
    </w:p>
    <w:p>
      <w:pPr>
        <w:pStyle w:val="ListParagraph"/>
        <w:numPr>
          <w:ilvl w:val="0"/>
          <w:numId w:val="2"/>
        </w:numPr>
        <w:spacing w:after="100" w:line="360"/>
      </w:pPr>
      <w:r>
        <w:rPr>
          <w:rFonts w:ascii="Arial" w:cs="Arial" w:eastAsia="Arial" w:hAnsi="Arial"/>
          <w:sz w:val="24"/>
          <w:szCs w:val="24"/>
        </w:rPr>
        <w:t xml:space="preserve">Cost-efficacy analysis: cost per % mRNA knockdown predicted, cost-benefit ranking, identification of ultra-efficient sequences &lt;0.5 USD per % knockdown</w:t>
      </w:r>
    </w:p>
    <w:p>
      <w:pPr>
        <w:pStyle w:val="ListParagraph"/>
        <w:numPr>
          <w:ilvl w:val="0"/>
          <w:numId w:val="2"/>
        </w:numPr>
        <w:spacing w:after="100" w:line="360"/>
      </w:pPr>
      <w:r>
        <w:rPr>
          <w:rFonts w:ascii="Arial" w:cs="Arial" w:eastAsia="Arial" w:hAnsi="Arial"/>
          <w:sz w:val="24"/>
          <w:szCs w:val="24"/>
        </w:rPr>
        <w:t xml:space="preserve">Chemistry trade-off visual: scatter plot (Tm vs. Toxicity Score) with Pareto frontier highlighted, color-coded by chemical class</w:t>
      </w:r>
    </w:p>
    <w:p>
      <w:pPr>
        <w:pStyle w:val="ListParagraph"/>
        <w:numPr>
          <w:ilvl w:val="0"/>
          <w:numId w:val="2"/>
        </w:numPr>
        <w:spacing w:after="100" w:line="360"/>
      </w:pPr>
      <w:r>
        <w:rPr>
          <w:rFonts w:ascii="Arial" w:cs="Arial" w:eastAsia="Arial" w:hAnsi="Arial"/>
          <w:sz w:val="24"/>
          <w:szCs w:val="24"/>
        </w:rPr>
        <w:t xml:space="preserve">Manufacturing feasibility assessment: synthesis complexity scores, CGMP availability, supply chain risk for each chemical type</w:t>
      </w:r>
    </w:p>
    <w:p>
      <w:pPr>
        <w:pStyle w:val="ListParagraph"/>
        <w:numPr>
          <w:ilvl w:val="0"/>
          <w:numId w:val="2"/>
        </w:numPr>
        <w:spacing w:after="100" w:line="360"/>
      </w:pPr>
      <w:r>
        <w:rPr>
          <w:rFonts w:ascii="Arial" w:cs="Arial" w:eastAsia="Arial" w:hAnsi="Arial"/>
          <w:sz w:val="24"/>
          <w:szCs w:val="24"/>
        </w:rPr>
        <w:t xml:space="preserve">Optimized backbone recommendations: PS vs. neutral choice for each of top 10 sequences with rationale (e.g., 'PS backbone chosen for 2'MOE #3 to maximize RNase H activity despite 1.3x liver accumulation increase')</w:t>
      </w:r>
    </w:p>
    <w:p>
      <w:pPr>
        <w:pStyle w:val="ListParagraph"/>
        <w:numPr>
          <w:ilvl w:val="0"/>
          <w:numId w:val="2"/>
        </w:numPr>
        <w:spacing w:after="100" w:line="360"/>
      </w:pPr>
      <w:r>
        <w:rPr>
          <w:rFonts w:ascii="Arial" w:cs="Arial" w:eastAsia="Arial" w:hAnsi="Arial"/>
          <w:sz w:val="24"/>
          <w:szCs w:val="24"/>
        </w:rPr>
        <w:t xml:space="preserve">Potency-toxicity nomogram: graphical display with risk zones, predicted on-target efficacy (%) on y-axis, hepatotoxicity score on x-axis, with top 10 candidates annotated</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Excel backbone optimization matrix (columns: Sequence, Chemical Type, Backbone, Tm, Uptake%, Liver Accum, Cost, Efficacy, Cost-Benefit) + cost-efficacy ranking + trade-off visualization</w:t>
      </w:r>
    </w:p>
    <w:p>
      <w:pPr>
        <w:pStyle w:val="Heading2"/>
      </w:pPr>
      <w:r>
        <w:rPr>
          <w:rFonts w:ascii="Arial" w:cs="Arial" w:eastAsia="Arial" w:hAnsi="Arial"/>
          <w:b/>
          <w:bCs/>
          <w:sz w:val="28"/>
          <w:szCs w:val="28"/>
        </w:rPr>
        <w:t xml:space="preserve">Stage 5: Metabolic Stability in CSF &amp; Neuronal Cell Culture Validation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Predict metabolic stability of finalized ASO candidates in cerebrospinal fluid and neuronal culture systems; validate top 5 sequences computationally for neuronal uptake and on-target mRNA knockdown potential.</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Top 15 ranked ASO candidates after toxicity/backbone optimization (Stage 4)</w:t>
      </w:r>
    </w:p>
    <w:p>
      <w:pPr>
        <w:pStyle w:val="ListParagraph"/>
        <w:numPr>
          <w:ilvl w:val="0"/>
          <w:numId w:val="2"/>
        </w:numPr>
        <w:spacing w:after="100" w:line="360"/>
      </w:pPr>
      <w:r>
        <w:rPr>
          <w:rFonts w:ascii="Arial" w:cs="Arial" w:eastAsia="Arial" w:hAnsi="Arial"/>
          <w:sz w:val="24"/>
          <w:szCs w:val="24"/>
        </w:rPr>
        <w:t xml:space="preserve">CSF composition: pH 7.35-7.45, temperature 37°C, proteolytic enzyme profiles (aminopeptidases, exopeptidases), nuclease activities (RNase H, non-specific nucleotidases)</w:t>
      </w:r>
    </w:p>
    <w:p>
      <w:pPr>
        <w:pStyle w:val="ListParagraph"/>
        <w:numPr>
          <w:ilvl w:val="0"/>
          <w:numId w:val="2"/>
        </w:numPr>
        <w:spacing w:after="100" w:line="360"/>
      </w:pPr>
      <w:r>
        <w:rPr>
          <w:rFonts w:ascii="Arial" w:cs="Arial" w:eastAsia="Arial" w:hAnsi="Arial"/>
          <w:sz w:val="24"/>
          <w:szCs w:val="24"/>
        </w:rPr>
        <w:t xml:space="preserve">Neuronal cell culture specifications: iPSC-derived cortical neurons or primary rat hippocampal neurons, culture medium (Neurobasal + B27), 14-21 day maturation</w:t>
      </w:r>
    </w:p>
    <w:p>
      <w:pPr>
        <w:pStyle w:val="ListParagraph"/>
        <w:numPr>
          <w:ilvl w:val="0"/>
          <w:numId w:val="2"/>
        </w:numPr>
        <w:spacing w:after="100" w:line="360"/>
      </w:pPr>
      <w:r>
        <w:rPr>
          <w:rFonts w:ascii="Arial" w:cs="Arial" w:eastAsia="Arial" w:hAnsi="Arial"/>
          <w:sz w:val="24"/>
          <w:szCs w:val="24"/>
        </w:rPr>
        <w:t xml:space="preserve">Quiver Bioscience EP CRISPR atlas TSC2 knockdown phenotypes: expected firing rate reduction (%), AP amplitude changes, rheobase shifts for 50-70% mRNA knockdown</w:t>
      </w:r>
    </w:p>
    <w:p>
      <w:pPr>
        <w:pStyle w:val="ListParagraph"/>
        <w:numPr>
          <w:ilvl w:val="0"/>
          <w:numId w:val="2"/>
        </w:numPr>
        <w:spacing w:after="100" w:line="360"/>
      </w:pPr>
      <w:r>
        <w:rPr>
          <w:rFonts w:ascii="Arial" w:cs="Arial" w:eastAsia="Arial" w:hAnsi="Arial"/>
          <w:sz w:val="24"/>
          <w:szCs w:val="24"/>
        </w:rPr>
        <w:t xml:space="preserve">Intracellular delivery kinetics: endosomal escape efficiency (PS backbone ~5-15%, PMO+CPP ~10-25%), cytoplasmic RNase H availability, target mRNA accessibility in RNPs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CSF nuclease degradation simulator: sequence-specific degradation rates by RNase H, RNase A, phosphodiesterases in CSF composition</w:t>
      </w:r>
    </w:p>
    <w:p>
      <w:pPr>
        <w:pStyle w:val="ListParagraph"/>
        <w:numPr>
          <w:ilvl w:val="0"/>
          <w:numId w:val="2"/>
        </w:numPr>
        <w:spacing w:after="100" w:line="360"/>
      </w:pPr>
      <w:r>
        <w:rPr>
          <w:rFonts w:ascii="Arial" w:cs="Arial" w:eastAsia="Arial" w:hAnsi="Arial"/>
          <w:sz w:val="24"/>
          <w:szCs w:val="24"/>
        </w:rPr>
        <w:t xml:space="preserve">Neuronal cell uptake predictor: scavenger receptor expression profiles (SRA1, LOX1) in iPSC-neurons, endocytic pathway efficiency, lysosomal sequestration risk</w:t>
      </w:r>
    </w:p>
    <w:p>
      <w:pPr>
        <w:pStyle w:val="ListParagraph"/>
        <w:numPr>
          <w:ilvl w:val="0"/>
          <w:numId w:val="2"/>
        </w:numPr>
        <w:spacing w:after="100" w:line="360"/>
      </w:pPr>
      <w:r>
        <w:rPr>
          <w:rFonts w:ascii="Arial" w:cs="Arial" w:eastAsia="Arial" w:hAnsi="Arial"/>
          <w:sz w:val="24"/>
          <w:szCs w:val="24"/>
        </w:rPr>
        <w:t xml:space="preserve">Intracellular RNase H activity predictor: gap size (8bp optimal), wing chemistry, predicted RNase H1/H2 recruitment efficiency</w:t>
      </w:r>
    </w:p>
    <w:p>
      <w:pPr>
        <w:pStyle w:val="ListParagraph"/>
        <w:numPr>
          <w:ilvl w:val="0"/>
          <w:numId w:val="2"/>
        </w:numPr>
        <w:spacing w:after="100" w:line="360"/>
      </w:pPr>
      <w:r>
        <w:rPr>
          <w:rFonts w:ascii="Arial" w:cs="Arial" w:eastAsia="Arial" w:hAnsi="Arial"/>
          <w:sz w:val="24"/>
          <w:szCs w:val="24"/>
        </w:rPr>
        <w:t xml:space="preserve">mRNA target accessibility calculator: predicted secondary structure of TSC2 mRNA, ribosome occupancy, RNA-binding protein interactions affecting ASO binding sites</w:t>
      </w:r>
    </w:p>
    <w:p>
      <w:pPr>
        <w:pStyle w:val="ListParagraph"/>
        <w:numPr>
          <w:ilvl w:val="0"/>
          <w:numId w:val="2"/>
        </w:numPr>
        <w:spacing w:after="100" w:line="360"/>
      </w:pPr>
      <w:r>
        <w:rPr>
          <w:rFonts w:ascii="Arial" w:cs="Arial" w:eastAsia="Arial" w:hAnsi="Arial"/>
          <w:sz w:val="24"/>
          <w:szCs w:val="24"/>
        </w:rPr>
        <w:t xml:space="preserve">Neuronal EP signature predictor: computational link between predicted % TSC2 mRNA knockdown and expected EP changes (firing rate, AP properties, rheobase) from Quiver atlas</w:t>
      </w:r>
    </w:p>
    <w:p>
      <w:pPr>
        <w:pStyle w:val="ListParagraph"/>
        <w:numPr>
          <w:ilvl w:val="0"/>
          <w:numId w:val="2"/>
        </w:numPr>
        <w:spacing w:after="100" w:line="360"/>
      </w:pPr>
      <w:r>
        <w:rPr>
          <w:rFonts w:ascii="Arial" w:cs="Arial" w:eastAsia="Arial" w:hAnsi="Arial"/>
          <w:sz w:val="24"/>
          <w:szCs w:val="24"/>
        </w:rPr>
        <w:t xml:space="preserve">Metabolic degradation pathway simulator: both sequence-specific (RNase digestion) and backbone-specific (PS exonuclease activity) degradation modeling</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Predict CSF half-life for each of top 15 candidates by modeling RNase H activity, non-specific nucleotidase resistance, and 2'MOE/LNA/PMO-specific stabilization factors</w:t>
      </w:r>
    </w:p>
    <w:p>
      <w:pPr>
        <w:pStyle w:val="ListParagraph"/>
        <w:numPr>
          <w:ilvl w:val="0"/>
          <w:numId w:val="2"/>
        </w:numPr>
        <w:spacing w:after="100" w:line="360"/>
      </w:pPr>
      <w:r>
        <w:rPr>
          <w:rFonts w:ascii="Arial" w:cs="Arial" w:eastAsia="Arial" w:hAnsi="Arial"/>
          <w:sz w:val="24"/>
          <w:szCs w:val="24"/>
        </w:rPr>
        <w:t xml:space="preserve">Estimate intracellular bioavailability in iPSC-derived neurons: predict scavenger receptor uptake efficiency, endosomal escape, and cytoplasmic delivery for PS and PMO variants</w:t>
      </w:r>
    </w:p>
    <w:p>
      <w:pPr>
        <w:pStyle w:val="ListParagraph"/>
        <w:numPr>
          <w:ilvl w:val="0"/>
          <w:numId w:val="2"/>
        </w:numPr>
        <w:spacing w:after="100" w:line="360"/>
      </w:pPr>
      <w:r>
        <w:rPr>
          <w:rFonts w:ascii="Arial" w:cs="Arial" w:eastAsia="Arial" w:hAnsi="Arial"/>
          <w:sz w:val="24"/>
          <w:szCs w:val="24"/>
        </w:rPr>
        <w:t xml:space="preserve">Calculate predicted % TSC2 mRNA knockdown for each sequence assuming 50-70% target occupancy, 85% RNase H cleavage efficiency, and mRNA turnover kinetics (t½ ~3 hours for neuronal TSC2)</w:t>
      </w:r>
    </w:p>
    <w:p>
      <w:pPr>
        <w:pStyle w:val="ListParagraph"/>
        <w:numPr>
          <w:ilvl w:val="0"/>
          <w:numId w:val="2"/>
        </w:numPr>
        <w:spacing w:after="100" w:line="360"/>
      </w:pPr>
      <w:r>
        <w:rPr>
          <w:rFonts w:ascii="Arial" w:cs="Arial" w:eastAsia="Arial" w:hAnsi="Arial"/>
          <w:sz w:val="24"/>
          <w:szCs w:val="24"/>
        </w:rPr>
        <w:t xml:space="preserve">Link predicted mRNA knockdown to expected Quiver EP phenotype changes: model predicted firing rate reduction, AP amplitude reduction, rheobase increase consistent with TSC2-loss hyperexcitability rescue</w:t>
      </w:r>
    </w:p>
    <w:p>
      <w:pPr>
        <w:pStyle w:val="ListParagraph"/>
        <w:numPr>
          <w:ilvl w:val="0"/>
          <w:numId w:val="2"/>
        </w:numPr>
        <w:spacing w:after="100" w:line="360"/>
      </w:pPr>
      <w:r>
        <w:rPr>
          <w:rFonts w:ascii="Arial" w:cs="Arial" w:eastAsia="Arial" w:hAnsi="Arial"/>
          <w:sz w:val="24"/>
          <w:szCs w:val="24"/>
        </w:rPr>
        <w:t xml:space="preserve">Identify top 5 sequences with optimal balance: ≥65% predicted mRNA knockdown, CSF t½ ≥10 hours, neuronal uptake ≥15%, and low toxicity score (&lt;25)</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CSF metabolic stability predictions: Sequence ID, Predicted CSF t½ (hours), RNase H resistance score, non-specific nucleotidase resistance, backbone degradation pathway dominance</w:t>
      </w:r>
    </w:p>
    <w:p>
      <w:pPr>
        <w:pStyle w:val="ListParagraph"/>
        <w:numPr>
          <w:ilvl w:val="0"/>
          <w:numId w:val="2"/>
        </w:numPr>
        <w:spacing w:after="100" w:line="360"/>
      </w:pPr>
      <w:r>
        <w:rPr>
          <w:rFonts w:ascii="Arial" w:cs="Arial" w:eastAsia="Arial" w:hAnsi="Arial"/>
          <w:sz w:val="24"/>
          <w:szCs w:val="24"/>
        </w:rPr>
        <w:t xml:space="preserve">Neuronal cell uptake efficiency table: predicted uptake by scavenger receptors (%), endosomal escape (%), cytoplasmic delivery (%), lysosomal sequestration risk (low/medium/high)</w:t>
      </w:r>
    </w:p>
    <w:p>
      <w:pPr>
        <w:pStyle w:val="ListParagraph"/>
        <w:numPr>
          <w:ilvl w:val="0"/>
          <w:numId w:val="2"/>
        </w:numPr>
        <w:spacing w:after="100" w:line="360"/>
      </w:pPr>
      <w:r>
        <w:rPr>
          <w:rFonts w:ascii="Arial" w:cs="Arial" w:eastAsia="Arial" w:hAnsi="Arial"/>
          <w:sz w:val="24"/>
          <w:szCs w:val="24"/>
        </w:rPr>
        <w:t xml:space="preserve">mRNA knockdown predictions: Sequence ID, Predicted % TSC2 mRNA reduction (50-70 range), Target occupancy score, RNase H activity index, Intracellular availability (%)</w:t>
      </w:r>
    </w:p>
    <w:p>
      <w:pPr>
        <w:pStyle w:val="ListParagraph"/>
        <w:numPr>
          <w:ilvl w:val="0"/>
          <w:numId w:val="2"/>
        </w:numPr>
        <w:spacing w:after="100" w:line="360"/>
      </w:pPr>
      <w:r>
        <w:rPr>
          <w:rFonts w:ascii="Arial" w:cs="Arial" w:eastAsia="Arial" w:hAnsi="Arial"/>
          <w:sz w:val="24"/>
          <w:szCs w:val="24"/>
        </w:rPr>
        <w:t xml:space="preserve">EP phenotype predictions: Firing rate reduction (%), AP amplitude change (%), Rheobase increase (%), predicted rescue of TSC2-loss hyperexcitability (quantitative matching to Quiver atlas controls)</w:t>
      </w:r>
    </w:p>
    <w:p>
      <w:pPr>
        <w:pStyle w:val="ListParagraph"/>
        <w:numPr>
          <w:ilvl w:val="0"/>
          <w:numId w:val="2"/>
        </w:numPr>
        <w:spacing w:after="100" w:line="360"/>
      </w:pPr>
      <w:r>
        <w:rPr>
          <w:rFonts w:ascii="Arial" w:cs="Arial" w:eastAsia="Arial" w:hAnsi="Arial"/>
          <w:sz w:val="24"/>
          <w:szCs w:val="24"/>
        </w:rPr>
        <w:t xml:space="preserve">Top 5 finalized candidates summary: ranked list with cumulative scores (mRNA knockdown + CSF stability + neuronal uptake + low toxicity), clinical recommendation rationale</w:t>
      </w:r>
    </w:p>
    <w:p>
      <w:pPr>
        <w:pStyle w:val="ListParagraph"/>
        <w:numPr>
          <w:ilvl w:val="0"/>
          <w:numId w:val="2"/>
        </w:numPr>
        <w:spacing w:after="100" w:line="360"/>
      </w:pPr>
      <w:r>
        <w:rPr>
          <w:rFonts w:ascii="Arial" w:cs="Arial" w:eastAsia="Arial" w:hAnsi="Arial"/>
          <w:sz w:val="24"/>
          <w:szCs w:val="24"/>
        </w:rPr>
        <w:t xml:space="preserve">Detailed metabolic pathway diagrams: for top 5 sequences, show predicted RNase cleavage sites, backbone degradation points, and half-life contributors with percentages</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CSV stability table (Sequence, CSF t½, RNase Resist, Neuro Uptake%, Knockdown%, EP Prediction, Toxicity Score, Final Rank) + metabolic pathway diagrams for top 5</w:t>
      </w:r>
    </w:p>
    <w:p>
      <w:pPr>
        <w:pStyle w:val="Heading2"/>
      </w:pPr>
      <w:r>
        <w:rPr>
          <w:rFonts w:ascii="Arial" w:cs="Arial" w:eastAsia="Arial" w:hAnsi="Arial"/>
          <w:b/>
          <w:bCs/>
          <w:sz w:val="28"/>
          <w:szCs w:val="28"/>
        </w:rPr>
        <w:t xml:space="preserve">Stage 6: Final Ranking, Clinical Dosing Strategy &amp; Deliverables</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Integrate all preceding analyses into a comprehensive final ranking of top 10 ASO candidates; provide clinical dosing recommendations, safety margins, and go/no-go decisions for lead sequences.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Complete data from all 5 preceding stages: 15 candidate sequences with comprehensive PK/PD, toxicity, chemistry, stability, and EP phenotype predictions</w:t>
      </w:r>
    </w:p>
    <w:p>
      <w:pPr>
        <w:pStyle w:val="ListParagraph"/>
        <w:numPr>
          <w:ilvl w:val="0"/>
          <w:numId w:val="2"/>
        </w:numPr>
        <w:spacing w:after="100" w:line="360"/>
      </w:pPr>
      <w:r>
        <w:rPr>
          <w:rFonts w:ascii="Arial" w:cs="Arial" w:eastAsia="Arial" w:hAnsi="Arial"/>
          <w:sz w:val="24"/>
          <w:szCs w:val="24"/>
        </w:rPr>
        <w:t xml:space="preserve">Clinical dosing historical data: IT (intrathecal) ASO dosing ranges (5-100 μmol, typical 12.5-50 μmol for CNS diseases), IV dosing (10-50 mg/kg q.w.), CSF sampling pharmacokinetics</w:t>
      </w:r>
    </w:p>
    <w:p>
      <w:pPr>
        <w:pStyle w:val="ListParagraph"/>
        <w:numPr>
          <w:ilvl w:val="0"/>
          <w:numId w:val="2"/>
        </w:numPr>
        <w:spacing w:after="100" w:line="360"/>
      </w:pPr>
      <w:r>
        <w:rPr>
          <w:rFonts w:ascii="Arial" w:cs="Arial" w:eastAsia="Arial" w:hAnsi="Arial"/>
          <w:sz w:val="24"/>
          <w:szCs w:val="24"/>
        </w:rPr>
        <w:t xml:space="preserve">Therapeutic efficacy targets: 50-70% TSC2 mRNA knockdown for seizure reduction (estimated from Quiver atlas and published TSC literature)</w:t>
      </w:r>
    </w:p>
    <w:p>
      <w:pPr>
        <w:pStyle w:val="ListParagraph"/>
        <w:numPr>
          <w:ilvl w:val="0"/>
          <w:numId w:val="2"/>
        </w:numPr>
        <w:spacing w:after="100" w:line="360"/>
      </w:pPr>
      <w:r>
        <w:rPr>
          <w:rFonts w:ascii="Arial" w:cs="Arial" w:eastAsia="Arial" w:hAnsi="Arial"/>
          <w:sz w:val="24"/>
          <w:szCs w:val="24"/>
        </w:rPr>
        <w:t xml:space="preserve">Safety thresholds: hepatotoxicity (ALT &lt;5x ULN), nephrotoxicity (creatinine &lt;1.5x baseline), immunogenicity (no systemic IFN-α spike, IL-6 &lt;200 pg/mL)</w:t>
      </w:r>
    </w:p>
    <w:p>
      <w:pPr>
        <w:pStyle w:val="ListParagraph"/>
        <w:numPr>
          <w:ilvl w:val="0"/>
          <w:numId w:val="2"/>
        </w:numPr>
        <w:spacing w:after="100" w:line="360"/>
      </w:pPr>
      <w:r>
        <w:rPr>
          <w:rFonts w:ascii="Arial" w:cs="Arial" w:eastAsia="Arial" w:hAnsi="Arial"/>
          <w:sz w:val="24"/>
          <w:szCs w:val="24"/>
        </w:rPr>
        <w:t xml:space="preserve">Quiver Bioscience EP atlas TSC2 baseline and rescue phenotype ranges: establish expected EP readout windows for success criteria</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Multi-criteria decision analysis (MCDA) integrator: weight CNS efficacy (35%), safety margin (30%), PK suitability (20%), manufacturing feasibility (10%), cost-efficacy (5%)</w:t>
      </w:r>
    </w:p>
    <w:p>
      <w:pPr>
        <w:pStyle w:val="ListParagraph"/>
        <w:numPr>
          <w:ilvl w:val="0"/>
          <w:numId w:val="2"/>
        </w:numPr>
        <w:spacing w:after="100" w:line="360"/>
      </w:pPr>
      <w:r>
        <w:rPr>
          <w:rFonts w:ascii="Arial" w:cs="Arial" w:eastAsia="Arial" w:hAnsi="Arial"/>
          <w:sz w:val="24"/>
          <w:szCs w:val="24"/>
        </w:rPr>
        <w:t xml:space="preserve">Clinical dosing calculator: convert predicted Css to recommended IT or IV dosing regimen (loading dose, maintenance dose, dosing interval), with PK simulation validation</w:t>
      </w:r>
    </w:p>
    <w:p>
      <w:pPr>
        <w:pStyle w:val="ListParagraph"/>
        <w:numPr>
          <w:ilvl w:val="0"/>
          <w:numId w:val="2"/>
        </w:numPr>
        <w:spacing w:after="100" w:line="360"/>
      </w:pPr>
      <w:r>
        <w:rPr>
          <w:rFonts w:ascii="Arial" w:cs="Arial" w:eastAsia="Arial" w:hAnsi="Arial"/>
          <w:sz w:val="24"/>
          <w:szCs w:val="24"/>
        </w:rPr>
        <w:t xml:space="preserve">Safety margin calculator: predicted therapeutic index = [dose producing 20% toxicity] / [dose producing 70% efficacy], benchmark &gt;5-fold margin as acceptable</w:t>
      </w:r>
    </w:p>
    <w:p>
      <w:pPr>
        <w:pStyle w:val="ListParagraph"/>
        <w:numPr>
          <w:ilvl w:val="0"/>
          <w:numId w:val="2"/>
        </w:numPr>
        <w:spacing w:after="100" w:line="360"/>
      </w:pPr>
      <w:r>
        <w:rPr>
          <w:rFonts w:ascii="Arial" w:cs="Arial" w:eastAsia="Arial" w:hAnsi="Arial"/>
          <w:sz w:val="24"/>
          <w:szCs w:val="24"/>
        </w:rPr>
        <w:t xml:space="preserve">Go/no-go decision matrix: integrate efficacy prediction, toxicity score, and manufacturing feasibility to classify each candidate as 'Lead' (go), 'Backup' (conditional go), or 'Exclude' (no-go)</w:t>
      </w:r>
    </w:p>
    <w:p>
      <w:pPr>
        <w:pStyle w:val="ListParagraph"/>
        <w:numPr>
          <w:ilvl w:val="0"/>
          <w:numId w:val="2"/>
        </w:numPr>
        <w:spacing w:after="100" w:line="360"/>
      </w:pPr>
      <w:r>
        <w:rPr>
          <w:rFonts w:ascii="Arial" w:cs="Arial" w:eastAsia="Arial" w:hAnsi="Arial"/>
          <w:sz w:val="24"/>
          <w:szCs w:val="24"/>
        </w:rPr>
        <w:t xml:space="preserve">IP/patent landscape scanner: identify potential intellectual property conflicts for final lead sequences based on chemical modification patents, target combinations</w:t>
      </w:r>
    </w:p>
    <w:p>
      <w:pPr>
        <w:pStyle w:val="ListParagraph"/>
        <w:numPr>
          <w:ilvl w:val="0"/>
          <w:numId w:val="2"/>
        </w:numPr>
        <w:spacing w:after="100" w:line="360"/>
      </w:pPr>
      <w:r>
        <w:rPr>
          <w:rFonts w:ascii="Arial" w:cs="Arial" w:eastAsia="Arial" w:hAnsi="Arial"/>
          <w:sz w:val="24"/>
          <w:szCs w:val="24"/>
        </w:rPr>
        <w:t xml:space="preserve">Comprehensive reporting tool: generate executive summary, candidate datasheets, clinical protocol recommendations, and formulation strategy templates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Calculate integrated efficacy-safety score for each of 15 candidates: MCDA weighting across CNS bioavailability (35%), mRNA knockdown prediction (linked to efficacy), toxicity score (linked to safety), manufacturability</w:t>
      </w:r>
    </w:p>
    <w:p>
      <w:pPr>
        <w:pStyle w:val="ListParagraph"/>
        <w:numPr>
          <w:ilvl w:val="0"/>
          <w:numId w:val="2"/>
        </w:numPr>
        <w:spacing w:after="100" w:line="360"/>
      </w:pPr>
      <w:r>
        <w:rPr>
          <w:rFonts w:ascii="Arial" w:cs="Arial" w:eastAsia="Arial" w:hAnsi="Arial"/>
          <w:sz w:val="24"/>
          <w:szCs w:val="24"/>
        </w:rPr>
        <w:t xml:space="preserve">Determine optimal clinical dosing regimen for top 5 candidates: IT dosing (range 12.5-50 μmol) vs. IV dosing (range 10-30 mg/kg), target steady-state CNS concentration for 70% efficacy, dosing interval recommendation</w:t>
      </w:r>
    </w:p>
    <w:p>
      <w:pPr>
        <w:pStyle w:val="ListParagraph"/>
        <w:numPr>
          <w:ilvl w:val="0"/>
          <w:numId w:val="2"/>
        </w:numPr>
        <w:spacing w:after="100" w:line="360"/>
      </w:pPr>
      <w:r>
        <w:rPr>
          <w:rFonts w:ascii="Arial" w:cs="Arial" w:eastAsia="Arial" w:hAnsi="Arial"/>
          <w:sz w:val="24"/>
          <w:szCs w:val="24"/>
        </w:rPr>
        <w:t xml:space="preserve">Assess safety margins for top 5: calculate no-observed-adverse-effect level (NOAEL) prediction based on toxicity score, establish therapeutic index (efficacy dose / NOAEL), flag any sequences with &lt;5-fold margin</w:t>
      </w:r>
    </w:p>
    <w:p>
      <w:pPr>
        <w:pStyle w:val="ListParagraph"/>
        <w:numPr>
          <w:ilvl w:val="0"/>
          <w:numId w:val="2"/>
        </w:numPr>
        <w:spacing w:after="100" w:line="360"/>
      </w:pPr>
      <w:r>
        <w:rPr>
          <w:rFonts w:ascii="Arial" w:cs="Arial" w:eastAsia="Arial" w:hAnsi="Arial"/>
          <w:sz w:val="24"/>
          <w:szCs w:val="24"/>
        </w:rPr>
        <w:t xml:space="preserve">Generate go/no-go recommendations: classify 15 candidates into Lead (top 3, recommend for IND filing), Backup (4-5, conditional go for further testing), Exclude (remainder, known blockers)</w:t>
      </w:r>
    </w:p>
    <w:p>
      <w:pPr>
        <w:pStyle w:val="ListParagraph"/>
        <w:numPr>
          <w:ilvl w:val="0"/>
          <w:numId w:val="2"/>
        </w:numPr>
        <w:spacing w:after="100" w:line="360"/>
      </w:pPr>
      <w:r>
        <w:rPr>
          <w:rFonts w:ascii="Arial" w:cs="Arial" w:eastAsia="Arial" w:hAnsi="Arial"/>
          <w:sz w:val="24"/>
          <w:szCs w:val="24"/>
        </w:rPr>
        <w:t xml:space="preserve">Create intellectual property assessment: identify chemical modifications and target combinations that may have patent freedom-to-operate risks, recommend design-around strategies if necessary</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Final ranking table: Rank, Sequence ID, Chemical Type, Integrated MCDA Score (0-100), Predicted % mRNA Knockdown, Efficacy-Safety Index, Dosing Recommendation (IT/IV), Go/No-Go Decision</w:t>
      </w:r>
    </w:p>
    <w:p>
      <w:pPr>
        <w:pStyle w:val="ListParagraph"/>
        <w:numPr>
          <w:ilvl w:val="0"/>
          <w:numId w:val="2"/>
        </w:numPr>
        <w:spacing w:after="100" w:line="360"/>
      </w:pPr>
      <w:r>
        <w:rPr>
          <w:rFonts w:ascii="Arial" w:cs="Arial" w:eastAsia="Arial" w:hAnsi="Arial"/>
          <w:sz w:val="24"/>
          <w:szCs w:val="24"/>
        </w:rPr>
        <w:t xml:space="preserve">Top 3 lead candidate datasheets: full profile including sequence, chemical structure diagram, PK parameters, toxicity profile, manufacturing summary, clinical dosing strategy, expected safety profile</w:t>
      </w:r>
    </w:p>
    <w:p>
      <w:pPr>
        <w:pStyle w:val="ListParagraph"/>
        <w:numPr>
          <w:ilvl w:val="0"/>
          <w:numId w:val="2"/>
        </w:numPr>
        <w:spacing w:after="100" w:line="360"/>
      </w:pPr>
      <w:r>
        <w:rPr>
          <w:rFonts w:ascii="Arial" w:cs="Arial" w:eastAsia="Arial" w:hAnsi="Arial"/>
          <w:sz w:val="24"/>
          <w:szCs w:val="24"/>
        </w:rPr>
        <w:t xml:space="preserve">Clinical dosing recommendations: for lead sequences, specify loading dose, maintenance dose, dosing interval, target CNS Css, predicted steady-state achievement time, dose adjustment guidance</w:t>
      </w:r>
    </w:p>
    <w:p>
      <w:pPr>
        <w:pStyle w:val="ListParagraph"/>
        <w:numPr>
          <w:ilvl w:val="0"/>
          <w:numId w:val="2"/>
        </w:numPr>
        <w:spacing w:after="100" w:line="360"/>
      </w:pPr>
      <w:r>
        <w:rPr>
          <w:rFonts w:ascii="Arial" w:cs="Arial" w:eastAsia="Arial" w:hAnsi="Arial"/>
          <w:sz w:val="24"/>
          <w:szCs w:val="24"/>
        </w:rPr>
        <w:t xml:space="preserve">Safety summary: integrated hepatotoxicity, nephrotoxicity, and immunogenicity risk profiles for top 3 leads with established safety margins (NOAEL, therapeutic index, acceptable dose range)</w:t>
      </w:r>
    </w:p>
    <w:p>
      <w:pPr>
        <w:pStyle w:val="ListParagraph"/>
        <w:numPr>
          <w:ilvl w:val="0"/>
          <w:numId w:val="2"/>
        </w:numPr>
        <w:spacing w:after="100" w:line="360"/>
      </w:pPr>
      <w:r>
        <w:rPr>
          <w:rFonts w:ascii="Arial" w:cs="Arial" w:eastAsia="Arial" w:hAnsi="Arial"/>
          <w:sz w:val="24"/>
          <w:szCs w:val="24"/>
        </w:rPr>
        <w:t xml:space="preserve">Manufacturing &amp; supply chain summary: synthesis complexity, CGMP feasibility, cost per dose, estimated timeline to clinical trial supply, scale-up considerations</w:t>
      </w:r>
    </w:p>
    <w:p>
      <w:pPr>
        <w:pStyle w:val="ListParagraph"/>
        <w:numPr>
          <w:ilvl w:val="0"/>
          <w:numId w:val="2"/>
        </w:numPr>
        <w:spacing w:after="100" w:line="360"/>
      </w:pPr>
      <w:r>
        <w:rPr>
          <w:rFonts w:ascii="Arial" w:cs="Arial" w:eastAsia="Arial" w:hAnsi="Arial"/>
          <w:sz w:val="24"/>
          <w:szCs w:val="24"/>
        </w:rPr>
        <w:t xml:space="preserve">Executive summary &amp; go/no-go recommendations: 2-3 page report with candidate rankings, clinical development pathway recommendation (IND filing eligibility), key data gaps for further validation</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Final ranking CSV (Rank, Seq ID, Type, Score, mRNA KD%, Index, Dose Rec, Decision) + PDF datasheets for top 3 leads + Clinical dosing strategy document + Executive summary</w:t>
      </w:r>
    </w:p>
    <w:p>
      <w:pPr>
        <w:pStyle w:val="Heading2"/>
      </w:pPr>
      <w:r>
        <w:rPr>
          <w:rFonts w:ascii="Arial" w:cs="Arial" w:eastAsia="Arial" w:hAnsi="Arial"/>
          <w:b/>
          <w:bCs/>
          <w:sz w:val="28"/>
          <w:szCs w:val="28"/>
        </w:rPr>
        <w:t xml:space="preserve">Comprehensive Tools &amp; Databases Summary</w:t>
      </w:r>
    </w:p>
    <w:p>
      <w:pPr>
        <w:pStyle w:val="ListParagraph"/>
        <w:numPr>
          <w:ilvl w:val="0"/>
          <w:numId w:val="2"/>
        </w:numPr>
        <w:spacing w:after="100" w:line="360"/>
      </w:pPr>
      <w:r>
        <w:rPr>
          <w:rFonts w:ascii="Arial" w:cs="Arial" w:eastAsia="Arial" w:hAnsi="Arial"/>
          <w:sz w:val="24"/>
          <w:szCs w:val="24"/>
        </w:rPr>
        <w:t xml:space="preserve">NUPACK secondary structure prediction with chemical modification compensation factors</w:t>
      </w:r>
    </w:p>
    <w:p>
      <w:pPr>
        <w:pStyle w:val="ListParagraph"/>
        <w:numPr>
          <w:ilvl w:val="0"/>
          <w:numId w:val="2"/>
        </w:numPr>
        <w:spacing w:after="100" w:line="360"/>
      </w:pPr>
      <w:r>
        <w:rPr>
          <w:rFonts w:ascii="Arial" w:cs="Arial" w:eastAsia="Arial" w:hAnsi="Arial"/>
          <w:sz w:val="24"/>
          <w:szCs w:val="24"/>
        </w:rPr>
        <w:t xml:space="preserve">OligoCalc + Tm Calculator for hybrid stability with 2'MOE/LNA/PMO adjustment matrices</w:t>
      </w:r>
    </w:p>
    <w:p>
      <w:pPr>
        <w:pStyle w:val="ListParagraph"/>
        <w:numPr>
          <w:ilvl w:val="0"/>
          <w:numId w:val="2"/>
        </w:numPr>
        <w:spacing w:after="100" w:line="360"/>
      </w:pPr>
      <w:r>
        <w:rPr>
          <w:rFonts w:ascii="Arial" w:cs="Arial" w:eastAsia="Arial" w:hAnsi="Arial"/>
          <w:sz w:val="24"/>
          <w:szCs w:val="24"/>
        </w:rPr>
        <w:t xml:space="preserve">Exon-Exon junction mapper (GENCODE v45) to identify optimal splice-targeting positions</w:t>
      </w:r>
    </w:p>
    <w:p>
      <w:pPr>
        <w:pStyle w:val="ListParagraph"/>
        <w:numPr>
          <w:ilvl w:val="0"/>
          <w:numId w:val="2"/>
        </w:numPr>
        <w:spacing w:after="100" w:line="360"/>
      </w:pPr>
      <w:r>
        <w:rPr>
          <w:rFonts w:ascii="Arial" w:cs="Arial" w:eastAsia="Arial" w:hAnsi="Arial"/>
          <w:sz w:val="24"/>
          <w:szCs w:val="24"/>
        </w:rPr>
        <w:t xml:space="preserve">RNAfold with chemical modification energy contributions for structure-free energy coupling</w:t>
      </w:r>
    </w:p>
    <w:p>
      <w:pPr>
        <w:pStyle w:val="ListParagraph"/>
        <w:numPr>
          <w:ilvl w:val="0"/>
          <w:numId w:val="2"/>
        </w:numPr>
        <w:spacing w:after="100" w:line="360"/>
      </w:pPr>
      <w:r>
        <w:rPr>
          <w:rFonts w:ascii="Arial" w:cs="Arial" w:eastAsia="Arial" w:hAnsi="Arial"/>
          <w:sz w:val="24"/>
          <w:szCs w:val="24"/>
        </w:rPr>
        <w:t xml:space="preserve">Repeat-masking database (Repeatmasker, human build GRCh38) to filter repeat-derived sequences</w:t>
      </w:r>
    </w:p>
    <w:p>
      <w:pPr>
        <w:pStyle w:val="ListParagraph"/>
        <w:numPr>
          <w:ilvl w:val="0"/>
          <w:numId w:val="2"/>
        </w:numPr>
        <w:spacing w:after="100" w:line="360"/>
      </w:pPr>
      <w:r>
        <w:rPr>
          <w:rFonts w:ascii="Arial" w:cs="Arial" w:eastAsia="Arial" w:hAnsi="Arial"/>
          <w:sz w:val="24"/>
          <w:szCs w:val="24"/>
        </w:rPr>
        <w:t xml:space="preserve">BBB penetration predictor (size, charge, logP estimation for each chemical variant)</w:t>
      </w:r>
    </w:p>
    <w:p>
      <w:pPr>
        <w:pStyle w:val="ListParagraph"/>
        <w:numPr>
          <w:ilvl w:val="0"/>
          <w:numId w:val="2"/>
        </w:numPr>
        <w:spacing w:after="100" w:line="360"/>
      </w:pPr>
      <w:r>
        <w:rPr>
          <w:rFonts w:ascii="Arial" w:cs="Arial" w:eastAsia="Arial" w:hAnsi="Arial"/>
          <w:sz w:val="24"/>
          <w:szCs w:val="24"/>
        </w:rPr>
        <w:t xml:space="preserve">PK-Sim/Simcyp absorption-distribution-metabolism-excretion (ADME) simulator with ASO-specific parameters (slow clearance, saturable nucleotide uptake)</w:t>
      </w:r>
    </w:p>
    <w:p>
      <w:pPr>
        <w:pStyle w:val="ListParagraph"/>
        <w:numPr>
          <w:ilvl w:val="0"/>
          <w:numId w:val="2"/>
        </w:numPr>
        <w:spacing w:after="100" w:line="360"/>
      </w:pPr>
      <w:r>
        <w:rPr>
          <w:rFonts w:ascii="Arial" w:cs="Arial" w:eastAsia="Arial" w:hAnsi="Arial"/>
          <w:sz w:val="24"/>
          <w:szCs w:val="24"/>
        </w:rPr>
        <w:t xml:space="preserve">BBB permeability predictor (logit model): molecular weight, charge, lipophilicity, H-bond interactions</w:t>
      </w:r>
    </w:p>
    <w:p>
      <w:pPr>
        <w:pStyle w:val="ListParagraph"/>
        <w:numPr>
          <w:ilvl w:val="0"/>
          <w:numId w:val="2"/>
        </w:numPr>
        <w:spacing w:after="100" w:line="360"/>
      </w:pPr>
      <w:r>
        <w:rPr>
          <w:rFonts w:ascii="Arial" w:cs="Arial" w:eastAsia="Arial" w:hAnsi="Arial"/>
          <w:sz w:val="24"/>
          <w:szCs w:val="24"/>
        </w:rPr>
        <w:t xml:space="preserve">CSF-to-plasma concentration ratio estimator trained on published ASO pharmacokinetic studies</w:t>
      </w:r>
    </w:p>
    <w:p>
      <w:pPr>
        <w:pStyle w:val="ListParagraph"/>
        <w:numPr>
          <w:ilvl w:val="0"/>
          <w:numId w:val="2"/>
        </w:numPr>
        <w:spacing w:after="100" w:line="360"/>
      </w:pPr>
      <w:r>
        <w:rPr>
          <w:rFonts w:ascii="Arial" w:cs="Arial" w:eastAsia="Arial" w:hAnsi="Arial"/>
          <w:sz w:val="24"/>
          <w:szCs w:val="24"/>
        </w:rPr>
        <w:t xml:space="preserve">Nuclease resistance calculator: chemical modification impact on RNase H1, RNase A, serum nucleotidase degradation rates</w:t>
      </w:r>
    </w:p>
    <w:p>
      <w:pPr>
        <w:pStyle w:val="ListParagraph"/>
        <w:numPr>
          <w:ilvl w:val="0"/>
          <w:numId w:val="2"/>
        </w:numPr>
        <w:spacing w:after="100" w:line="360"/>
      </w:pPr>
      <w:r>
        <w:rPr>
          <w:rFonts w:ascii="Arial" w:cs="Arial" w:eastAsia="Arial" w:hAnsi="Arial"/>
          <w:sz w:val="24"/>
          <w:szCs w:val="24"/>
        </w:rPr>
        <w:t xml:space="preserve">Cellular uptake predictor for neuronal cells (scavenger receptor-mediated vs. non-specific pinocytosis)</w:t>
      </w:r>
    </w:p>
    <w:p>
      <w:pPr>
        <w:pStyle w:val="ListParagraph"/>
        <w:numPr>
          <w:ilvl w:val="0"/>
          <w:numId w:val="2"/>
        </w:numPr>
        <w:spacing w:after="100" w:line="360"/>
      </w:pPr>
      <w:r>
        <w:rPr>
          <w:rFonts w:ascii="Arial" w:cs="Arial" w:eastAsia="Arial" w:hAnsi="Arial"/>
          <w:sz w:val="24"/>
          <w:szCs w:val="24"/>
        </w:rPr>
        <w:t xml:space="preserve">In silico CNS half-life predictor using structure-property relationships from Phase 2/3 CNS ASO trials</w:t>
      </w:r>
    </w:p>
    <w:p>
      <w:pPr>
        <w:pStyle w:val="ListParagraph"/>
        <w:numPr>
          <w:ilvl w:val="0"/>
          <w:numId w:val="2"/>
        </w:numPr>
        <w:spacing w:after="100" w:line="360"/>
      </w:pPr>
      <w:r>
        <w:rPr>
          <w:rFonts w:ascii="Arial" w:cs="Arial" w:eastAsia="Arial" w:hAnsi="Arial"/>
          <w:sz w:val="24"/>
          <w:szCs w:val="24"/>
        </w:rPr>
        <w:t xml:space="preserve">ToxCompass ASO toxicity predictor: hepatotoxicity score, kidney injury risk, immune activation index (0-100 scale)</w:t>
      </w:r>
    </w:p>
    <w:p>
      <w:pPr>
        <w:pStyle w:val="ListParagraph"/>
        <w:numPr>
          <w:ilvl w:val="0"/>
          <w:numId w:val="2"/>
        </w:numPr>
        <w:spacing w:after="100" w:line="360"/>
      </w:pPr>
      <w:r>
        <w:rPr>
          <w:rFonts w:ascii="Arial" w:cs="Arial" w:eastAsia="Arial" w:hAnsi="Arial"/>
          <w:sz w:val="24"/>
          <w:szCs w:val="24"/>
        </w:rPr>
        <w:t xml:space="preserve">CpG island detector: unmethylated CpG frequency and predicted TLR9 activation potential</w:t>
      </w:r>
    </w:p>
    <w:p>
      <w:pPr>
        <w:pStyle w:val="ListParagraph"/>
        <w:numPr>
          <w:ilvl w:val="0"/>
          <w:numId w:val="2"/>
        </w:numPr>
        <w:spacing w:after="100" w:line="360"/>
      </w:pPr>
      <w:r>
        <w:rPr>
          <w:rFonts w:ascii="Arial" w:cs="Arial" w:eastAsia="Arial" w:hAnsi="Arial"/>
          <w:sz w:val="24"/>
          <w:szCs w:val="24"/>
        </w:rPr>
        <w:t xml:space="preserve">Seed-region off-target searcher: BLAST against human transcriptome (RefSeq, positions 1-8) with RNAhybrid predicted ΔG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2026-03-04T19:35:18.450Z</dcterms:created>
  <dcterms:modified xsi:type="dcterms:W3CDTF">2026-03-04T19:35:18.451Z</dcterms:modified>
</cp:coreProperties>
</file>

<file path=docProps/custom.xml><?xml version="1.0" encoding="utf-8"?>
<Properties xmlns="http://schemas.openxmlformats.org/officeDocument/2006/custom-properties" xmlns:vt="http://schemas.openxmlformats.org/officeDocument/2006/docPropsVTypes"/>
</file>